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700" w:lineRule="exact"/>
        <w:jc w:val="center"/>
        <w:rPr>
          <w:rFonts w:hint="eastAsia" w:ascii="方正小标宋简体" w:hAnsi="方正小标宋_GBK" w:eastAsia="方正小标宋简体" w:cs="方正小标宋_GBK"/>
          <w:bCs/>
          <w:color w:val="auto"/>
          <w:kern w:val="0"/>
          <w:sz w:val="56"/>
          <w:lang w:eastAsia="zh-CN"/>
        </w:rPr>
      </w:pPr>
    </w:p>
    <w:p>
      <w:pPr>
        <w:widowControl/>
        <w:adjustRightInd w:val="0"/>
        <w:snapToGrid w:val="0"/>
        <w:spacing w:line="700" w:lineRule="exact"/>
        <w:jc w:val="center"/>
        <w:rPr>
          <w:rFonts w:hint="eastAsia" w:ascii="方正小标宋简体" w:hAnsi="方正小标宋_GBK" w:eastAsia="方正小标宋简体" w:cs="方正小标宋_GBK"/>
          <w:bCs/>
          <w:color w:val="auto"/>
          <w:kern w:val="0"/>
          <w:sz w:val="56"/>
          <w:lang w:eastAsia="zh-CN"/>
        </w:rPr>
      </w:pPr>
    </w:p>
    <w:p>
      <w:pPr>
        <w:widowControl/>
        <w:adjustRightInd w:val="0"/>
        <w:snapToGrid w:val="0"/>
        <w:spacing w:line="700" w:lineRule="exact"/>
        <w:jc w:val="center"/>
        <w:rPr>
          <w:rFonts w:hint="eastAsia" w:ascii="方正小标宋简体" w:hAnsi="方正小标宋简体" w:eastAsia="方正小标宋简体" w:cs="方正小标宋简体"/>
          <w:bCs/>
          <w:color w:val="000000" w:themeColor="text1"/>
          <w:kern w:val="0"/>
          <w:sz w:val="56"/>
          <w:lang w:eastAsia="zh-CN"/>
          <w14:textFill>
            <w14:solidFill>
              <w14:schemeClr w14:val="tx1"/>
            </w14:solidFill>
          </w14:textFill>
        </w:rPr>
      </w:pPr>
      <w:r>
        <w:rPr>
          <w:rFonts w:hint="eastAsia" w:ascii="方正小标宋简体" w:hAnsi="方正小标宋_GBK" w:eastAsia="方正小标宋简体" w:cs="方正小标宋_GBK"/>
          <w:bCs/>
          <w:color w:val="auto"/>
          <w:kern w:val="0"/>
          <w:sz w:val="56"/>
          <w:lang w:eastAsia="zh-CN"/>
        </w:rPr>
        <w:t>玉溪市</w:t>
      </w:r>
      <w:r>
        <w:rPr>
          <w:rFonts w:hint="eastAsia" w:ascii="方正小标宋简体" w:hAnsi="方正小标宋_GBK" w:eastAsia="方正小标宋简体" w:cs="方正小标宋_GBK"/>
          <w:bCs/>
          <w:color w:val="auto"/>
          <w:kern w:val="0"/>
          <w:sz w:val="56"/>
        </w:rPr>
        <w:t>江川区国民经济和社会发展第十四个五年规划</w:t>
      </w:r>
      <w:r>
        <w:rPr>
          <w:rFonts w:hint="eastAsia" w:ascii="方正小标宋简体" w:hAnsi="方正小标宋_GBK" w:eastAsia="方正小标宋简体" w:cs="方正小标宋_GBK"/>
          <w:bCs/>
          <w:color w:val="000000" w:themeColor="text1"/>
          <w:kern w:val="0"/>
          <w:sz w:val="56"/>
          <w:lang w:eastAsia="zh-CN"/>
          <w14:textFill>
            <w14:solidFill>
              <w14:schemeClr w14:val="tx1"/>
            </w14:solidFill>
          </w14:textFill>
        </w:rPr>
        <w:t>和二</w:t>
      </w:r>
      <w:r>
        <w:rPr>
          <w:rFonts w:hint="eastAsia" w:ascii="微软雅黑" w:hAnsi="微软雅黑" w:eastAsia="微软雅黑" w:cs="微软雅黑"/>
          <w:bCs/>
          <w:color w:val="000000" w:themeColor="text1"/>
          <w:kern w:val="0"/>
          <w:sz w:val="56"/>
          <w:lang w:eastAsia="zh-CN"/>
          <w14:textFill>
            <w14:solidFill>
              <w14:schemeClr w14:val="tx1"/>
            </w14:solidFill>
          </w14:textFill>
        </w:rPr>
        <w:t>O</w:t>
      </w:r>
      <w:r>
        <w:rPr>
          <w:rFonts w:hint="eastAsia" w:ascii="方正小标宋简体" w:hAnsi="方正小标宋简体" w:eastAsia="方正小标宋简体" w:cs="方正小标宋简体"/>
          <w:bCs/>
          <w:color w:val="000000" w:themeColor="text1"/>
          <w:kern w:val="0"/>
          <w:sz w:val="56"/>
          <w:lang w:eastAsia="zh-CN"/>
          <w14:textFill>
            <w14:solidFill>
              <w14:schemeClr w14:val="tx1"/>
            </w14:solidFill>
          </w14:textFill>
        </w:rPr>
        <w:t>三五年</w:t>
      </w:r>
    </w:p>
    <w:p>
      <w:pPr>
        <w:widowControl/>
        <w:adjustRightInd w:val="0"/>
        <w:snapToGrid w:val="0"/>
        <w:spacing w:line="700" w:lineRule="exact"/>
        <w:jc w:val="center"/>
        <w:rPr>
          <w:rFonts w:hint="eastAsia" w:ascii="方正小标宋简体" w:hAnsi="方正小标宋_GBK" w:eastAsia="方正小标宋简体" w:cs="方正小标宋_GBK"/>
          <w:bCs/>
          <w:color w:val="auto"/>
          <w:kern w:val="0"/>
          <w:sz w:val="56"/>
        </w:rPr>
      </w:pPr>
      <w:r>
        <w:rPr>
          <w:rFonts w:hint="eastAsia" w:ascii="方正小标宋简体" w:hAnsi="方正小标宋简体" w:eastAsia="方正小标宋简体" w:cs="方正小标宋简体"/>
          <w:bCs/>
          <w:color w:val="000000" w:themeColor="text1"/>
          <w:kern w:val="0"/>
          <w:sz w:val="56"/>
          <w:lang w:eastAsia="zh-CN"/>
          <w14:textFill>
            <w14:solidFill>
              <w14:schemeClr w14:val="tx1"/>
            </w14:solidFill>
          </w14:textFill>
        </w:rPr>
        <w:t>远景目标</w:t>
      </w:r>
      <w:r>
        <w:rPr>
          <w:rFonts w:hint="eastAsia" w:ascii="方正小标宋简体" w:hAnsi="方正小标宋_GBK" w:eastAsia="方正小标宋简体" w:cs="方正小标宋_GBK"/>
          <w:bCs/>
          <w:color w:val="auto"/>
          <w:kern w:val="0"/>
          <w:sz w:val="56"/>
        </w:rPr>
        <w:t>纲要</w:t>
      </w:r>
    </w:p>
    <w:p>
      <w:pPr>
        <w:widowControl/>
        <w:adjustRightInd w:val="0"/>
        <w:snapToGrid w:val="0"/>
        <w:spacing w:line="700" w:lineRule="exact"/>
        <w:jc w:val="center"/>
        <w:rPr>
          <w:rFonts w:hint="eastAsia" w:ascii="方正楷体_GBK" w:hAnsi="Times New Roman" w:eastAsia="方正楷体_GBK"/>
          <w:b/>
          <w:color w:val="auto"/>
          <w:kern w:val="0"/>
          <w:sz w:val="48"/>
        </w:rPr>
      </w:pPr>
    </w:p>
    <w:p>
      <w:pPr>
        <w:widowControl/>
        <w:adjustRightInd w:val="0"/>
        <w:snapToGrid w:val="0"/>
        <w:spacing w:line="700" w:lineRule="exact"/>
        <w:jc w:val="center"/>
        <w:rPr>
          <w:rFonts w:ascii="方正楷体_GBK" w:hAnsi="Times New Roman" w:eastAsia="方正楷体_GBK"/>
          <w:b/>
          <w:color w:val="auto"/>
          <w:kern w:val="0"/>
          <w:sz w:val="48"/>
        </w:rPr>
      </w:pPr>
      <w:r>
        <w:rPr>
          <w:rFonts w:hint="eastAsia" w:ascii="方正楷体_GBK" w:hAnsi="Times New Roman" w:eastAsia="方正楷体_GBK"/>
          <w:b/>
          <w:color w:val="auto"/>
          <w:kern w:val="0"/>
          <w:sz w:val="48"/>
        </w:rPr>
        <w:t>（</w:t>
      </w:r>
      <w:r>
        <w:rPr>
          <w:rFonts w:hint="default" w:ascii="Times New Roman" w:hAnsi="Times New Roman" w:eastAsia="方正楷体_GBK"/>
          <w:b/>
          <w:color w:val="auto"/>
          <w:kern w:val="0"/>
          <w:sz w:val="48"/>
        </w:rPr>
        <w:t>2021</w:t>
      </w:r>
      <w:r>
        <w:rPr>
          <w:rFonts w:hint="eastAsia" w:ascii="方正楷体_GBK" w:hAnsi="Times New Roman" w:eastAsia="方正楷体_GBK"/>
          <w:b/>
          <w:color w:val="auto"/>
          <w:kern w:val="0"/>
          <w:sz w:val="48"/>
        </w:rPr>
        <w:t>—</w:t>
      </w:r>
      <w:r>
        <w:rPr>
          <w:rFonts w:hint="default" w:ascii="Times New Roman" w:hAnsi="Times New Roman" w:eastAsia="方正楷体_GBK"/>
          <w:b/>
          <w:color w:val="auto"/>
          <w:kern w:val="0"/>
          <w:sz w:val="48"/>
        </w:rPr>
        <w:t>2025</w:t>
      </w:r>
      <w:r>
        <w:rPr>
          <w:rFonts w:hint="eastAsia" w:ascii="方正楷体_GBK" w:hAnsi="Times New Roman" w:eastAsia="方正楷体_GBK"/>
          <w:b/>
          <w:color w:val="auto"/>
          <w:kern w:val="0"/>
          <w:sz w:val="48"/>
        </w:rPr>
        <w:t>年）</w:t>
      </w:r>
    </w:p>
    <w:p>
      <w:pPr>
        <w:widowControl/>
        <w:adjustRightInd w:val="0"/>
        <w:snapToGrid w:val="0"/>
        <w:spacing w:line="700" w:lineRule="exact"/>
        <w:jc w:val="center"/>
        <w:rPr>
          <w:rFonts w:ascii="方正小标宋_GBK" w:hAnsi="方正小标宋_GBK" w:eastAsia="方正小标宋_GBK" w:cs="方正小标宋_GBK"/>
          <w:bCs/>
          <w:color w:val="auto"/>
          <w:kern w:val="0"/>
          <w:sz w:val="56"/>
        </w:rPr>
      </w:pPr>
    </w:p>
    <w:p>
      <w:pPr>
        <w:widowControl/>
        <w:adjustRightInd w:val="0"/>
        <w:snapToGrid w:val="0"/>
        <w:spacing w:line="700" w:lineRule="exact"/>
        <w:jc w:val="center"/>
        <w:rPr>
          <w:rFonts w:ascii="方正小标宋_GBK" w:hAnsi="方正小标宋_GBK" w:eastAsia="方正小标宋_GBK" w:cs="方正小标宋_GBK"/>
          <w:bCs/>
          <w:color w:val="auto"/>
          <w:kern w:val="0"/>
          <w:sz w:val="56"/>
        </w:rPr>
      </w:pPr>
    </w:p>
    <w:p>
      <w:pPr>
        <w:widowControl/>
        <w:adjustRightInd w:val="0"/>
        <w:snapToGrid w:val="0"/>
        <w:spacing w:line="700" w:lineRule="exact"/>
        <w:jc w:val="center"/>
        <w:rPr>
          <w:rFonts w:ascii="方正小标宋_GBK" w:hAnsi="方正小标宋_GBK" w:eastAsia="方正小标宋_GBK" w:cs="方正小标宋_GBK"/>
          <w:bCs/>
          <w:color w:val="auto"/>
          <w:kern w:val="0"/>
          <w:sz w:val="56"/>
        </w:rPr>
      </w:pPr>
    </w:p>
    <w:p>
      <w:pPr>
        <w:widowControl/>
        <w:adjustRightInd w:val="0"/>
        <w:snapToGrid w:val="0"/>
        <w:spacing w:line="700" w:lineRule="exact"/>
        <w:jc w:val="center"/>
        <w:rPr>
          <w:rFonts w:ascii="方正小标宋_GBK" w:hAnsi="方正小标宋_GBK" w:eastAsia="方正小标宋_GBK" w:cs="方正小标宋_GBK"/>
          <w:bCs/>
          <w:color w:val="auto"/>
          <w:kern w:val="0"/>
          <w:sz w:val="56"/>
        </w:rPr>
      </w:pPr>
    </w:p>
    <w:p>
      <w:pPr>
        <w:widowControl/>
        <w:adjustRightInd w:val="0"/>
        <w:snapToGrid w:val="0"/>
        <w:spacing w:line="700" w:lineRule="exact"/>
        <w:jc w:val="center"/>
        <w:rPr>
          <w:rFonts w:ascii="方正小标宋_GBK" w:hAnsi="方正小标宋_GBK" w:eastAsia="方正小标宋_GBK" w:cs="方正小标宋_GBK"/>
          <w:bCs/>
          <w:color w:val="auto"/>
          <w:kern w:val="0"/>
          <w:sz w:val="56"/>
        </w:rPr>
      </w:pPr>
    </w:p>
    <w:p>
      <w:pPr>
        <w:widowControl/>
        <w:adjustRightInd w:val="0"/>
        <w:snapToGrid w:val="0"/>
        <w:spacing w:line="700" w:lineRule="exact"/>
        <w:jc w:val="center"/>
        <w:rPr>
          <w:rFonts w:ascii="方正小标宋_GBK" w:hAnsi="方正小标宋_GBK" w:eastAsia="方正小标宋_GBK" w:cs="方正小标宋_GBK"/>
          <w:bCs/>
          <w:color w:val="auto"/>
          <w:kern w:val="0"/>
          <w:sz w:val="56"/>
        </w:rPr>
      </w:pPr>
    </w:p>
    <w:p>
      <w:pPr>
        <w:widowControl/>
        <w:adjustRightInd w:val="0"/>
        <w:snapToGrid w:val="0"/>
        <w:spacing w:line="700" w:lineRule="exact"/>
        <w:jc w:val="center"/>
        <w:rPr>
          <w:rFonts w:ascii="方正小标宋_GBK" w:hAnsi="方正小标宋_GBK" w:eastAsia="方正小标宋_GBK" w:cs="方正小标宋_GBK"/>
          <w:bCs/>
          <w:color w:val="auto"/>
          <w:kern w:val="0"/>
          <w:sz w:val="56"/>
        </w:rPr>
      </w:pPr>
    </w:p>
    <w:p>
      <w:pPr>
        <w:widowControl/>
        <w:jc w:val="center"/>
        <w:rPr>
          <w:rFonts w:ascii="楷体" w:hAnsi="楷体" w:eastAsia="楷体"/>
          <w:color w:val="auto"/>
        </w:rPr>
      </w:pPr>
      <w:r>
        <w:rPr>
          <w:rFonts w:hint="eastAsia" w:ascii="楷体" w:hAnsi="楷体" w:eastAsia="楷体"/>
          <w:color w:val="auto"/>
          <w:sz w:val="36"/>
          <w:szCs w:val="36"/>
        </w:rPr>
        <w:t>玉溪市江川区人民政府</w:t>
      </w:r>
    </w:p>
    <w:p>
      <w:pPr>
        <w:widowControl/>
        <w:jc w:val="center"/>
        <w:rPr>
          <w:rFonts w:hint="eastAsia" w:ascii="楷体" w:hAnsi="楷体" w:eastAsia="楷体"/>
          <w:color w:val="auto"/>
          <w:sz w:val="36"/>
          <w:szCs w:val="36"/>
        </w:rPr>
      </w:pPr>
      <w:r>
        <w:rPr>
          <w:rFonts w:hint="default" w:ascii="Times New Roman" w:hAnsi="Times New Roman" w:eastAsia="楷体"/>
          <w:color w:val="auto"/>
          <w:sz w:val="36"/>
          <w:szCs w:val="36"/>
        </w:rPr>
        <w:t>2021</w:t>
      </w:r>
      <w:r>
        <w:rPr>
          <w:rFonts w:hint="eastAsia" w:ascii="楷体" w:hAnsi="楷体" w:eastAsia="楷体"/>
          <w:color w:val="auto"/>
          <w:sz w:val="36"/>
          <w:szCs w:val="36"/>
        </w:rPr>
        <w:t>年</w:t>
      </w:r>
      <w:r>
        <w:rPr>
          <w:rFonts w:hint="default" w:ascii="Times New Roman" w:hAnsi="Times New Roman" w:eastAsia="楷体"/>
          <w:color w:val="auto"/>
          <w:sz w:val="36"/>
          <w:szCs w:val="36"/>
        </w:rPr>
        <w:t>1</w:t>
      </w:r>
      <w:r>
        <w:rPr>
          <w:rFonts w:hint="eastAsia" w:ascii="楷体" w:hAnsi="楷体" w:eastAsia="楷体"/>
          <w:color w:val="auto"/>
          <w:sz w:val="36"/>
          <w:szCs w:val="36"/>
        </w:rPr>
        <w:t>月</w:t>
      </w:r>
    </w:p>
    <w:p>
      <w:pPr>
        <w:pStyle w:val="2"/>
        <w:rPr>
          <w:rFonts w:hint="default" w:ascii="Cambria" w:hAnsi="Cambria" w:eastAsiaTheme="minorEastAsia"/>
          <w:sz w:val="24"/>
          <w:szCs w:val="22"/>
        </w:rPr>
      </w:pPr>
    </w:p>
    <w:p>
      <w:pPr>
        <w:widowControl/>
        <w:jc w:val="left"/>
        <w:rPr>
          <w:rFonts w:eastAsia="方正仿宋简体"/>
          <w:color w:val="auto"/>
          <w:sz w:val="36"/>
          <w:szCs w:val="36"/>
        </w:rPr>
        <w:sectPr>
          <w:footerReference r:id="rId3" w:type="even"/>
          <w:pgSz w:w="11906" w:h="16838"/>
          <w:pgMar w:top="1814" w:right="1531" w:bottom="2098" w:left="1531" w:header="851" w:footer="1417" w:gutter="0"/>
          <w:pgNumType w:fmt="decimal"/>
          <w:cols w:space="0" w:num="1"/>
          <w:rtlGutter w:val="0"/>
          <w:docGrid w:type="lines" w:linePitch="312" w:charSpace="0"/>
        </w:sectPr>
      </w:pPr>
      <w:r>
        <w:rPr>
          <w:rFonts w:hint="eastAsia" w:ascii="楷体" w:hAnsi="楷体" w:eastAsia="楷体"/>
          <w:color w:val="auto"/>
          <w:sz w:val="36"/>
          <w:szCs w:val="36"/>
        </w:rPr>
        <w:br w:type="page"/>
      </w:r>
    </w:p>
    <w:p>
      <w:pPr>
        <w:widowControl/>
        <w:adjustRightInd w:val="0"/>
        <w:snapToGrid w:val="0"/>
        <w:spacing w:beforeLines="0" w:line="240" w:lineRule="auto"/>
        <w:jc w:val="center"/>
        <w:rPr>
          <w:rFonts w:ascii="Times New Roman" w:hAnsi="Times New Roman" w:eastAsia="KaiTi_GB2312"/>
          <w:color w:val="auto"/>
          <w:szCs w:val="32"/>
        </w:rPr>
      </w:pPr>
      <w:r>
        <w:rPr>
          <w:rFonts w:hint="eastAsia" w:ascii="Times New Roman" w:hAnsi="Times New Roman" w:eastAsia="黑体"/>
          <w:b w:val="0"/>
          <w:bCs/>
          <w:color w:val="auto"/>
          <w:sz w:val="40"/>
          <w:szCs w:val="32"/>
        </w:rPr>
        <w:t>目</w:t>
      </w:r>
      <w:r>
        <w:rPr>
          <w:rFonts w:hint="eastAsia" w:ascii="Times New Roman" w:hAnsi="Times New Roman" w:eastAsia="黑体"/>
          <w:b/>
          <w:color w:val="auto"/>
          <w:sz w:val="40"/>
          <w:szCs w:val="32"/>
        </w:rPr>
        <w:t xml:space="preserve">  </w:t>
      </w:r>
      <w:r>
        <w:rPr>
          <w:rFonts w:hint="eastAsia" w:ascii="Times New Roman" w:hAnsi="Times New Roman" w:eastAsia="黑体"/>
          <w:b w:val="0"/>
          <w:bCs/>
          <w:color w:val="auto"/>
          <w:sz w:val="40"/>
          <w:szCs w:val="32"/>
        </w:rPr>
        <w:t>录</w:t>
      </w:r>
    </w:p>
    <w:p>
      <w:pPr>
        <w:pStyle w:val="15"/>
        <w:tabs>
          <w:tab w:val="right" w:leader="dot" w:pos="8844"/>
        </w:tabs>
      </w:pPr>
      <w:r>
        <w:rPr>
          <w:rFonts w:ascii="Times New Roman" w:hAnsi="Times New Roman" w:eastAsiaTheme="minorEastAsia"/>
          <w:sz w:val="24"/>
          <w:szCs w:val="22"/>
        </w:rPr>
        <w:fldChar w:fldCharType="begin"/>
      </w:r>
      <w:r>
        <w:rPr>
          <w:rFonts w:ascii="Times New Roman" w:hAnsi="Times New Roman" w:eastAsiaTheme="minorEastAsia"/>
          <w:sz w:val="24"/>
          <w:szCs w:val="22"/>
        </w:rPr>
        <w:instrText xml:space="preserve">TOC \o "1-3" \h \u </w:instrText>
      </w:r>
      <w:r>
        <w:rPr>
          <w:rFonts w:ascii="Times New Roman" w:hAnsi="Times New Roman" w:eastAsiaTheme="minorEastAsia"/>
          <w:sz w:val="24"/>
          <w:szCs w:val="22"/>
        </w:rPr>
        <w:fldChar w:fldCharType="separate"/>
      </w:r>
      <w:r>
        <w:rPr>
          <w:rFonts w:ascii="Times New Roman" w:hAnsi="Times New Roman" w:eastAsiaTheme="minorEastAsia"/>
          <w:szCs w:val="22"/>
        </w:rPr>
        <w:fldChar w:fldCharType="begin"/>
      </w:r>
      <w:r>
        <w:rPr>
          <w:rFonts w:ascii="Times New Roman" w:hAnsi="Times New Roman" w:eastAsiaTheme="minorEastAsia"/>
          <w:szCs w:val="22"/>
        </w:rPr>
        <w:instrText xml:space="preserve"> HYPERLINK \l _Toc17438 </w:instrText>
      </w:r>
      <w:r>
        <w:rPr>
          <w:rFonts w:ascii="Times New Roman" w:hAnsi="Times New Roman" w:eastAsiaTheme="minorEastAsia"/>
          <w:szCs w:val="22"/>
        </w:rPr>
        <w:fldChar w:fldCharType="separate"/>
      </w:r>
      <w:r>
        <w:rPr>
          <w:rFonts w:hint="eastAsia" w:eastAsia="方正小标宋简体"/>
          <w:bCs w:val="0"/>
        </w:rPr>
        <w:t>前  言</w:t>
      </w:r>
      <w:r>
        <w:tab/>
      </w:r>
      <w:r>
        <w:fldChar w:fldCharType="begin"/>
      </w:r>
      <w:r>
        <w:instrText xml:space="preserve"> PAGEREF _Toc17438 \h </w:instrText>
      </w:r>
      <w:r>
        <w:fldChar w:fldCharType="separate"/>
      </w:r>
      <w:r>
        <w:t>1</w:t>
      </w:r>
      <w:r>
        <w:fldChar w:fldCharType="end"/>
      </w:r>
      <w:r>
        <w:rPr>
          <w:rFonts w:ascii="Times New Roman" w:hAnsi="Times New Roman" w:eastAsiaTheme="minorEastAsia"/>
          <w:szCs w:val="22"/>
        </w:rPr>
        <w:fldChar w:fldCharType="end"/>
      </w:r>
    </w:p>
    <w:p>
      <w:pPr>
        <w:pStyle w:val="15"/>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_Toc8595 </w:instrText>
      </w:r>
      <w:r>
        <w:rPr>
          <w:rFonts w:ascii="Times New Roman" w:hAnsi="Times New Roman" w:cs="Times New Roman" w:eastAsiaTheme="minorEastAsia"/>
          <w:szCs w:val="22"/>
        </w:rPr>
        <w:fldChar w:fldCharType="separate"/>
      </w:r>
      <w:r>
        <w:rPr>
          <w:rFonts w:eastAsia="方正小标宋简体"/>
          <w:bCs w:val="0"/>
        </w:rPr>
        <w:t>第一篇　发展基础和发展环境</w:t>
      </w:r>
      <w:r>
        <w:tab/>
      </w:r>
      <w:r>
        <w:fldChar w:fldCharType="begin"/>
      </w:r>
      <w:r>
        <w:instrText xml:space="preserve"> PAGEREF _Toc8595 \h </w:instrText>
      </w:r>
      <w:r>
        <w:fldChar w:fldCharType="separate"/>
      </w:r>
      <w:r>
        <w:t>2</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_Toc31641 </w:instrText>
      </w:r>
      <w:r>
        <w:rPr>
          <w:rFonts w:ascii="Times New Roman" w:hAnsi="Times New Roman" w:cs="Times New Roman" w:eastAsiaTheme="minorEastAsia"/>
          <w:szCs w:val="22"/>
        </w:rPr>
        <w:fldChar w:fldCharType="separate"/>
      </w:r>
      <w:r>
        <w:rPr>
          <w:bCs w:val="0"/>
        </w:rPr>
        <w:t>第一</w:t>
      </w:r>
      <w:r>
        <w:rPr>
          <w:rFonts w:hint="eastAsia"/>
          <w:bCs w:val="0"/>
        </w:rPr>
        <w:t>章</w:t>
      </w:r>
      <w:r>
        <w:rPr>
          <w:bCs w:val="0"/>
        </w:rPr>
        <w:t>　发展基础</w:t>
      </w:r>
      <w:r>
        <w:tab/>
      </w:r>
      <w:r>
        <w:fldChar w:fldCharType="begin"/>
      </w:r>
      <w:r>
        <w:instrText xml:space="preserve"> PAGEREF _Toc31641 \h </w:instrText>
      </w:r>
      <w:r>
        <w:fldChar w:fldCharType="separate"/>
      </w:r>
      <w:r>
        <w:t>2</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_Toc5187 </w:instrText>
      </w:r>
      <w:r>
        <w:rPr>
          <w:rFonts w:ascii="Times New Roman" w:hAnsi="Times New Roman" w:cs="Times New Roman" w:eastAsiaTheme="minorEastAsia"/>
          <w:szCs w:val="22"/>
        </w:rPr>
        <w:fldChar w:fldCharType="separate"/>
      </w:r>
      <w:r>
        <w:rPr>
          <w:rFonts w:hint="eastAsia"/>
          <w:bCs w:val="0"/>
        </w:rPr>
        <w:t>第二章　发展环境</w:t>
      </w:r>
      <w:r>
        <w:tab/>
      </w:r>
      <w:r>
        <w:fldChar w:fldCharType="begin"/>
      </w:r>
      <w:r>
        <w:instrText xml:space="preserve"> PAGEREF _Toc5187 \h </w:instrText>
      </w:r>
      <w:r>
        <w:fldChar w:fldCharType="separate"/>
      </w:r>
      <w:r>
        <w:t>9</w:t>
      </w:r>
      <w:r>
        <w:fldChar w:fldCharType="end"/>
      </w:r>
      <w:r>
        <w:rPr>
          <w:rFonts w:ascii="Times New Roman" w:hAnsi="Times New Roman" w:cs="Times New Roman" w:eastAsiaTheme="minorEastAsia"/>
          <w:szCs w:val="22"/>
        </w:rPr>
        <w:fldChar w:fldCharType="end"/>
      </w:r>
    </w:p>
    <w:p>
      <w:pPr>
        <w:pStyle w:val="15"/>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_Toc7234 </w:instrText>
      </w:r>
      <w:r>
        <w:rPr>
          <w:rFonts w:ascii="Times New Roman" w:hAnsi="Times New Roman" w:cs="Times New Roman" w:eastAsiaTheme="minorEastAsia"/>
          <w:szCs w:val="22"/>
        </w:rPr>
        <w:fldChar w:fldCharType="separate"/>
      </w:r>
      <w:r>
        <w:rPr>
          <w:rFonts w:hint="eastAsia" w:eastAsia="方正小标宋简体"/>
          <w:bCs w:val="0"/>
        </w:rPr>
        <w:t>第二篇　总体思路</w:t>
      </w:r>
      <w:r>
        <w:tab/>
      </w:r>
      <w:r>
        <w:fldChar w:fldCharType="begin"/>
      </w:r>
      <w:r>
        <w:instrText xml:space="preserve"> PAGEREF _Toc7234 \h </w:instrText>
      </w:r>
      <w:r>
        <w:fldChar w:fldCharType="separate"/>
      </w:r>
      <w:r>
        <w:t>12</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_Toc31678 </w:instrText>
      </w:r>
      <w:r>
        <w:rPr>
          <w:rFonts w:ascii="Times New Roman" w:hAnsi="Times New Roman" w:cs="Times New Roman" w:eastAsiaTheme="minorEastAsia"/>
          <w:szCs w:val="22"/>
        </w:rPr>
        <w:fldChar w:fldCharType="separate"/>
      </w:r>
      <w:r>
        <w:rPr>
          <w:rFonts w:hint="eastAsia"/>
          <w:bCs w:val="0"/>
        </w:rPr>
        <w:t>第三章　指导思想</w:t>
      </w:r>
      <w:r>
        <w:tab/>
      </w:r>
      <w:r>
        <w:fldChar w:fldCharType="begin"/>
      </w:r>
      <w:r>
        <w:instrText xml:space="preserve"> PAGEREF _Toc31678 \h </w:instrText>
      </w:r>
      <w:r>
        <w:fldChar w:fldCharType="separate"/>
      </w:r>
      <w:r>
        <w:t>12</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_Toc28300 </w:instrText>
      </w:r>
      <w:r>
        <w:rPr>
          <w:rFonts w:ascii="Times New Roman" w:hAnsi="Times New Roman" w:cs="Times New Roman" w:eastAsiaTheme="minorEastAsia"/>
          <w:szCs w:val="22"/>
        </w:rPr>
        <w:fldChar w:fldCharType="separate"/>
      </w:r>
      <w:r>
        <w:rPr>
          <w:rFonts w:hint="eastAsia"/>
          <w:bCs w:val="0"/>
        </w:rPr>
        <w:t>第四章　发展思路</w:t>
      </w:r>
      <w:r>
        <w:tab/>
      </w:r>
      <w:r>
        <w:fldChar w:fldCharType="begin"/>
      </w:r>
      <w:r>
        <w:instrText xml:space="preserve"> PAGEREF _Toc28300 \h </w:instrText>
      </w:r>
      <w:r>
        <w:fldChar w:fldCharType="separate"/>
      </w:r>
      <w:r>
        <w:t>13</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_Toc15183 </w:instrText>
      </w:r>
      <w:r>
        <w:rPr>
          <w:rFonts w:ascii="Times New Roman" w:hAnsi="Times New Roman" w:cs="Times New Roman" w:eastAsiaTheme="minorEastAsia"/>
          <w:szCs w:val="22"/>
        </w:rPr>
        <w:fldChar w:fldCharType="separate"/>
      </w:r>
      <w:r>
        <w:rPr>
          <w:rFonts w:hint="eastAsia"/>
          <w:bCs w:val="0"/>
        </w:rPr>
        <w:t>第五章　发展原则</w:t>
      </w:r>
      <w:r>
        <w:tab/>
      </w:r>
      <w:r>
        <w:fldChar w:fldCharType="begin"/>
      </w:r>
      <w:r>
        <w:instrText xml:space="preserve"> PAGEREF _Toc15183 \h </w:instrText>
      </w:r>
      <w:r>
        <w:fldChar w:fldCharType="separate"/>
      </w:r>
      <w:r>
        <w:t>13</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_Toc6834 </w:instrText>
      </w:r>
      <w:r>
        <w:rPr>
          <w:rFonts w:ascii="Times New Roman" w:hAnsi="Times New Roman" w:cs="Times New Roman" w:eastAsiaTheme="minorEastAsia"/>
          <w:szCs w:val="22"/>
        </w:rPr>
        <w:fldChar w:fldCharType="separate"/>
      </w:r>
      <w:r>
        <w:rPr>
          <w:rFonts w:hint="eastAsia"/>
          <w:bCs w:val="0"/>
        </w:rPr>
        <w:t>第六章　发展定位</w:t>
      </w:r>
      <w:r>
        <w:tab/>
      </w:r>
      <w:r>
        <w:fldChar w:fldCharType="begin"/>
      </w:r>
      <w:r>
        <w:instrText xml:space="preserve"> PAGEREF _Toc6834 \h </w:instrText>
      </w:r>
      <w:r>
        <w:fldChar w:fldCharType="separate"/>
      </w:r>
      <w:r>
        <w:t>15</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_Toc19441 </w:instrText>
      </w:r>
      <w:r>
        <w:rPr>
          <w:rFonts w:ascii="Times New Roman" w:hAnsi="Times New Roman" w:cs="Times New Roman" w:eastAsiaTheme="minorEastAsia"/>
          <w:szCs w:val="22"/>
        </w:rPr>
        <w:fldChar w:fldCharType="separate"/>
      </w:r>
      <w:r>
        <w:rPr>
          <w:rFonts w:hint="eastAsia"/>
          <w:bCs w:val="0"/>
        </w:rPr>
        <w:t>第七章  发展目标</w:t>
      </w:r>
      <w:r>
        <w:tab/>
      </w:r>
      <w:r>
        <w:fldChar w:fldCharType="begin"/>
      </w:r>
      <w:r>
        <w:instrText xml:space="preserve"> PAGEREF _Toc19441 \h </w:instrText>
      </w:r>
      <w:r>
        <w:fldChar w:fldCharType="separate"/>
      </w:r>
      <w:r>
        <w:t>19</w:t>
      </w:r>
      <w:r>
        <w:fldChar w:fldCharType="end"/>
      </w:r>
      <w:r>
        <w:rPr>
          <w:rFonts w:ascii="Times New Roman" w:hAnsi="Times New Roman" w:cs="Times New Roman" w:eastAsiaTheme="minorEastAsia"/>
          <w:szCs w:val="22"/>
        </w:rPr>
        <w:fldChar w:fldCharType="end"/>
      </w:r>
    </w:p>
    <w:p>
      <w:pPr>
        <w:pStyle w:val="15"/>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_Toc10413 </w:instrText>
      </w:r>
      <w:r>
        <w:rPr>
          <w:rFonts w:ascii="Times New Roman" w:hAnsi="Times New Roman" w:cs="Times New Roman" w:eastAsiaTheme="minorEastAsia"/>
          <w:szCs w:val="22"/>
        </w:rPr>
        <w:fldChar w:fldCharType="separate"/>
      </w:r>
      <w:r>
        <w:rPr>
          <w:rFonts w:hint="eastAsia" w:eastAsia="方正小标宋简体"/>
          <w:bCs w:val="0"/>
        </w:rPr>
        <w:t>第三篇　优化空间布局</w:t>
      </w:r>
      <w:r>
        <w:tab/>
      </w:r>
      <w:r>
        <w:fldChar w:fldCharType="begin"/>
      </w:r>
      <w:r>
        <w:instrText xml:space="preserve"> PAGEREF _Toc10413 \h </w:instrText>
      </w:r>
      <w:r>
        <w:fldChar w:fldCharType="separate"/>
      </w:r>
      <w:r>
        <w:t>22</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_Toc25857 </w:instrText>
      </w:r>
      <w:r>
        <w:rPr>
          <w:rFonts w:ascii="Times New Roman" w:hAnsi="Times New Roman" w:cs="Times New Roman" w:eastAsiaTheme="minorEastAsia"/>
          <w:szCs w:val="22"/>
        </w:rPr>
        <w:fldChar w:fldCharType="separate"/>
      </w:r>
      <w:r>
        <w:rPr>
          <w:rFonts w:hint="eastAsia"/>
          <w:bCs w:val="0"/>
        </w:rPr>
        <w:t>第八章　聚力打造中心城区发展核</w:t>
      </w:r>
      <w:r>
        <w:tab/>
      </w:r>
      <w:r>
        <w:fldChar w:fldCharType="begin"/>
      </w:r>
      <w:r>
        <w:instrText xml:space="preserve"> PAGEREF _Toc25857 \h </w:instrText>
      </w:r>
      <w:r>
        <w:fldChar w:fldCharType="separate"/>
      </w:r>
      <w:r>
        <w:t>22</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_Toc3229 </w:instrText>
      </w:r>
      <w:r>
        <w:rPr>
          <w:rFonts w:ascii="Times New Roman" w:hAnsi="Times New Roman" w:cs="Times New Roman" w:eastAsiaTheme="minorEastAsia"/>
          <w:szCs w:val="22"/>
        </w:rPr>
        <w:fldChar w:fldCharType="separate"/>
      </w:r>
      <w:r>
        <w:rPr>
          <w:rFonts w:hint="eastAsia"/>
          <w:bCs w:val="0"/>
        </w:rPr>
        <w:t>第九章  精心谋划环星云湖生态旅游圈</w:t>
      </w:r>
      <w:r>
        <w:tab/>
      </w:r>
      <w:r>
        <w:fldChar w:fldCharType="begin"/>
      </w:r>
      <w:r>
        <w:instrText xml:space="preserve"> PAGEREF _Toc3229 \h </w:instrText>
      </w:r>
      <w:r>
        <w:fldChar w:fldCharType="separate"/>
      </w:r>
      <w:r>
        <w:t>23</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_Toc17260 </w:instrText>
      </w:r>
      <w:r>
        <w:rPr>
          <w:rFonts w:ascii="Times New Roman" w:hAnsi="Times New Roman" w:cs="Times New Roman" w:eastAsiaTheme="minorEastAsia"/>
          <w:szCs w:val="22"/>
        </w:rPr>
        <w:fldChar w:fldCharType="separate"/>
      </w:r>
      <w:r>
        <w:rPr>
          <w:rFonts w:hint="eastAsia"/>
          <w:bCs w:val="0"/>
        </w:rPr>
        <w:t>第十章  着力构建三条经济带</w:t>
      </w:r>
      <w:r>
        <w:tab/>
      </w:r>
      <w:r>
        <w:fldChar w:fldCharType="begin"/>
      </w:r>
      <w:r>
        <w:instrText xml:space="preserve"> PAGEREF _Toc17260 \h </w:instrText>
      </w:r>
      <w:r>
        <w:fldChar w:fldCharType="separate"/>
      </w:r>
      <w:r>
        <w:t>23</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_Toc3019 </w:instrText>
      </w:r>
      <w:r>
        <w:rPr>
          <w:rFonts w:ascii="Times New Roman" w:hAnsi="Times New Roman" w:cs="Times New Roman" w:eastAsiaTheme="minorEastAsia"/>
          <w:szCs w:val="22"/>
        </w:rPr>
        <w:fldChar w:fldCharType="separate"/>
      </w:r>
      <w:r>
        <w:rPr>
          <w:rFonts w:hint="eastAsia"/>
          <w:bCs w:val="0"/>
        </w:rPr>
        <w:t>第十一章  倾力建设六大产业园区</w:t>
      </w:r>
      <w:r>
        <w:tab/>
      </w:r>
      <w:r>
        <w:fldChar w:fldCharType="begin"/>
      </w:r>
      <w:r>
        <w:instrText xml:space="preserve"> PAGEREF _Toc3019 \h </w:instrText>
      </w:r>
      <w:r>
        <w:fldChar w:fldCharType="separate"/>
      </w:r>
      <w:r>
        <w:t>24</w:t>
      </w:r>
      <w:r>
        <w:fldChar w:fldCharType="end"/>
      </w:r>
      <w:r>
        <w:rPr>
          <w:rFonts w:ascii="Times New Roman" w:hAnsi="Times New Roman" w:cs="Times New Roman" w:eastAsiaTheme="minorEastAsia"/>
          <w:szCs w:val="22"/>
        </w:rPr>
        <w:fldChar w:fldCharType="end"/>
      </w:r>
    </w:p>
    <w:p>
      <w:pPr>
        <w:pStyle w:val="15"/>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_Toc19259 </w:instrText>
      </w:r>
      <w:r>
        <w:rPr>
          <w:rFonts w:ascii="Times New Roman" w:hAnsi="Times New Roman" w:cs="Times New Roman" w:eastAsiaTheme="minorEastAsia"/>
          <w:szCs w:val="22"/>
        </w:rPr>
        <w:fldChar w:fldCharType="separate"/>
      </w:r>
      <w:r>
        <w:rPr>
          <w:rFonts w:hint="eastAsia" w:eastAsia="方正小标宋简体"/>
          <w:bCs w:val="0"/>
        </w:rPr>
        <w:t>第四篇　全面深化改革扩大开放，服务和融入新发展格局</w:t>
      </w:r>
      <w:r>
        <w:tab/>
      </w:r>
      <w:r>
        <w:fldChar w:fldCharType="begin"/>
      </w:r>
      <w:r>
        <w:instrText xml:space="preserve"> PAGEREF _Toc19259 \h </w:instrText>
      </w:r>
      <w:r>
        <w:fldChar w:fldCharType="separate"/>
      </w:r>
      <w:r>
        <w:t>28</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_Toc26223 </w:instrText>
      </w:r>
      <w:r>
        <w:rPr>
          <w:rFonts w:ascii="Times New Roman" w:hAnsi="Times New Roman" w:cs="Times New Roman" w:eastAsiaTheme="minorEastAsia"/>
          <w:szCs w:val="22"/>
        </w:rPr>
        <w:fldChar w:fldCharType="separate"/>
      </w:r>
      <w:r>
        <w:rPr>
          <w:rFonts w:hint="eastAsia"/>
          <w:bCs w:val="0"/>
        </w:rPr>
        <w:t>第十二章</w:t>
      </w:r>
      <w:r>
        <w:rPr>
          <w:bCs w:val="0"/>
        </w:rPr>
        <w:t xml:space="preserve">  </w:t>
      </w:r>
      <w:r>
        <w:rPr>
          <w:rFonts w:hint="eastAsia"/>
          <w:bCs w:val="0"/>
        </w:rPr>
        <w:t>主动服务和融入新发展格局</w:t>
      </w:r>
      <w:r>
        <w:tab/>
      </w:r>
      <w:r>
        <w:fldChar w:fldCharType="begin"/>
      </w:r>
      <w:r>
        <w:instrText xml:space="preserve"> PAGEREF _Toc26223 \h </w:instrText>
      </w:r>
      <w:r>
        <w:fldChar w:fldCharType="separate"/>
      </w:r>
      <w:r>
        <w:t>28</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_Toc24249 </w:instrText>
      </w:r>
      <w:r>
        <w:rPr>
          <w:rFonts w:ascii="Times New Roman" w:hAnsi="Times New Roman" w:cs="Times New Roman" w:eastAsiaTheme="minorEastAsia"/>
          <w:szCs w:val="22"/>
        </w:rPr>
        <w:fldChar w:fldCharType="separate"/>
      </w:r>
      <w:r>
        <w:rPr>
          <w:rFonts w:hint="eastAsia"/>
        </w:rPr>
        <w:t>第十三章  全面深化重点领域改革</w:t>
      </w:r>
      <w:r>
        <w:tab/>
      </w:r>
      <w:r>
        <w:fldChar w:fldCharType="begin"/>
      </w:r>
      <w:r>
        <w:instrText xml:space="preserve"> PAGEREF _Toc24249 \h </w:instrText>
      </w:r>
      <w:r>
        <w:fldChar w:fldCharType="separate"/>
      </w:r>
      <w:r>
        <w:t>32</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_Toc21718 </w:instrText>
      </w:r>
      <w:r>
        <w:rPr>
          <w:rFonts w:ascii="Times New Roman" w:hAnsi="Times New Roman" w:cs="Times New Roman" w:eastAsiaTheme="minorEastAsia"/>
          <w:szCs w:val="22"/>
        </w:rPr>
        <w:fldChar w:fldCharType="separate"/>
      </w:r>
      <w:r>
        <w:rPr>
          <w:rFonts w:hint="eastAsia"/>
          <w:bCs w:val="0"/>
        </w:rPr>
        <w:t>第十四章　全面形成开放新格局</w:t>
      </w:r>
      <w:r>
        <w:tab/>
      </w:r>
      <w:r>
        <w:fldChar w:fldCharType="begin"/>
      </w:r>
      <w:r>
        <w:instrText xml:space="preserve"> PAGEREF _Toc21718 \h </w:instrText>
      </w:r>
      <w:r>
        <w:fldChar w:fldCharType="separate"/>
      </w:r>
      <w:r>
        <w:t>35</w:t>
      </w:r>
      <w:r>
        <w:fldChar w:fldCharType="end"/>
      </w:r>
      <w:r>
        <w:rPr>
          <w:rFonts w:ascii="Times New Roman" w:hAnsi="Times New Roman" w:cs="Times New Roman" w:eastAsiaTheme="minorEastAsia"/>
          <w:szCs w:val="22"/>
        </w:rPr>
        <w:fldChar w:fldCharType="end"/>
      </w:r>
    </w:p>
    <w:p>
      <w:pPr>
        <w:pStyle w:val="15"/>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_Toc24450 </w:instrText>
      </w:r>
      <w:r>
        <w:rPr>
          <w:rFonts w:ascii="Times New Roman" w:hAnsi="Times New Roman" w:cs="Times New Roman" w:eastAsiaTheme="minorEastAsia"/>
          <w:szCs w:val="22"/>
        </w:rPr>
        <w:fldChar w:fldCharType="separate"/>
      </w:r>
      <w:r>
        <w:rPr>
          <w:rFonts w:hint="eastAsia" w:eastAsia="方正小标宋简体"/>
          <w:bCs w:val="0"/>
        </w:rPr>
        <w:t>第五篇　加快构建现代产业体系，推动经济结构优化升级</w:t>
      </w:r>
      <w:r>
        <w:tab/>
      </w:r>
      <w:r>
        <w:fldChar w:fldCharType="begin"/>
      </w:r>
      <w:r>
        <w:instrText xml:space="preserve"> PAGEREF _Toc24450 \h </w:instrText>
      </w:r>
      <w:r>
        <w:fldChar w:fldCharType="separate"/>
      </w:r>
      <w:r>
        <w:t>37</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_Toc6821 </w:instrText>
      </w:r>
      <w:r>
        <w:rPr>
          <w:rFonts w:ascii="Times New Roman" w:hAnsi="Times New Roman" w:cs="Times New Roman" w:eastAsiaTheme="minorEastAsia"/>
          <w:szCs w:val="22"/>
        </w:rPr>
        <w:fldChar w:fldCharType="separate"/>
      </w:r>
      <w:r>
        <w:rPr>
          <w:rFonts w:hint="eastAsia"/>
          <w:bCs w:val="0"/>
        </w:rPr>
        <w:t>第十五章　</w:t>
      </w:r>
      <w:r>
        <w:rPr>
          <w:bCs w:val="0"/>
        </w:rPr>
        <w:t>大力发展高原特色现代农业</w:t>
      </w:r>
      <w:r>
        <w:tab/>
      </w:r>
      <w:r>
        <w:fldChar w:fldCharType="begin"/>
      </w:r>
      <w:r>
        <w:instrText xml:space="preserve"> PAGEREF _Toc6821 \h </w:instrText>
      </w:r>
      <w:r>
        <w:fldChar w:fldCharType="separate"/>
      </w:r>
      <w:r>
        <w:t>37</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_Toc12596 </w:instrText>
      </w:r>
      <w:r>
        <w:rPr>
          <w:rFonts w:ascii="Times New Roman" w:hAnsi="Times New Roman" w:cs="Times New Roman" w:eastAsiaTheme="minorEastAsia"/>
          <w:szCs w:val="22"/>
        </w:rPr>
        <w:fldChar w:fldCharType="separate"/>
      </w:r>
      <w:r>
        <w:rPr>
          <w:rFonts w:hint="eastAsia"/>
          <w:bCs w:val="0"/>
        </w:rPr>
        <w:t>第十六章  加快转型发展新型工业</w:t>
      </w:r>
      <w:r>
        <w:tab/>
      </w:r>
      <w:r>
        <w:fldChar w:fldCharType="begin"/>
      </w:r>
      <w:r>
        <w:instrText xml:space="preserve"> PAGEREF _Toc12596 \h </w:instrText>
      </w:r>
      <w:r>
        <w:fldChar w:fldCharType="separate"/>
      </w:r>
      <w:r>
        <w:t>43</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_Toc18764 </w:instrText>
      </w:r>
      <w:r>
        <w:rPr>
          <w:rFonts w:ascii="Times New Roman" w:hAnsi="Times New Roman" w:cs="Times New Roman" w:eastAsiaTheme="minorEastAsia"/>
          <w:szCs w:val="22"/>
        </w:rPr>
        <w:fldChar w:fldCharType="separate"/>
      </w:r>
      <w:r>
        <w:rPr>
          <w:rFonts w:hint="eastAsia"/>
          <w:bCs w:val="0"/>
        </w:rPr>
        <w:t xml:space="preserve">第十七章  </w:t>
      </w:r>
      <w:r>
        <w:rPr>
          <w:bCs w:val="0"/>
        </w:rPr>
        <w:t>高质量发展现代服务业</w:t>
      </w:r>
      <w:r>
        <w:tab/>
      </w:r>
      <w:r>
        <w:fldChar w:fldCharType="begin"/>
      </w:r>
      <w:r>
        <w:instrText xml:space="preserve"> PAGEREF _Toc18764 \h </w:instrText>
      </w:r>
      <w:r>
        <w:fldChar w:fldCharType="separate"/>
      </w:r>
      <w:r>
        <w:t>47</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_Toc4775 </w:instrText>
      </w:r>
      <w:r>
        <w:rPr>
          <w:rFonts w:ascii="Times New Roman" w:hAnsi="Times New Roman" w:cs="Times New Roman" w:eastAsiaTheme="minorEastAsia"/>
          <w:szCs w:val="22"/>
        </w:rPr>
        <w:fldChar w:fldCharType="separate"/>
      </w:r>
      <w:r>
        <w:rPr>
          <w:rFonts w:hint="eastAsia"/>
          <w:bCs w:val="0"/>
        </w:rPr>
        <w:t>第十八章  着力</w:t>
      </w:r>
      <w:r>
        <w:rPr>
          <w:bCs w:val="0"/>
        </w:rPr>
        <w:t>发展数字经济</w:t>
      </w:r>
      <w:r>
        <w:tab/>
      </w:r>
      <w:r>
        <w:fldChar w:fldCharType="begin"/>
      </w:r>
      <w:r>
        <w:instrText xml:space="preserve"> PAGEREF _Toc4775 \h </w:instrText>
      </w:r>
      <w:r>
        <w:fldChar w:fldCharType="separate"/>
      </w:r>
      <w:r>
        <w:t>53</w:t>
      </w:r>
      <w:r>
        <w:fldChar w:fldCharType="end"/>
      </w:r>
      <w:r>
        <w:rPr>
          <w:rFonts w:ascii="Times New Roman" w:hAnsi="Times New Roman" w:cs="Times New Roman" w:eastAsiaTheme="minorEastAsia"/>
          <w:szCs w:val="22"/>
        </w:rPr>
        <w:fldChar w:fldCharType="end"/>
      </w:r>
    </w:p>
    <w:p>
      <w:pPr>
        <w:pStyle w:val="15"/>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_Toc21216 </w:instrText>
      </w:r>
      <w:r>
        <w:rPr>
          <w:rFonts w:ascii="Times New Roman" w:hAnsi="Times New Roman" w:cs="Times New Roman" w:eastAsiaTheme="minorEastAsia"/>
          <w:szCs w:val="22"/>
        </w:rPr>
        <w:fldChar w:fldCharType="separate"/>
      </w:r>
      <w:r>
        <w:rPr>
          <w:rFonts w:hint="eastAsia" w:eastAsia="方正小标宋简体"/>
          <w:bCs w:val="0"/>
        </w:rPr>
        <w:t>第六篇　加快完善现代基础设施，持续夯实新发展基石</w:t>
      </w:r>
      <w:r>
        <w:tab/>
      </w:r>
      <w:r>
        <w:fldChar w:fldCharType="begin"/>
      </w:r>
      <w:r>
        <w:instrText xml:space="preserve"> PAGEREF _Toc21216 \h </w:instrText>
      </w:r>
      <w:r>
        <w:fldChar w:fldCharType="separate"/>
      </w:r>
      <w:r>
        <w:t>57</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_Toc2507 </w:instrText>
      </w:r>
      <w:r>
        <w:rPr>
          <w:rFonts w:ascii="Times New Roman" w:hAnsi="Times New Roman" w:cs="Times New Roman" w:eastAsiaTheme="minorEastAsia"/>
          <w:szCs w:val="22"/>
        </w:rPr>
        <w:fldChar w:fldCharType="separate"/>
      </w:r>
      <w:r>
        <w:rPr>
          <w:rFonts w:hint="eastAsia"/>
          <w:bCs w:val="0"/>
        </w:rPr>
        <w:t>第十九章　</w:t>
      </w:r>
      <w:r>
        <w:rPr>
          <w:bCs w:val="0"/>
        </w:rPr>
        <w:t>构建综合交通体系</w:t>
      </w:r>
      <w:r>
        <w:tab/>
      </w:r>
      <w:r>
        <w:fldChar w:fldCharType="begin"/>
      </w:r>
      <w:r>
        <w:instrText xml:space="preserve"> PAGEREF _Toc2507 \h </w:instrText>
      </w:r>
      <w:r>
        <w:fldChar w:fldCharType="separate"/>
      </w:r>
      <w:r>
        <w:t>57</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_Toc22773 </w:instrText>
      </w:r>
      <w:r>
        <w:rPr>
          <w:rFonts w:ascii="Times New Roman" w:hAnsi="Times New Roman" w:cs="Times New Roman" w:eastAsiaTheme="minorEastAsia"/>
          <w:szCs w:val="22"/>
        </w:rPr>
        <w:fldChar w:fldCharType="separate"/>
      </w:r>
      <w:r>
        <w:rPr>
          <w:rFonts w:hint="eastAsia"/>
          <w:bCs w:val="0"/>
        </w:rPr>
        <w:t>第二十章　提高能源保障水平</w:t>
      </w:r>
      <w:r>
        <w:tab/>
      </w:r>
      <w:r>
        <w:fldChar w:fldCharType="begin"/>
      </w:r>
      <w:r>
        <w:instrText xml:space="preserve"> PAGEREF _Toc22773 \h </w:instrText>
      </w:r>
      <w:r>
        <w:fldChar w:fldCharType="separate"/>
      </w:r>
      <w:r>
        <w:t>59</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_Toc16294 </w:instrText>
      </w:r>
      <w:r>
        <w:rPr>
          <w:rFonts w:ascii="Times New Roman" w:hAnsi="Times New Roman" w:cs="Times New Roman" w:eastAsiaTheme="minorEastAsia"/>
          <w:szCs w:val="22"/>
        </w:rPr>
        <w:fldChar w:fldCharType="separate"/>
      </w:r>
      <w:r>
        <w:rPr>
          <w:rFonts w:hint="eastAsia"/>
          <w:bCs w:val="0"/>
        </w:rPr>
        <w:t>第二十一章　</w:t>
      </w:r>
      <w:r>
        <w:rPr>
          <w:bCs w:val="0"/>
        </w:rPr>
        <w:t>改善水利基础设施</w:t>
      </w:r>
      <w:r>
        <w:tab/>
      </w:r>
      <w:r>
        <w:fldChar w:fldCharType="begin"/>
      </w:r>
      <w:r>
        <w:instrText xml:space="preserve"> PAGEREF _Toc16294 \h </w:instrText>
      </w:r>
      <w:r>
        <w:fldChar w:fldCharType="separate"/>
      </w:r>
      <w:r>
        <w:t>62</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_Toc16184 </w:instrText>
      </w:r>
      <w:r>
        <w:rPr>
          <w:rFonts w:ascii="Times New Roman" w:hAnsi="Times New Roman" w:cs="Times New Roman" w:eastAsiaTheme="minorEastAsia"/>
          <w:szCs w:val="22"/>
        </w:rPr>
        <w:fldChar w:fldCharType="separate"/>
      </w:r>
      <w:r>
        <w:rPr>
          <w:rFonts w:hint="eastAsia"/>
          <w:bCs w:val="0"/>
        </w:rPr>
        <w:t>第二十二章　加快发展新型基础设施</w:t>
      </w:r>
      <w:r>
        <w:tab/>
      </w:r>
      <w:r>
        <w:fldChar w:fldCharType="begin"/>
      </w:r>
      <w:r>
        <w:instrText xml:space="preserve"> PAGEREF _Toc16184 \h </w:instrText>
      </w:r>
      <w:r>
        <w:fldChar w:fldCharType="separate"/>
      </w:r>
      <w:r>
        <w:t>64</w:t>
      </w:r>
      <w:r>
        <w:fldChar w:fldCharType="end"/>
      </w:r>
      <w:r>
        <w:rPr>
          <w:rFonts w:ascii="Times New Roman" w:hAnsi="Times New Roman" w:cs="Times New Roman" w:eastAsiaTheme="minorEastAsia"/>
          <w:szCs w:val="22"/>
        </w:rPr>
        <w:fldChar w:fldCharType="end"/>
      </w:r>
    </w:p>
    <w:p>
      <w:pPr>
        <w:pStyle w:val="15"/>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_Toc21763 </w:instrText>
      </w:r>
      <w:r>
        <w:rPr>
          <w:rFonts w:ascii="Times New Roman" w:hAnsi="Times New Roman" w:cs="Times New Roman" w:eastAsiaTheme="minorEastAsia"/>
          <w:szCs w:val="22"/>
        </w:rPr>
        <w:fldChar w:fldCharType="separate"/>
      </w:r>
      <w:r>
        <w:rPr>
          <w:rFonts w:hint="eastAsia" w:eastAsia="方正小标宋简体"/>
          <w:bCs w:val="0"/>
        </w:rPr>
        <w:t xml:space="preserve">第七篇  </w:t>
      </w:r>
      <w:r>
        <w:rPr>
          <w:rFonts w:eastAsia="方正小标宋简体"/>
          <w:bCs w:val="0"/>
        </w:rPr>
        <w:t>推进新型城镇化，建设美丽滨湖花园城市</w:t>
      </w:r>
      <w:r>
        <w:tab/>
      </w:r>
      <w:r>
        <w:fldChar w:fldCharType="begin"/>
      </w:r>
      <w:r>
        <w:instrText xml:space="preserve"> PAGEREF _Toc21763 \h </w:instrText>
      </w:r>
      <w:r>
        <w:fldChar w:fldCharType="separate"/>
      </w:r>
      <w:r>
        <w:t>67</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_Toc2000 </w:instrText>
      </w:r>
      <w:r>
        <w:rPr>
          <w:rFonts w:ascii="Times New Roman" w:hAnsi="Times New Roman" w:cs="Times New Roman" w:eastAsiaTheme="minorEastAsia"/>
          <w:szCs w:val="22"/>
        </w:rPr>
        <w:fldChar w:fldCharType="separate"/>
      </w:r>
      <w:r>
        <w:rPr>
          <w:rFonts w:hint="eastAsia"/>
          <w:bCs w:val="0"/>
        </w:rPr>
        <w:t>第二十三章</w:t>
      </w:r>
      <w:r>
        <w:rPr>
          <w:bCs w:val="0"/>
        </w:rPr>
        <w:t xml:space="preserve">  </w:t>
      </w:r>
      <w:r>
        <w:rPr>
          <w:rFonts w:hint="eastAsia"/>
          <w:bCs w:val="0"/>
        </w:rPr>
        <w:t>优化新型城镇化布局</w:t>
      </w:r>
      <w:r>
        <w:tab/>
      </w:r>
      <w:r>
        <w:fldChar w:fldCharType="begin"/>
      </w:r>
      <w:r>
        <w:instrText xml:space="preserve"> PAGEREF _Toc2000 \h </w:instrText>
      </w:r>
      <w:r>
        <w:fldChar w:fldCharType="separate"/>
      </w:r>
      <w:r>
        <w:t>67</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_Toc15822 </w:instrText>
      </w:r>
      <w:r>
        <w:rPr>
          <w:rFonts w:ascii="Times New Roman" w:hAnsi="Times New Roman" w:cs="Times New Roman" w:eastAsiaTheme="minorEastAsia"/>
          <w:szCs w:val="22"/>
        </w:rPr>
        <w:fldChar w:fldCharType="separate"/>
      </w:r>
      <w:r>
        <w:rPr>
          <w:rFonts w:hint="eastAsia"/>
          <w:bCs w:val="0"/>
        </w:rPr>
        <w:t>第二十四章</w:t>
      </w:r>
      <w:r>
        <w:rPr>
          <w:bCs w:val="0"/>
        </w:rPr>
        <w:t xml:space="preserve">  </w:t>
      </w:r>
      <w:r>
        <w:rPr>
          <w:rFonts w:hint="eastAsia"/>
          <w:bCs w:val="0"/>
        </w:rPr>
        <w:t>推进以人为核心的新型城镇化</w:t>
      </w:r>
      <w:r>
        <w:tab/>
      </w:r>
      <w:r>
        <w:fldChar w:fldCharType="begin"/>
      </w:r>
      <w:r>
        <w:instrText xml:space="preserve"> PAGEREF _Toc15822 \h </w:instrText>
      </w:r>
      <w:r>
        <w:fldChar w:fldCharType="separate"/>
      </w:r>
      <w:r>
        <w:t>71</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_Toc28626 </w:instrText>
      </w:r>
      <w:r>
        <w:rPr>
          <w:rFonts w:ascii="Times New Roman" w:hAnsi="Times New Roman" w:cs="Times New Roman" w:eastAsiaTheme="minorEastAsia"/>
          <w:szCs w:val="22"/>
        </w:rPr>
        <w:fldChar w:fldCharType="separate"/>
      </w:r>
      <w:r>
        <w:rPr>
          <w:rFonts w:hint="eastAsia"/>
          <w:bCs w:val="0"/>
        </w:rPr>
        <w:t>第二十五章</w:t>
      </w:r>
      <w:r>
        <w:rPr>
          <w:bCs w:val="0"/>
        </w:rPr>
        <w:t xml:space="preserve"> </w:t>
      </w:r>
      <w:r>
        <w:rPr>
          <w:rFonts w:hint="eastAsia"/>
          <w:bCs w:val="0"/>
        </w:rPr>
        <w:t xml:space="preserve"> 深入实施城市更新行动</w:t>
      </w:r>
      <w:r>
        <w:tab/>
      </w:r>
      <w:r>
        <w:fldChar w:fldCharType="begin"/>
      </w:r>
      <w:r>
        <w:instrText xml:space="preserve"> PAGEREF _Toc28626 \h </w:instrText>
      </w:r>
      <w:r>
        <w:fldChar w:fldCharType="separate"/>
      </w:r>
      <w:r>
        <w:t>72</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_Toc24635 </w:instrText>
      </w:r>
      <w:r>
        <w:rPr>
          <w:rFonts w:ascii="Times New Roman" w:hAnsi="Times New Roman" w:cs="Times New Roman" w:eastAsiaTheme="minorEastAsia"/>
          <w:szCs w:val="22"/>
        </w:rPr>
        <w:fldChar w:fldCharType="separate"/>
      </w:r>
      <w:r>
        <w:rPr>
          <w:rFonts w:hint="eastAsia"/>
          <w:bCs w:val="0"/>
        </w:rPr>
        <w:t>第二十六章</w:t>
      </w:r>
      <w:r>
        <w:rPr>
          <w:bCs w:val="0"/>
        </w:rPr>
        <w:t xml:space="preserve">  </w:t>
      </w:r>
      <w:r>
        <w:rPr>
          <w:rFonts w:hint="eastAsia"/>
          <w:bCs w:val="0"/>
        </w:rPr>
        <w:t>促进城乡一体化发展</w:t>
      </w:r>
      <w:r>
        <w:tab/>
      </w:r>
      <w:r>
        <w:fldChar w:fldCharType="begin"/>
      </w:r>
      <w:r>
        <w:instrText xml:space="preserve"> PAGEREF _Toc24635 \h </w:instrText>
      </w:r>
      <w:r>
        <w:fldChar w:fldCharType="separate"/>
      </w:r>
      <w:r>
        <w:t>75</w:t>
      </w:r>
      <w:r>
        <w:fldChar w:fldCharType="end"/>
      </w:r>
      <w:r>
        <w:rPr>
          <w:rFonts w:ascii="Times New Roman" w:hAnsi="Times New Roman" w:cs="Times New Roman" w:eastAsiaTheme="minorEastAsia"/>
          <w:szCs w:val="22"/>
        </w:rPr>
        <w:fldChar w:fldCharType="end"/>
      </w:r>
    </w:p>
    <w:p>
      <w:pPr>
        <w:pStyle w:val="15"/>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_Toc13389 </w:instrText>
      </w:r>
      <w:r>
        <w:rPr>
          <w:rFonts w:ascii="Times New Roman" w:hAnsi="Times New Roman" w:cs="Times New Roman" w:eastAsiaTheme="minorEastAsia"/>
          <w:szCs w:val="22"/>
        </w:rPr>
        <w:fldChar w:fldCharType="separate"/>
      </w:r>
      <w:r>
        <w:rPr>
          <w:rFonts w:hint="eastAsia" w:eastAsia="方正小标宋简体"/>
          <w:bCs w:val="0"/>
          <w:spacing w:val="-17"/>
        </w:rPr>
        <w:t>第八篇　深入实施乡村振兴战略，促进城乡共同繁荣</w:t>
      </w:r>
      <w:r>
        <w:tab/>
      </w:r>
      <w:r>
        <w:fldChar w:fldCharType="begin"/>
      </w:r>
      <w:r>
        <w:instrText xml:space="preserve"> PAGEREF _Toc13389 \h </w:instrText>
      </w:r>
      <w:r>
        <w:fldChar w:fldCharType="separate"/>
      </w:r>
      <w:r>
        <w:t>77</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_Toc24098 </w:instrText>
      </w:r>
      <w:r>
        <w:rPr>
          <w:rFonts w:ascii="Times New Roman" w:hAnsi="Times New Roman" w:cs="Times New Roman" w:eastAsiaTheme="minorEastAsia"/>
          <w:szCs w:val="22"/>
        </w:rPr>
        <w:fldChar w:fldCharType="separate"/>
      </w:r>
      <w:r>
        <w:rPr>
          <w:rFonts w:hint="eastAsia"/>
          <w:bCs w:val="0"/>
        </w:rPr>
        <w:t>第二十七章</w:t>
      </w:r>
      <w:r>
        <w:rPr>
          <w:bCs w:val="0"/>
        </w:rPr>
        <w:t xml:space="preserve">  </w:t>
      </w:r>
      <w:r>
        <w:rPr>
          <w:rFonts w:hint="eastAsia"/>
          <w:bCs w:val="0"/>
        </w:rPr>
        <w:t>巩固拓展脱贫攻坚成果</w:t>
      </w:r>
      <w:r>
        <w:tab/>
      </w:r>
      <w:r>
        <w:fldChar w:fldCharType="begin"/>
      </w:r>
      <w:r>
        <w:instrText xml:space="preserve"> PAGEREF _Toc24098 \h </w:instrText>
      </w:r>
      <w:r>
        <w:fldChar w:fldCharType="separate"/>
      </w:r>
      <w:r>
        <w:t>77</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_Toc27829 </w:instrText>
      </w:r>
      <w:r>
        <w:rPr>
          <w:rFonts w:ascii="Times New Roman" w:hAnsi="Times New Roman" w:cs="Times New Roman" w:eastAsiaTheme="minorEastAsia"/>
          <w:szCs w:val="22"/>
        </w:rPr>
        <w:fldChar w:fldCharType="separate"/>
      </w:r>
      <w:r>
        <w:rPr>
          <w:rFonts w:hint="eastAsia"/>
          <w:bCs w:val="0"/>
        </w:rPr>
        <w:t>第二十八章　提高农业质量效益和竞争力</w:t>
      </w:r>
      <w:r>
        <w:tab/>
      </w:r>
      <w:r>
        <w:fldChar w:fldCharType="begin"/>
      </w:r>
      <w:r>
        <w:instrText xml:space="preserve"> PAGEREF _Toc27829 \h </w:instrText>
      </w:r>
      <w:r>
        <w:fldChar w:fldCharType="separate"/>
      </w:r>
      <w:r>
        <w:t>78</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_Toc25141 </w:instrText>
      </w:r>
      <w:r>
        <w:rPr>
          <w:rFonts w:ascii="Times New Roman" w:hAnsi="Times New Roman" w:cs="Times New Roman" w:eastAsiaTheme="minorEastAsia"/>
          <w:szCs w:val="22"/>
        </w:rPr>
        <w:fldChar w:fldCharType="separate"/>
      </w:r>
      <w:r>
        <w:rPr>
          <w:rFonts w:hint="eastAsia"/>
          <w:bCs w:val="0"/>
        </w:rPr>
        <w:t>第二十九章　实施乡村建设行动</w:t>
      </w:r>
      <w:r>
        <w:tab/>
      </w:r>
      <w:r>
        <w:fldChar w:fldCharType="begin"/>
      </w:r>
      <w:r>
        <w:instrText xml:space="preserve"> PAGEREF _Toc25141 \h </w:instrText>
      </w:r>
      <w:r>
        <w:fldChar w:fldCharType="separate"/>
      </w:r>
      <w:r>
        <w:t>79</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_Toc3516 </w:instrText>
      </w:r>
      <w:r>
        <w:rPr>
          <w:rFonts w:ascii="Times New Roman" w:hAnsi="Times New Roman" w:cs="Times New Roman" w:eastAsiaTheme="minorEastAsia"/>
          <w:szCs w:val="22"/>
        </w:rPr>
        <w:fldChar w:fldCharType="separate"/>
      </w:r>
      <w:r>
        <w:rPr>
          <w:rFonts w:hint="eastAsia"/>
          <w:bCs w:val="0"/>
        </w:rPr>
        <w:t>第三十章</w:t>
      </w:r>
      <w:r>
        <w:rPr>
          <w:bCs w:val="0"/>
        </w:rPr>
        <w:t xml:space="preserve">  </w:t>
      </w:r>
      <w:r>
        <w:rPr>
          <w:rFonts w:hint="eastAsia"/>
          <w:bCs w:val="0"/>
        </w:rPr>
        <w:t>深化农村改革</w:t>
      </w:r>
      <w:r>
        <w:tab/>
      </w:r>
      <w:r>
        <w:fldChar w:fldCharType="begin"/>
      </w:r>
      <w:r>
        <w:instrText xml:space="preserve"> PAGEREF _Toc3516 \h </w:instrText>
      </w:r>
      <w:r>
        <w:fldChar w:fldCharType="separate"/>
      </w:r>
      <w:r>
        <w:t>82</w:t>
      </w:r>
      <w:r>
        <w:fldChar w:fldCharType="end"/>
      </w:r>
      <w:r>
        <w:rPr>
          <w:rFonts w:ascii="Times New Roman" w:hAnsi="Times New Roman" w:cs="Times New Roman" w:eastAsiaTheme="minorEastAsia"/>
          <w:szCs w:val="22"/>
        </w:rPr>
        <w:fldChar w:fldCharType="end"/>
      </w:r>
    </w:p>
    <w:p>
      <w:pPr>
        <w:pStyle w:val="15"/>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_Toc22528 </w:instrText>
      </w:r>
      <w:r>
        <w:rPr>
          <w:rFonts w:ascii="Times New Roman" w:hAnsi="Times New Roman" w:cs="Times New Roman" w:eastAsiaTheme="minorEastAsia"/>
          <w:szCs w:val="22"/>
        </w:rPr>
        <w:fldChar w:fldCharType="separate"/>
      </w:r>
      <w:r>
        <w:rPr>
          <w:rFonts w:hint="eastAsia" w:eastAsia="方正小标宋简体"/>
          <w:bCs w:val="0"/>
        </w:rPr>
        <w:t>第九篇　深入实施创新驱动</w:t>
      </w:r>
      <w:r>
        <w:rPr>
          <w:rFonts w:hint="eastAsia" w:eastAsia="方正小标宋简体"/>
          <w:bCs w:val="0"/>
          <w:lang w:eastAsia="zh-CN"/>
        </w:rPr>
        <w:t>发展</w:t>
      </w:r>
      <w:r>
        <w:rPr>
          <w:rFonts w:hint="eastAsia" w:eastAsia="方正小标宋简体"/>
          <w:bCs w:val="0"/>
        </w:rPr>
        <w:t>战略，增强高质量发展新优势</w:t>
      </w:r>
      <w:r>
        <w:tab/>
      </w:r>
      <w:r>
        <w:fldChar w:fldCharType="begin"/>
      </w:r>
      <w:r>
        <w:instrText xml:space="preserve"> PAGEREF _Toc22528 \h </w:instrText>
      </w:r>
      <w:r>
        <w:fldChar w:fldCharType="separate"/>
      </w:r>
      <w:r>
        <w:t>84</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_Toc32729 </w:instrText>
      </w:r>
      <w:r>
        <w:rPr>
          <w:rFonts w:ascii="Times New Roman" w:hAnsi="Times New Roman" w:cs="Times New Roman" w:eastAsiaTheme="minorEastAsia"/>
          <w:szCs w:val="22"/>
        </w:rPr>
        <w:fldChar w:fldCharType="separate"/>
      </w:r>
      <w:r>
        <w:rPr>
          <w:rFonts w:hint="eastAsia"/>
          <w:bCs w:val="0"/>
        </w:rPr>
        <w:t>第三十一章　强化企业创新能力提升</w:t>
      </w:r>
      <w:r>
        <w:tab/>
      </w:r>
      <w:r>
        <w:fldChar w:fldCharType="begin"/>
      </w:r>
      <w:r>
        <w:instrText xml:space="preserve"> PAGEREF _Toc32729 \h </w:instrText>
      </w:r>
      <w:r>
        <w:fldChar w:fldCharType="separate"/>
      </w:r>
      <w:r>
        <w:t>84</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_Toc27858 </w:instrText>
      </w:r>
      <w:r>
        <w:rPr>
          <w:rFonts w:ascii="Times New Roman" w:hAnsi="Times New Roman" w:cs="Times New Roman" w:eastAsiaTheme="minorEastAsia"/>
          <w:szCs w:val="22"/>
        </w:rPr>
        <w:fldChar w:fldCharType="separate"/>
      </w:r>
      <w:r>
        <w:rPr>
          <w:rFonts w:hint="eastAsia"/>
          <w:bCs w:val="0"/>
        </w:rPr>
        <w:t>第三十二章　激发人才创新活力</w:t>
      </w:r>
      <w:r>
        <w:tab/>
      </w:r>
      <w:r>
        <w:fldChar w:fldCharType="begin"/>
      </w:r>
      <w:r>
        <w:instrText xml:space="preserve"> PAGEREF _Toc27858 \h </w:instrText>
      </w:r>
      <w:r>
        <w:fldChar w:fldCharType="separate"/>
      </w:r>
      <w:r>
        <w:t>86</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_Toc20230 </w:instrText>
      </w:r>
      <w:r>
        <w:rPr>
          <w:rFonts w:ascii="Times New Roman" w:hAnsi="Times New Roman" w:cs="Times New Roman" w:eastAsiaTheme="minorEastAsia"/>
          <w:szCs w:val="22"/>
        </w:rPr>
        <w:fldChar w:fldCharType="separate"/>
      </w:r>
      <w:r>
        <w:rPr>
          <w:rFonts w:hint="eastAsia"/>
          <w:bCs w:val="0"/>
        </w:rPr>
        <w:t>第三十三章　完善科技创新体制机制</w:t>
      </w:r>
      <w:r>
        <w:tab/>
      </w:r>
      <w:r>
        <w:fldChar w:fldCharType="begin"/>
      </w:r>
      <w:r>
        <w:instrText xml:space="preserve"> PAGEREF _Toc20230 \h </w:instrText>
      </w:r>
      <w:r>
        <w:fldChar w:fldCharType="separate"/>
      </w:r>
      <w:r>
        <w:t>88</w:t>
      </w:r>
      <w:r>
        <w:fldChar w:fldCharType="end"/>
      </w:r>
      <w:r>
        <w:rPr>
          <w:rFonts w:ascii="Times New Roman" w:hAnsi="Times New Roman" w:cs="Times New Roman" w:eastAsiaTheme="minorEastAsia"/>
          <w:szCs w:val="22"/>
        </w:rPr>
        <w:fldChar w:fldCharType="end"/>
      </w:r>
    </w:p>
    <w:p>
      <w:pPr>
        <w:pStyle w:val="15"/>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_Toc26880 </w:instrText>
      </w:r>
      <w:r>
        <w:rPr>
          <w:rFonts w:ascii="Times New Roman" w:hAnsi="Times New Roman" w:cs="Times New Roman" w:eastAsiaTheme="minorEastAsia"/>
          <w:szCs w:val="22"/>
        </w:rPr>
        <w:fldChar w:fldCharType="separate"/>
      </w:r>
      <w:r>
        <w:rPr>
          <w:rFonts w:hint="eastAsia" w:eastAsia="方正小标宋简体"/>
          <w:bCs w:val="0"/>
        </w:rPr>
        <w:t>第十篇　</w:t>
      </w:r>
      <w:r>
        <w:rPr>
          <w:rFonts w:eastAsia="方正小标宋简体"/>
          <w:bCs w:val="0"/>
        </w:rPr>
        <w:t>坚持绿色发展，促进人与自然和谐共生</w:t>
      </w:r>
      <w:r>
        <w:tab/>
      </w:r>
      <w:r>
        <w:fldChar w:fldCharType="begin"/>
      </w:r>
      <w:r>
        <w:instrText xml:space="preserve"> PAGEREF _Toc26880 \h </w:instrText>
      </w:r>
      <w:r>
        <w:fldChar w:fldCharType="separate"/>
      </w:r>
      <w:r>
        <w:t>91</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_Toc25985 </w:instrText>
      </w:r>
      <w:r>
        <w:rPr>
          <w:rFonts w:ascii="Times New Roman" w:hAnsi="Times New Roman" w:cs="Times New Roman" w:eastAsiaTheme="minorEastAsia"/>
          <w:szCs w:val="22"/>
        </w:rPr>
        <w:fldChar w:fldCharType="separate"/>
      </w:r>
      <w:r>
        <w:rPr>
          <w:rFonts w:hint="eastAsia"/>
          <w:bCs w:val="0"/>
        </w:rPr>
        <w:t>第三十四章  抓好星云湖保护治理</w:t>
      </w:r>
      <w:r>
        <w:tab/>
      </w:r>
      <w:r>
        <w:fldChar w:fldCharType="begin"/>
      </w:r>
      <w:r>
        <w:instrText xml:space="preserve"> PAGEREF _Toc25985 \h </w:instrText>
      </w:r>
      <w:r>
        <w:fldChar w:fldCharType="separate"/>
      </w:r>
      <w:r>
        <w:t>91</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_Toc11293 </w:instrText>
      </w:r>
      <w:r>
        <w:rPr>
          <w:rFonts w:ascii="Times New Roman" w:hAnsi="Times New Roman" w:cs="Times New Roman" w:eastAsiaTheme="minorEastAsia"/>
          <w:szCs w:val="22"/>
        </w:rPr>
        <w:fldChar w:fldCharType="separate"/>
      </w:r>
      <w:r>
        <w:rPr>
          <w:rFonts w:hint="eastAsia"/>
          <w:bCs w:val="0"/>
        </w:rPr>
        <w:t>第三十五章  持续改善环境质量</w:t>
      </w:r>
      <w:r>
        <w:tab/>
      </w:r>
      <w:r>
        <w:fldChar w:fldCharType="begin"/>
      </w:r>
      <w:r>
        <w:instrText xml:space="preserve"> PAGEREF _Toc11293 \h </w:instrText>
      </w:r>
      <w:r>
        <w:fldChar w:fldCharType="separate"/>
      </w:r>
      <w:r>
        <w:t>92</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_Toc4507 </w:instrText>
      </w:r>
      <w:r>
        <w:rPr>
          <w:rFonts w:ascii="Times New Roman" w:hAnsi="Times New Roman" w:cs="Times New Roman" w:eastAsiaTheme="minorEastAsia"/>
          <w:szCs w:val="22"/>
        </w:rPr>
        <w:fldChar w:fldCharType="separate"/>
      </w:r>
      <w:r>
        <w:rPr>
          <w:rFonts w:hint="eastAsia"/>
          <w:bCs w:val="0"/>
        </w:rPr>
        <w:t>第三十六章  推动绿色低碳发展</w:t>
      </w:r>
      <w:r>
        <w:tab/>
      </w:r>
      <w:r>
        <w:fldChar w:fldCharType="begin"/>
      </w:r>
      <w:r>
        <w:instrText xml:space="preserve"> PAGEREF _Toc4507 \h </w:instrText>
      </w:r>
      <w:r>
        <w:fldChar w:fldCharType="separate"/>
      </w:r>
      <w:r>
        <w:t>93</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_Toc11295 </w:instrText>
      </w:r>
      <w:r>
        <w:rPr>
          <w:rFonts w:ascii="Times New Roman" w:hAnsi="Times New Roman" w:cs="Times New Roman" w:eastAsiaTheme="minorEastAsia"/>
          <w:szCs w:val="22"/>
        </w:rPr>
        <w:fldChar w:fldCharType="separate"/>
      </w:r>
      <w:r>
        <w:rPr>
          <w:rFonts w:hint="eastAsia"/>
          <w:bCs w:val="0"/>
        </w:rPr>
        <w:t xml:space="preserve">第三十七章  </w:t>
      </w:r>
      <w:r>
        <w:rPr>
          <w:bCs w:val="0"/>
        </w:rPr>
        <w:t>完善环保制度</w:t>
      </w:r>
      <w:r>
        <w:tab/>
      </w:r>
      <w:r>
        <w:fldChar w:fldCharType="begin"/>
      </w:r>
      <w:r>
        <w:instrText xml:space="preserve"> PAGEREF _Toc11295 \h </w:instrText>
      </w:r>
      <w:r>
        <w:fldChar w:fldCharType="separate"/>
      </w:r>
      <w:r>
        <w:t>95</w:t>
      </w:r>
      <w:r>
        <w:fldChar w:fldCharType="end"/>
      </w:r>
      <w:r>
        <w:rPr>
          <w:rFonts w:ascii="Times New Roman" w:hAnsi="Times New Roman" w:cs="Times New Roman" w:eastAsiaTheme="minorEastAsia"/>
          <w:szCs w:val="22"/>
        </w:rPr>
        <w:fldChar w:fldCharType="end"/>
      </w:r>
    </w:p>
    <w:p>
      <w:pPr>
        <w:pStyle w:val="15"/>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_Toc22219 </w:instrText>
      </w:r>
      <w:r>
        <w:rPr>
          <w:rFonts w:ascii="Times New Roman" w:hAnsi="Times New Roman" w:cs="Times New Roman" w:eastAsiaTheme="minorEastAsia"/>
          <w:szCs w:val="22"/>
        </w:rPr>
        <w:fldChar w:fldCharType="separate"/>
      </w:r>
      <w:r>
        <w:rPr>
          <w:rFonts w:hint="eastAsia" w:eastAsia="方正小标宋简体"/>
          <w:bCs w:val="0"/>
        </w:rPr>
        <w:t>第十一篇　推动民生事业发展，</w:t>
      </w:r>
      <w:r>
        <w:rPr>
          <w:rFonts w:eastAsia="方正小标宋简体"/>
          <w:bCs w:val="0"/>
        </w:rPr>
        <w:t>改善人民生活品质</w:t>
      </w:r>
      <w:r>
        <w:tab/>
      </w:r>
      <w:r>
        <w:fldChar w:fldCharType="begin"/>
      </w:r>
      <w:r>
        <w:instrText xml:space="preserve"> PAGEREF _Toc22219 \h </w:instrText>
      </w:r>
      <w:r>
        <w:fldChar w:fldCharType="separate"/>
      </w:r>
      <w:r>
        <w:t>96</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_Toc5771 </w:instrText>
      </w:r>
      <w:r>
        <w:rPr>
          <w:rFonts w:ascii="Times New Roman" w:hAnsi="Times New Roman" w:cs="Times New Roman" w:eastAsiaTheme="minorEastAsia"/>
          <w:szCs w:val="22"/>
        </w:rPr>
        <w:fldChar w:fldCharType="separate"/>
      </w:r>
      <w:r>
        <w:rPr>
          <w:rFonts w:hint="eastAsia"/>
          <w:bCs w:val="0"/>
        </w:rPr>
        <w:t>第三十八章　健全就业公共服务体系</w:t>
      </w:r>
      <w:r>
        <w:tab/>
      </w:r>
      <w:r>
        <w:fldChar w:fldCharType="begin"/>
      </w:r>
      <w:r>
        <w:instrText xml:space="preserve"> PAGEREF _Toc5771 \h </w:instrText>
      </w:r>
      <w:r>
        <w:fldChar w:fldCharType="separate"/>
      </w:r>
      <w:r>
        <w:t>96</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_Toc19627 </w:instrText>
      </w:r>
      <w:r>
        <w:rPr>
          <w:rFonts w:ascii="Times New Roman" w:hAnsi="Times New Roman" w:cs="Times New Roman" w:eastAsiaTheme="minorEastAsia"/>
          <w:szCs w:val="22"/>
        </w:rPr>
        <w:fldChar w:fldCharType="separate"/>
      </w:r>
      <w:r>
        <w:rPr>
          <w:rFonts w:hint="eastAsia"/>
          <w:bCs w:val="0"/>
        </w:rPr>
        <w:t>第三十九章　办好人民满意的教育</w:t>
      </w:r>
      <w:r>
        <w:tab/>
      </w:r>
      <w:r>
        <w:fldChar w:fldCharType="begin"/>
      </w:r>
      <w:r>
        <w:instrText xml:space="preserve"> PAGEREF _Toc19627 \h </w:instrText>
      </w:r>
      <w:r>
        <w:fldChar w:fldCharType="separate"/>
      </w:r>
      <w:r>
        <w:t>97</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_Toc27677 </w:instrText>
      </w:r>
      <w:r>
        <w:rPr>
          <w:rFonts w:ascii="Times New Roman" w:hAnsi="Times New Roman" w:cs="Times New Roman" w:eastAsiaTheme="minorEastAsia"/>
          <w:szCs w:val="22"/>
        </w:rPr>
        <w:fldChar w:fldCharType="separate"/>
      </w:r>
      <w:r>
        <w:rPr>
          <w:rFonts w:hint="eastAsia"/>
          <w:bCs w:val="0"/>
        </w:rPr>
        <w:t>第四十章　加快建设“健康江川”</w:t>
      </w:r>
      <w:r>
        <w:tab/>
      </w:r>
      <w:r>
        <w:fldChar w:fldCharType="begin"/>
      </w:r>
      <w:r>
        <w:instrText xml:space="preserve"> PAGEREF _Toc27677 \h </w:instrText>
      </w:r>
      <w:r>
        <w:fldChar w:fldCharType="separate"/>
      </w:r>
      <w:r>
        <w:t>99</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_Toc8838 </w:instrText>
      </w:r>
      <w:r>
        <w:rPr>
          <w:rFonts w:ascii="Times New Roman" w:hAnsi="Times New Roman" w:cs="Times New Roman" w:eastAsiaTheme="minorEastAsia"/>
          <w:szCs w:val="22"/>
        </w:rPr>
        <w:fldChar w:fldCharType="separate"/>
      </w:r>
      <w:r>
        <w:rPr>
          <w:rFonts w:hint="eastAsia"/>
          <w:bCs w:val="0"/>
        </w:rPr>
        <w:t>第四十一章　健全多层次社会保障体系</w:t>
      </w:r>
      <w:r>
        <w:tab/>
      </w:r>
      <w:r>
        <w:fldChar w:fldCharType="begin"/>
      </w:r>
      <w:r>
        <w:instrText xml:space="preserve"> PAGEREF _Toc8838 \h </w:instrText>
      </w:r>
      <w:r>
        <w:fldChar w:fldCharType="separate"/>
      </w:r>
      <w:r>
        <w:t>101</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_Toc29314 </w:instrText>
      </w:r>
      <w:r>
        <w:rPr>
          <w:rFonts w:ascii="Times New Roman" w:hAnsi="Times New Roman" w:cs="Times New Roman" w:eastAsiaTheme="minorEastAsia"/>
          <w:szCs w:val="22"/>
        </w:rPr>
        <w:fldChar w:fldCharType="separate"/>
      </w:r>
      <w:r>
        <w:rPr>
          <w:rFonts w:hint="eastAsia"/>
          <w:bCs w:val="0"/>
        </w:rPr>
        <w:t>第四十二章　提升公共文化服务水平</w:t>
      </w:r>
      <w:r>
        <w:tab/>
      </w:r>
      <w:r>
        <w:fldChar w:fldCharType="begin"/>
      </w:r>
      <w:r>
        <w:instrText xml:space="preserve"> PAGEREF _Toc29314 \h </w:instrText>
      </w:r>
      <w:r>
        <w:fldChar w:fldCharType="separate"/>
      </w:r>
      <w:r>
        <w:t>102</w:t>
      </w:r>
      <w:r>
        <w:fldChar w:fldCharType="end"/>
      </w:r>
      <w:r>
        <w:rPr>
          <w:rFonts w:ascii="Times New Roman" w:hAnsi="Times New Roman" w:cs="Times New Roman" w:eastAsiaTheme="minorEastAsia"/>
          <w:szCs w:val="22"/>
        </w:rPr>
        <w:fldChar w:fldCharType="end"/>
      </w:r>
    </w:p>
    <w:p>
      <w:pPr>
        <w:pStyle w:val="15"/>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_Toc21657 </w:instrText>
      </w:r>
      <w:r>
        <w:rPr>
          <w:rFonts w:ascii="Times New Roman" w:hAnsi="Times New Roman" w:cs="Times New Roman" w:eastAsiaTheme="minorEastAsia"/>
          <w:szCs w:val="22"/>
        </w:rPr>
        <w:fldChar w:fldCharType="separate"/>
      </w:r>
      <w:r>
        <w:rPr>
          <w:rFonts w:hint="eastAsia" w:eastAsia="方正小标宋简体"/>
          <w:bCs w:val="0"/>
        </w:rPr>
        <w:t>第十二篇　提升社会治理水平，建设“平安江川”</w:t>
      </w:r>
      <w:r>
        <w:tab/>
      </w:r>
      <w:r>
        <w:fldChar w:fldCharType="begin"/>
      </w:r>
      <w:r>
        <w:instrText xml:space="preserve"> PAGEREF _Toc21657 \h </w:instrText>
      </w:r>
      <w:r>
        <w:fldChar w:fldCharType="separate"/>
      </w:r>
      <w:r>
        <w:t>105</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_Toc29987 </w:instrText>
      </w:r>
      <w:r>
        <w:rPr>
          <w:rFonts w:ascii="Times New Roman" w:hAnsi="Times New Roman" w:cs="Times New Roman" w:eastAsiaTheme="minorEastAsia"/>
          <w:szCs w:val="22"/>
        </w:rPr>
        <w:fldChar w:fldCharType="separate"/>
      </w:r>
      <w:r>
        <w:rPr>
          <w:rFonts w:hint="eastAsia"/>
          <w:bCs w:val="0"/>
        </w:rPr>
        <w:t>第四十三章　建设法治江川</w:t>
      </w:r>
      <w:r>
        <w:tab/>
      </w:r>
      <w:r>
        <w:fldChar w:fldCharType="begin"/>
      </w:r>
      <w:r>
        <w:instrText xml:space="preserve"> PAGEREF _Toc29987 \h </w:instrText>
      </w:r>
      <w:r>
        <w:fldChar w:fldCharType="separate"/>
      </w:r>
      <w:r>
        <w:t>105</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_Toc18499 </w:instrText>
      </w:r>
      <w:r>
        <w:rPr>
          <w:rFonts w:ascii="Times New Roman" w:hAnsi="Times New Roman" w:cs="Times New Roman" w:eastAsiaTheme="minorEastAsia"/>
          <w:szCs w:val="22"/>
        </w:rPr>
        <w:fldChar w:fldCharType="separate"/>
      </w:r>
      <w:r>
        <w:rPr>
          <w:rFonts w:hint="eastAsia"/>
          <w:bCs w:val="0"/>
        </w:rPr>
        <w:t>第四十四章　提升治理能力</w:t>
      </w:r>
      <w:r>
        <w:tab/>
      </w:r>
      <w:r>
        <w:fldChar w:fldCharType="begin"/>
      </w:r>
      <w:r>
        <w:instrText xml:space="preserve"> PAGEREF _Toc18499 \h </w:instrText>
      </w:r>
      <w:r>
        <w:fldChar w:fldCharType="separate"/>
      </w:r>
      <w:r>
        <w:t>105</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_Toc21783 </w:instrText>
      </w:r>
      <w:r>
        <w:rPr>
          <w:rFonts w:ascii="Times New Roman" w:hAnsi="Times New Roman" w:cs="Times New Roman" w:eastAsiaTheme="minorEastAsia"/>
          <w:szCs w:val="22"/>
        </w:rPr>
        <w:fldChar w:fldCharType="separate"/>
      </w:r>
      <w:r>
        <w:rPr>
          <w:rFonts w:hint="eastAsia"/>
          <w:bCs w:val="0"/>
        </w:rPr>
        <w:t>第四十五章　建设服务型政府</w:t>
      </w:r>
      <w:r>
        <w:tab/>
      </w:r>
      <w:r>
        <w:fldChar w:fldCharType="begin"/>
      </w:r>
      <w:r>
        <w:instrText xml:space="preserve"> PAGEREF _Toc21783 \h </w:instrText>
      </w:r>
      <w:r>
        <w:fldChar w:fldCharType="separate"/>
      </w:r>
      <w:r>
        <w:t>107</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_Toc28333 </w:instrText>
      </w:r>
      <w:r>
        <w:rPr>
          <w:rFonts w:ascii="Times New Roman" w:hAnsi="Times New Roman" w:cs="Times New Roman" w:eastAsiaTheme="minorEastAsia"/>
          <w:szCs w:val="22"/>
        </w:rPr>
        <w:fldChar w:fldCharType="separate"/>
      </w:r>
      <w:r>
        <w:rPr>
          <w:rFonts w:hint="eastAsia"/>
          <w:bCs w:val="0"/>
        </w:rPr>
        <w:t>第四十六章　提升社会治安防控水平</w:t>
      </w:r>
      <w:r>
        <w:tab/>
      </w:r>
      <w:r>
        <w:fldChar w:fldCharType="begin"/>
      </w:r>
      <w:r>
        <w:instrText xml:space="preserve"> PAGEREF _Toc28333 \h </w:instrText>
      </w:r>
      <w:r>
        <w:fldChar w:fldCharType="separate"/>
      </w:r>
      <w:r>
        <w:t>108</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_Toc10665 </w:instrText>
      </w:r>
      <w:r>
        <w:rPr>
          <w:rFonts w:ascii="Times New Roman" w:hAnsi="Times New Roman" w:cs="Times New Roman" w:eastAsiaTheme="minorEastAsia"/>
          <w:szCs w:val="22"/>
        </w:rPr>
        <w:fldChar w:fldCharType="separate"/>
      </w:r>
      <w:r>
        <w:rPr>
          <w:rFonts w:hint="eastAsia"/>
          <w:bCs w:val="0"/>
        </w:rPr>
        <w:t>第四十七章　完善权力运行制约和监督机制</w:t>
      </w:r>
      <w:r>
        <w:tab/>
      </w:r>
      <w:r>
        <w:fldChar w:fldCharType="begin"/>
      </w:r>
      <w:r>
        <w:instrText xml:space="preserve"> PAGEREF _Toc10665 \h </w:instrText>
      </w:r>
      <w:r>
        <w:fldChar w:fldCharType="separate"/>
      </w:r>
      <w:r>
        <w:t>109</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_Toc18863 </w:instrText>
      </w:r>
      <w:r>
        <w:rPr>
          <w:rFonts w:ascii="Times New Roman" w:hAnsi="Times New Roman" w:cs="Times New Roman" w:eastAsiaTheme="minorEastAsia"/>
          <w:szCs w:val="22"/>
        </w:rPr>
        <w:fldChar w:fldCharType="separate"/>
      </w:r>
      <w:r>
        <w:rPr>
          <w:bCs w:val="0"/>
        </w:rPr>
        <w:t>第</w:t>
      </w:r>
      <w:r>
        <w:rPr>
          <w:rFonts w:hint="eastAsia"/>
          <w:bCs w:val="0"/>
        </w:rPr>
        <w:t>四十八章 巩固民族团结进步成果</w:t>
      </w:r>
      <w:r>
        <w:tab/>
      </w:r>
      <w:r>
        <w:fldChar w:fldCharType="begin"/>
      </w:r>
      <w:r>
        <w:instrText xml:space="preserve"> PAGEREF _Toc18863 \h </w:instrText>
      </w:r>
      <w:r>
        <w:fldChar w:fldCharType="separate"/>
      </w:r>
      <w:r>
        <w:t>110</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_Toc32284 </w:instrText>
      </w:r>
      <w:r>
        <w:rPr>
          <w:rFonts w:ascii="Times New Roman" w:hAnsi="Times New Roman" w:cs="Times New Roman" w:eastAsiaTheme="minorEastAsia"/>
          <w:szCs w:val="22"/>
        </w:rPr>
        <w:fldChar w:fldCharType="separate"/>
      </w:r>
      <w:r>
        <w:rPr>
          <w:rFonts w:hint="eastAsia" w:eastAsia="方正小标宋简体"/>
          <w:bCs w:val="0"/>
          <w:lang w:eastAsia="zh-CN"/>
        </w:rPr>
        <w:t>第四十九章</w:t>
      </w:r>
      <w:r>
        <w:rPr>
          <w:rFonts w:hint="eastAsia" w:eastAsia="方正小标宋简体"/>
          <w:bCs w:val="0"/>
          <w:lang w:val="en-US" w:eastAsia="zh-CN"/>
        </w:rPr>
        <w:t xml:space="preserve">  加强国防动员及后备力量建设</w:t>
      </w:r>
      <w:r>
        <w:tab/>
      </w:r>
      <w:r>
        <w:fldChar w:fldCharType="begin"/>
      </w:r>
      <w:r>
        <w:instrText xml:space="preserve"> PAGEREF _Toc32284 \h </w:instrText>
      </w:r>
      <w:r>
        <w:fldChar w:fldCharType="separate"/>
      </w:r>
      <w:r>
        <w:t>112</w:t>
      </w:r>
      <w:r>
        <w:fldChar w:fldCharType="end"/>
      </w:r>
      <w:r>
        <w:rPr>
          <w:rFonts w:ascii="Times New Roman" w:hAnsi="Times New Roman" w:cs="Times New Roman" w:eastAsiaTheme="minorEastAsia"/>
          <w:szCs w:val="22"/>
        </w:rPr>
        <w:fldChar w:fldCharType="end"/>
      </w:r>
    </w:p>
    <w:p>
      <w:pPr>
        <w:pStyle w:val="15"/>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_Toc19721 </w:instrText>
      </w:r>
      <w:r>
        <w:rPr>
          <w:rFonts w:ascii="Times New Roman" w:hAnsi="Times New Roman" w:cs="Times New Roman" w:eastAsiaTheme="minorEastAsia"/>
          <w:szCs w:val="22"/>
        </w:rPr>
        <w:fldChar w:fldCharType="separate"/>
      </w:r>
      <w:r>
        <w:rPr>
          <w:rFonts w:hint="eastAsia" w:eastAsia="方正小标宋简体"/>
          <w:bCs w:val="0"/>
        </w:rPr>
        <w:t>第十三篇　规划实施保障</w:t>
      </w:r>
      <w:r>
        <w:tab/>
      </w:r>
      <w:r>
        <w:fldChar w:fldCharType="begin"/>
      </w:r>
      <w:r>
        <w:instrText xml:space="preserve"> PAGEREF _Toc19721 \h </w:instrText>
      </w:r>
      <w:r>
        <w:fldChar w:fldCharType="separate"/>
      </w:r>
      <w:r>
        <w:t>113</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_Toc24215 </w:instrText>
      </w:r>
      <w:r>
        <w:rPr>
          <w:rFonts w:ascii="Times New Roman" w:hAnsi="Times New Roman" w:cs="Times New Roman" w:eastAsiaTheme="minorEastAsia"/>
          <w:szCs w:val="22"/>
        </w:rPr>
        <w:fldChar w:fldCharType="separate"/>
      </w:r>
      <w:r>
        <w:rPr>
          <w:rFonts w:hint="eastAsia"/>
          <w:bCs w:val="0"/>
        </w:rPr>
        <w:t>第</w:t>
      </w:r>
      <w:r>
        <w:rPr>
          <w:rFonts w:hint="eastAsia"/>
          <w:bCs w:val="0"/>
          <w:lang w:eastAsia="zh-CN"/>
        </w:rPr>
        <w:t>五十</w:t>
      </w:r>
      <w:r>
        <w:rPr>
          <w:rFonts w:hint="eastAsia"/>
          <w:bCs w:val="0"/>
        </w:rPr>
        <w:t>章　坚持党的全面领导</w:t>
      </w:r>
      <w:r>
        <w:tab/>
      </w:r>
      <w:r>
        <w:fldChar w:fldCharType="begin"/>
      </w:r>
      <w:r>
        <w:instrText xml:space="preserve"> PAGEREF _Toc24215 \h </w:instrText>
      </w:r>
      <w:r>
        <w:fldChar w:fldCharType="separate"/>
      </w:r>
      <w:r>
        <w:t>113</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_Toc9760 </w:instrText>
      </w:r>
      <w:r>
        <w:rPr>
          <w:rFonts w:ascii="Times New Roman" w:hAnsi="Times New Roman" w:cs="Times New Roman" w:eastAsiaTheme="minorEastAsia"/>
          <w:szCs w:val="22"/>
        </w:rPr>
        <w:fldChar w:fldCharType="separate"/>
      </w:r>
      <w:r>
        <w:rPr>
          <w:rFonts w:hint="eastAsia"/>
          <w:bCs w:val="0"/>
        </w:rPr>
        <w:t>第五十</w:t>
      </w:r>
      <w:r>
        <w:rPr>
          <w:rFonts w:hint="eastAsia"/>
          <w:bCs w:val="0"/>
          <w:lang w:eastAsia="zh-CN"/>
        </w:rPr>
        <w:t>一</w:t>
      </w:r>
      <w:r>
        <w:rPr>
          <w:rFonts w:hint="eastAsia"/>
          <w:bCs w:val="0"/>
        </w:rPr>
        <w:t>章　加强规划统筹</w:t>
      </w:r>
      <w:r>
        <w:tab/>
      </w:r>
      <w:r>
        <w:fldChar w:fldCharType="begin"/>
      </w:r>
      <w:r>
        <w:instrText xml:space="preserve"> PAGEREF _Toc9760 \h </w:instrText>
      </w:r>
      <w:r>
        <w:fldChar w:fldCharType="separate"/>
      </w:r>
      <w:r>
        <w:t>114</w:t>
      </w:r>
      <w:r>
        <w:fldChar w:fldCharType="end"/>
      </w:r>
      <w:r>
        <w:rPr>
          <w:rFonts w:ascii="Times New Roman" w:hAnsi="Times New Roman" w:cs="Times New Roman" w:eastAsiaTheme="minorEastAsia"/>
          <w:szCs w:val="22"/>
        </w:rPr>
        <w:fldChar w:fldCharType="end"/>
      </w:r>
    </w:p>
    <w:p>
      <w:pPr>
        <w:pStyle w:val="16"/>
        <w:tabs>
          <w:tab w:val="right" w:leader="dot" w:pos="8844"/>
        </w:tabs>
      </w:pPr>
      <w:r>
        <w:rPr>
          <w:rFonts w:ascii="Times New Roman" w:hAnsi="Times New Roman" w:cs="Times New Roman" w:eastAsiaTheme="minorEastAsia"/>
          <w:szCs w:val="22"/>
        </w:rPr>
        <w:fldChar w:fldCharType="begin"/>
      </w:r>
      <w:r>
        <w:rPr>
          <w:rFonts w:ascii="Times New Roman" w:hAnsi="Times New Roman" w:cs="Times New Roman" w:eastAsiaTheme="minorEastAsia"/>
          <w:szCs w:val="22"/>
        </w:rPr>
        <w:instrText xml:space="preserve"> HYPERLINK \l _Toc13658 </w:instrText>
      </w:r>
      <w:r>
        <w:rPr>
          <w:rFonts w:ascii="Times New Roman" w:hAnsi="Times New Roman" w:cs="Times New Roman" w:eastAsiaTheme="minorEastAsia"/>
          <w:szCs w:val="22"/>
        </w:rPr>
        <w:fldChar w:fldCharType="separate"/>
      </w:r>
      <w:r>
        <w:rPr>
          <w:rFonts w:hint="eastAsia"/>
          <w:bCs w:val="0"/>
        </w:rPr>
        <w:t>第五十</w:t>
      </w:r>
      <w:r>
        <w:rPr>
          <w:rFonts w:hint="eastAsia"/>
          <w:bCs w:val="0"/>
          <w:lang w:eastAsia="zh-CN"/>
        </w:rPr>
        <w:t>二</w:t>
      </w:r>
      <w:r>
        <w:rPr>
          <w:rFonts w:hint="eastAsia"/>
          <w:bCs w:val="0"/>
        </w:rPr>
        <w:t>章　落实监测评估</w:t>
      </w:r>
      <w:r>
        <w:tab/>
      </w:r>
      <w:r>
        <w:fldChar w:fldCharType="begin"/>
      </w:r>
      <w:r>
        <w:instrText xml:space="preserve"> PAGEREF _Toc13658 \h </w:instrText>
      </w:r>
      <w:r>
        <w:fldChar w:fldCharType="separate"/>
      </w:r>
      <w:r>
        <w:t>114</w:t>
      </w:r>
      <w:r>
        <w:fldChar w:fldCharType="end"/>
      </w:r>
      <w:r>
        <w:rPr>
          <w:rFonts w:ascii="Times New Roman" w:hAnsi="Times New Roman" w:cs="Times New Roman" w:eastAsiaTheme="minorEastAsia"/>
          <w:szCs w:val="22"/>
        </w:rPr>
        <w:fldChar w:fldCharType="end"/>
      </w:r>
    </w:p>
    <w:p>
      <w:pPr>
        <w:pStyle w:val="16"/>
        <w:tabs>
          <w:tab w:val="right" w:leader="dot" w:pos="8844"/>
        </w:tabs>
        <w:rPr>
          <w:rFonts w:ascii="Times New Roman" w:hAnsi="Times New Roman" w:cs="Times New Roman"/>
          <w:color w:val="auto"/>
        </w:rPr>
      </w:pPr>
      <w:r>
        <w:rPr>
          <w:rFonts w:ascii="Times New Roman" w:hAnsi="Times New Roman" w:cs="Times New Roman" w:eastAsiaTheme="minorEastAsia"/>
          <w:szCs w:val="22"/>
        </w:rPr>
        <w:fldChar w:fldCharType="end"/>
      </w:r>
    </w:p>
    <w:p>
      <w:pPr>
        <w:rPr>
          <w:rFonts w:ascii="Times New Roman" w:hAnsi="Times New Roman" w:cs="Times New Roman"/>
        </w:rPr>
        <w:sectPr>
          <w:footerReference r:id="rId4" w:type="default"/>
          <w:pgSz w:w="11906" w:h="16838"/>
          <w:pgMar w:top="1814" w:right="1531" w:bottom="2098" w:left="1531" w:header="851" w:footer="1417" w:gutter="0"/>
          <w:pgNumType w:fmt="decimal" w:start="1"/>
          <w:cols w:space="0" w:num="1"/>
          <w:rtlGutter w:val="0"/>
          <w:docGrid w:type="lines" w:linePitch="312" w:charSpace="0"/>
        </w:sectPr>
      </w:pPr>
    </w:p>
    <w:p>
      <w:pPr>
        <w:pStyle w:val="3"/>
        <w:rPr>
          <w:rFonts w:eastAsia="方正小标宋简体"/>
          <w:b w:val="0"/>
          <w:bCs w:val="0"/>
          <w:color w:val="auto"/>
          <w:sz w:val="40"/>
        </w:rPr>
      </w:pPr>
      <w:bookmarkStart w:id="0" w:name="_Toc446364454"/>
      <w:bookmarkStart w:id="1" w:name="_Toc60062263"/>
      <w:bookmarkStart w:id="2" w:name="_Toc17438"/>
      <w:bookmarkStart w:id="3" w:name="_Toc16771"/>
      <w:bookmarkStart w:id="4" w:name="_Toc13986"/>
      <w:r>
        <w:rPr>
          <w:rFonts w:hint="eastAsia" w:eastAsia="方正小标宋简体"/>
          <w:b w:val="0"/>
          <w:bCs w:val="0"/>
          <w:color w:val="auto"/>
          <w:sz w:val="40"/>
        </w:rPr>
        <w:t>前  言</w:t>
      </w:r>
      <w:bookmarkEnd w:id="0"/>
      <w:bookmarkEnd w:id="1"/>
      <w:bookmarkEnd w:id="2"/>
      <w:bookmarkEnd w:id="3"/>
      <w:bookmarkEnd w:id="4"/>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“十四五”时期是江川在全面建成小康社会基础上，乘势而上开启社会主义现代化建设的第一个五年</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我们必须提高政治站位，认真总结工作，找准定位、明确目标、务实奋进，</w:t>
      </w:r>
      <w:r>
        <w:rPr>
          <w:rFonts w:ascii="Times New Roman" w:hAnsi="Times New Roman" w:eastAsia="方正仿宋_GBK"/>
          <w:color w:val="auto"/>
          <w:sz w:val="32"/>
          <w:szCs w:val="32"/>
        </w:rPr>
        <w:t>坚持“把握大势、长远规划，系统分析、全面规划，找准定位、精准规划，科学设置、务实规划”的原则，科学编制和有效实施“十四五”规划，</w:t>
      </w:r>
      <w:r>
        <w:rPr>
          <w:rFonts w:hint="eastAsia" w:ascii="Times New Roman" w:hAnsi="Times New Roman" w:eastAsia="方正仿宋_GBK"/>
          <w:color w:val="auto"/>
          <w:sz w:val="32"/>
          <w:szCs w:val="32"/>
        </w:rPr>
        <w:t>谱写全面建设社会主义现代化国家的江川新篇章。</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纲要》根据《云南省发展规划条例》《中共玉溪市委关于制定国民经济和社会发展第十四个五年规划和二〇三五年远景目标的建议》和《中共玉溪市江川区委关于制定国民经济和社会发展第十四个五年规划和二〇三五年远景目标的建议》编制，在全面总结“十三五”国民经济和社会发展成效的基础上，准确把握“十四五”时期发展环境新变化和发展阶段新特征，提出未来五年经济和社会发展的指导思想、发展定位、目标任务、发展重点及</w:t>
      </w:r>
      <w:r>
        <w:rPr>
          <w:rFonts w:hint="eastAsia" w:ascii="Times New Roman" w:hAnsi="Times New Roman" w:eastAsia="方正仿宋_GBK"/>
          <w:color w:val="auto"/>
          <w:sz w:val="32"/>
          <w:szCs w:val="32"/>
        </w:rPr>
        <w:t>保障措施</w:t>
      </w:r>
      <w:r>
        <w:rPr>
          <w:rFonts w:ascii="Times New Roman" w:hAnsi="Times New Roman" w:eastAsia="方正仿宋_GBK"/>
          <w:color w:val="auto"/>
          <w:sz w:val="32"/>
          <w:szCs w:val="32"/>
        </w:rPr>
        <w:t>。《纲要》是“十四五”期间经济和社会发展战略性、纲领性、综合性的总体规划，是政府履行经济调节、市场监管、社会管理和公共服务职责的重要依据，是编制和实施国民经济和社会发展各类专项规划、年度计划以及制定相关政策的重要依据，是指导全区各族人民未来五年共同发展的行动纲领。</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规划年限：2021—2025年。</w:t>
      </w:r>
    </w:p>
    <w:p>
      <w:pPr>
        <w:spacing w:line="560" w:lineRule="exact"/>
        <w:ind w:firstLine="645"/>
        <w:rPr>
          <w:rFonts w:ascii="Times New Roman" w:hAnsi="Times New Roman" w:eastAsia="方正仿宋_GBK"/>
          <w:color w:val="auto"/>
          <w:sz w:val="32"/>
          <w:szCs w:val="28"/>
        </w:rPr>
        <w:sectPr>
          <w:footerReference r:id="rId5" w:type="default"/>
          <w:pgSz w:w="11906" w:h="16838"/>
          <w:pgMar w:top="1814" w:right="1531" w:bottom="2098" w:left="1531" w:header="851" w:footer="1417" w:gutter="0"/>
          <w:pgNumType w:fmt="decimal" w:start="1"/>
          <w:cols w:space="0" w:num="1"/>
          <w:rtlGutter w:val="0"/>
          <w:docGrid w:type="lines" w:linePitch="312" w:charSpace="0"/>
        </w:sectPr>
      </w:pPr>
    </w:p>
    <w:p>
      <w:pPr>
        <w:pStyle w:val="3"/>
        <w:rPr>
          <w:rFonts w:eastAsia="方正小标宋简体"/>
          <w:b w:val="0"/>
          <w:bCs w:val="0"/>
          <w:color w:val="auto"/>
          <w:sz w:val="36"/>
          <w:szCs w:val="28"/>
        </w:rPr>
      </w:pPr>
      <w:bookmarkStart w:id="5" w:name="_Toc55540748"/>
      <w:bookmarkStart w:id="6" w:name="_Toc31084"/>
      <w:bookmarkStart w:id="7" w:name="_Toc18838"/>
      <w:bookmarkStart w:id="8" w:name="_Toc446364455"/>
      <w:bookmarkStart w:id="9" w:name="_Toc8595"/>
      <w:r>
        <w:rPr>
          <w:rFonts w:eastAsia="方正小标宋简体"/>
          <w:b w:val="0"/>
          <w:bCs w:val="0"/>
          <w:color w:val="auto"/>
          <w:sz w:val="40"/>
        </w:rPr>
        <w:t>第一篇　发展基础</w:t>
      </w:r>
      <w:bookmarkEnd w:id="5"/>
      <w:r>
        <w:rPr>
          <w:rFonts w:eastAsia="方正小标宋简体"/>
          <w:b w:val="0"/>
          <w:bCs w:val="0"/>
          <w:color w:val="auto"/>
          <w:sz w:val="40"/>
        </w:rPr>
        <w:t>和发展环境</w:t>
      </w:r>
      <w:bookmarkEnd w:id="6"/>
      <w:bookmarkEnd w:id="7"/>
      <w:bookmarkEnd w:id="8"/>
      <w:bookmarkEnd w:id="9"/>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站在新的历史起点上，必须深入学习领会党的</w:t>
      </w:r>
      <w:r>
        <w:rPr>
          <w:rFonts w:hint="eastAsia" w:ascii="Times New Roman" w:hAnsi="Times New Roman" w:eastAsia="方正仿宋_GBK"/>
          <w:color w:val="auto"/>
          <w:sz w:val="32"/>
          <w:szCs w:val="32"/>
          <w:lang w:eastAsia="zh-CN"/>
        </w:rPr>
        <w:t>十九大和</w:t>
      </w:r>
      <w:r>
        <w:rPr>
          <w:rFonts w:hint="eastAsia" w:ascii="Times New Roman" w:hAnsi="Times New Roman" w:eastAsia="方正仿宋_GBK"/>
          <w:color w:val="auto"/>
          <w:sz w:val="32"/>
          <w:szCs w:val="32"/>
        </w:rPr>
        <w:t>十九届</w:t>
      </w:r>
      <w:r>
        <w:rPr>
          <w:rFonts w:hint="eastAsia" w:ascii="Times New Roman" w:hAnsi="Times New Roman" w:eastAsia="方正仿宋_GBK"/>
          <w:color w:val="auto"/>
          <w:sz w:val="32"/>
          <w:szCs w:val="32"/>
          <w:lang w:eastAsia="zh-CN"/>
        </w:rPr>
        <w:t>二中、三中、四中、</w:t>
      </w:r>
      <w:r>
        <w:rPr>
          <w:rFonts w:hint="eastAsia" w:ascii="Times New Roman" w:hAnsi="Times New Roman" w:eastAsia="方正仿宋_GBK"/>
          <w:color w:val="auto"/>
          <w:sz w:val="32"/>
          <w:szCs w:val="32"/>
        </w:rPr>
        <w:t>五中全会精神，学习贯彻习近平总书记考察云南重要讲话精神，科学把握新发展阶段的新形势、新任务、新要求，正确认识和把握江川在全市、全省和全国发展大局中的地位和作用，切实把思想和行动统一到党中央、省委省政府和市委市政府决策部署上来，齐心协力朝着第二个百年奋斗目标奋勇前进。</w:t>
      </w:r>
    </w:p>
    <w:p>
      <w:pPr>
        <w:pStyle w:val="4"/>
        <w:rPr>
          <w:b w:val="0"/>
          <w:bCs w:val="0"/>
          <w:color w:val="auto"/>
          <w:sz w:val="36"/>
        </w:rPr>
      </w:pPr>
      <w:bookmarkStart w:id="10" w:name="_Toc446364456"/>
      <w:bookmarkStart w:id="11" w:name="_Toc8707"/>
      <w:bookmarkStart w:id="12" w:name="_Toc31641"/>
      <w:bookmarkStart w:id="13" w:name="_Toc22887"/>
      <w:r>
        <w:rPr>
          <w:b w:val="0"/>
          <w:bCs w:val="0"/>
          <w:color w:val="auto"/>
          <w:sz w:val="36"/>
        </w:rPr>
        <w:t>第一</w:t>
      </w:r>
      <w:r>
        <w:rPr>
          <w:rFonts w:hint="eastAsia"/>
          <w:b w:val="0"/>
          <w:bCs w:val="0"/>
          <w:color w:val="auto"/>
          <w:sz w:val="36"/>
        </w:rPr>
        <w:t>章</w:t>
      </w:r>
      <w:r>
        <w:rPr>
          <w:b w:val="0"/>
          <w:bCs w:val="0"/>
          <w:color w:val="auto"/>
          <w:sz w:val="36"/>
        </w:rPr>
        <w:t>　发展基础</w:t>
      </w:r>
      <w:bookmarkEnd w:id="10"/>
      <w:bookmarkEnd w:id="11"/>
      <w:bookmarkEnd w:id="12"/>
      <w:bookmarkEnd w:id="13"/>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“十三五”时期，面对稳增长稳投资压力加大、财政收支矛盾日益突出、新冠肺炎疫情</w:t>
      </w:r>
      <w:r>
        <w:rPr>
          <w:rFonts w:hint="eastAsia" w:ascii="Times New Roman" w:hAnsi="Times New Roman" w:eastAsia="方正仿宋_GBK"/>
          <w:color w:val="auto"/>
          <w:sz w:val="32"/>
          <w:szCs w:val="32"/>
        </w:rPr>
        <w:t>严重冲击</w:t>
      </w:r>
      <w:r>
        <w:rPr>
          <w:rFonts w:ascii="Times New Roman" w:hAnsi="Times New Roman" w:eastAsia="方正仿宋_GBK"/>
          <w:color w:val="auto"/>
          <w:sz w:val="32"/>
          <w:szCs w:val="32"/>
        </w:rPr>
        <w:t>等诸多困难，区委区政府坚持以习近平新时代中国特色社会主义思想为指导，认真贯彻落实中央、省、市决策部署，团结带领全区广大干部群众，沉着有力应对各种风险挑战，着力办大事、抓要事、做实事，</w:t>
      </w:r>
      <w:r>
        <w:rPr>
          <w:rFonts w:hint="eastAsia" w:ascii="Times New Roman" w:hAnsi="Times New Roman" w:eastAsia="方正仿宋_GBK"/>
          <w:color w:val="auto"/>
          <w:sz w:val="32"/>
          <w:szCs w:val="32"/>
        </w:rPr>
        <w:t>决胜全面建成小康社会取得决定性成就</w:t>
      </w:r>
      <w:r>
        <w:rPr>
          <w:rFonts w:ascii="Times New Roman" w:hAnsi="Times New Roman" w:eastAsia="方正仿宋_GBK"/>
          <w:color w:val="auto"/>
          <w:sz w:val="32"/>
          <w:szCs w:val="32"/>
        </w:rPr>
        <w:t>。</w:t>
      </w:r>
    </w:p>
    <w:p>
      <w:pPr>
        <w:spacing w:line="560" w:lineRule="exact"/>
        <w:ind w:firstLine="640" w:firstLineChars="200"/>
        <w:rPr>
          <w:rFonts w:ascii="Times New Roman" w:hAnsi="Times New Roman" w:eastAsia="黑体"/>
          <w:color w:val="auto"/>
          <w:sz w:val="32"/>
          <w:szCs w:val="32"/>
        </w:rPr>
      </w:pPr>
      <w:bookmarkStart w:id="14" w:name="_Toc34000555"/>
      <w:r>
        <w:rPr>
          <w:rFonts w:ascii="Times New Roman" w:hAnsi="Times New Roman" w:eastAsia="黑体"/>
          <w:color w:val="auto"/>
          <w:sz w:val="32"/>
          <w:szCs w:val="32"/>
        </w:rPr>
        <w:t>一、经济发展迈上新台阶</w:t>
      </w:r>
    </w:p>
    <w:p>
      <w:pPr>
        <w:spacing w:line="560" w:lineRule="exact"/>
        <w:ind w:firstLine="640" w:firstLineChars="200"/>
        <w:rPr>
          <w:rFonts w:ascii="Times New Roman" w:hAnsi="Times New Roman" w:eastAsia="方正仿宋_GBK"/>
          <w:color w:val="auto"/>
          <w:sz w:val="32"/>
          <w:szCs w:val="32"/>
          <w:highlight w:val="none"/>
        </w:rPr>
      </w:pPr>
      <w:r>
        <w:rPr>
          <w:rFonts w:ascii="Times New Roman" w:hAnsi="Times New Roman" w:eastAsia="方正仿宋_GBK"/>
          <w:color w:val="auto"/>
          <w:sz w:val="32"/>
          <w:szCs w:val="32"/>
        </w:rPr>
        <w:t xml:space="preserve"> “十三五”规划执行情况总体良好，</w:t>
      </w:r>
      <w:r>
        <w:rPr>
          <w:rFonts w:hint="eastAsia" w:ascii="Times New Roman" w:hAnsi="Times New Roman" w:eastAsia="方正仿宋_GBK"/>
          <w:color w:val="auto"/>
          <w:sz w:val="32"/>
          <w:szCs w:val="32"/>
          <w:lang w:val="en-US" w:eastAsia="zh-CN"/>
        </w:rPr>
        <w:t>30项指标中，</w:t>
      </w:r>
      <w:r>
        <w:rPr>
          <w:rFonts w:ascii="Times New Roman" w:hAnsi="Times New Roman" w:eastAsia="方正仿宋_GBK"/>
          <w:color w:val="auto"/>
          <w:sz w:val="32"/>
          <w:szCs w:val="32"/>
        </w:rPr>
        <w:t>11项指标在2019年底提前完成，</w:t>
      </w:r>
      <w:r>
        <w:rPr>
          <w:rFonts w:hint="eastAsia" w:ascii="Times New Roman" w:hAnsi="Times New Roman" w:eastAsia="方正仿宋_GBK"/>
          <w:color w:val="auto"/>
          <w:sz w:val="32"/>
          <w:szCs w:val="32"/>
          <w:lang w:val="en-US" w:eastAsia="zh-CN"/>
        </w:rPr>
        <w:t>11项指标能够按时完成，8项指标完成有困难，</w:t>
      </w:r>
      <w:r>
        <w:rPr>
          <w:rFonts w:ascii="Times New Roman" w:hAnsi="Times New Roman" w:eastAsia="方正仿宋_GBK"/>
          <w:color w:val="auto"/>
          <w:sz w:val="32"/>
          <w:szCs w:val="32"/>
        </w:rPr>
        <w:t>主要规划目标任务基本完成，各项经济指标保持平稳较快增长，综合实力稳步提升。成功实现“撤县设区”，城市化进程逐步加快。生态文明建设成效显著，星云湖水质脱劣目标如期实现，环湖文旅康养体育等产业布局顺利，环星云湖生态旅游发展优势逐步显现。园区经济发展势头良好，</w:t>
      </w:r>
      <w:r>
        <w:rPr>
          <w:rFonts w:hint="eastAsia" w:ascii="Times New Roman" w:hAnsi="Times New Roman" w:eastAsia="方正仿宋_GBK"/>
          <w:color w:val="auto"/>
          <w:sz w:val="32"/>
          <w:szCs w:val="32"/>
          <w:lang w:eastAsia="zh-CN"/>
        </w:rPr>
        <w:t>高新区龙泉片区</w:t>
      </w:r>
      <w:r>
        <w:rPr>
          <w:rFonts w:ascii="Times New Roman" w:hAnsi="Times New Roman" w:eastAsia="方正仿宋_GBK"/>
          <w:color w:val="auto"/>
          <w:sz w:val="32"/>
          <w:szCs w:val="32"/>
        </w:rPr>
        <w:t>带动示范作用不断增强，江城纸制品产业园和雄关</w:t>
      </w:r>
      <w:r>
        <w:rPr>
          <w:rFonts w:hint="eastAsia" w:ascii="Times New Roman" w:hAnsi="Times New Roman" w:eastAsia="方正仿宋_GBK"/>
          <w:color w:val="auto"/>
          <w:sz w:val="32"/>
          <w:szCs w:val="32"/>
          <w:lang w:eastAsia="zh-CN"/>
        </w:rPr>
        <w:t>绿色农产品加工产业园</w:t>
      </w:r>
      <w:r>
        <w:rPr>
          <w:rFonts w:ascii="Times New Roman" w:hAnsi="Times New Roman" w:eastAsia="方正仿宋_GBK"/>
          <w:color w:val="auto"/>
          <w:sz w:val="32"/>
          <w:szCs w:val="32"/>
        </w:rPr>
        <w:t>从无到有、快速发展。各乡镇特色产业发展蓬勃兴旺，融合协调发展能力不断增强。</w:t>
      </w:r>
      <w:r>
        <w:rPr>
          <w:rFonts w:ascii="Times New Roman" w:hAnsi="Times New Roman" w:eastAsia="方正仿宋_GBK"/>
          <w:color w:val="auto"/>
          <w:sz w:val="32"/>
          <w:szCs w:val="32"/>
          <w:highlight w:val="none"/>
        </w:rPr>
        <w:t>全区地区生产总值由2015年的</w:t>
      </w:r>
      <w:r>
        <w:rPr>
          <w:rFonts w:hint="eastAsia" w:ascii="Times New Roman" w:hAnsi="Times New Roman" w:eastAsia="方正仿宋_GBK"/>
          <w:color w:val="auto"/>
          <w:sz w:val="32"/>
          <w:szCs w:val="32"/>
          <w:highlight w:val="none"/>
          <w:lang w:val="en-US" w:eastAsia="zh-CN"/>
        </w:rPr>
        <w:t>80.3</w:t>
      </w:r>
      <w:r>
        <w:rPr>
          <w:rFonts w:ascii="Times New Roman" w:hAnsi="Times New Roman" w:eastAsia="方正仿宋_GBK"/>
          <w:color w:val="auto"/>
          <w:sz w:val="32"/>
          <w:szCs w:val="32"/>
          <w:highlight w:val="none"/>
        </w:rPr>
        <w:t>亿元增加到</w:t>
      </w:r>
      <w:r>
        <w:rPr>
          <w:rFonts w:hint="eastAsia" w:ascii="Times New Roman" w:hAnsi="Times New Roman" w:eastAsia="方正仿宋_GBK"/>
          <w:color w:val="auto"/>
          <w:sz w:val="32"/>
          <w:szCs w:val="32"/>
          <w:highlight w:val="none"/>
          <w:lang w:val="en-US" w:eastAsia="zh-CN"/>
        </w:rPr>
        <w:t>2020</w:t>
      </w:r>
      <w:r>
        <w:rPr>
          <w:rFonts w:ascii="Times New Roman" w:hAnsi="Times New Roman" w:eastAsia="方正仿宋_GBK"/>
          <w:color w:val="auto"/>
          <w:sz w:val="32"/>
          <w:szCs w:val="32"/>
          <w:highlight w:val="none"/>
        </w:rPr>
        <w:t>年</w:t>
      </w:r>
      <w:r>
        <w:rPr>
          <w:rFonts w:hint="eastAsia" w:ascii="Times New Roman" w:hAnsi="Times New Roman" w:eastAsia="方正仿宋_GBK"/>
          <w:color w:val="auto"/>
          <w:sz w:val="32"/>
          <w:szCs w:val="32"/>
          <w:highlight w:val="none"/>
          <w:lang w:val="en-US" w:eastAsia="zh-CN"/>
        </w:rPr>
        <w:t>146.7</w:t>
      </w:r>
      <w:r>
        <w:rPr>
          <w:rFonts w:ascii="Times New Roman" w:hAnsi="Times New Roman" w:eastAsia="方正仿宋_GBK"/>
          <w:color w:val="auto"/>
          <w:sz w:val="32"/>
          <w:szCs w:val="32"/>
          <w:highlight w:val="none"/>
        </w:rPr>
        <w:t>亿元，增加</w:t>
      </w:r>
      <w:r>
        <w:rPr>
          <w:rFonts w:hint="eastAsia" w:ascii="Times New Roman" w:hAnsi="Times New Roman" w:eastAsia="方正仿宋_GBK"/>
          <w:color w:val="auto"/>
          <w:sz w:val="32"/>
          <w:szCs w:val="32"/>
          <w:highlight w:val="none"/>
          <w:lang w:val="en-US" w:eastAsia="zh-CN"/>
        </w:rPr>
        <w:t>66.4</w:t>
      </w:r>
      <w:r>
        <w:rPr>
          <w:rFonts w:ascii="Times New Roman" w:hAnsi="Times New Roman" w:eastAsia="方正仿宋_GBK"/>
          <w:color w:val="auto"/>
          <w:sz w:val="32"/>
          <w:szCs w:val="32"/>
          <w:highlight w:val="none"/>
        </w:rPr>
        <w:t>亿元，年均增长</w:t>
      </w:r>
      <w:r>
        <w:rPr>
          <w:rFonts w:hint="eastAsia" w:ascii="Times New Roman" w:hAnsi="Times New Roman" w:eastAsia="方正仿宋_GBK"/>
          <w:color w:val="auto"/>
          <w:sz w:val="32"/>
          <w:szCs w:val="32"/>
          <w:highlight w:val="none"/>
          <w:lang w:val="en-US" w:eastAsia="zh-CN"/>
        </w:rPr>
        <w:t>10.2</w:t>
      </w:r>
      <w:r>
        <w:rPr>
          <w:rFonts w:ascii="Times New Roman" w:hAnsi="Times New Roman" w:eastAsia="方正仿宋_GBK"/>
          <w:color w:val="auto"/>
          <w:sz w:val="32"/>
          <w:szCs w:val="32"/>
          <w:highlight w:val="none"/>
        </w:rPr>
        <w:t>%</w:t>
      </w:r>
      <w:r>
        <w:rPr>
          <w:rFonts w:hint="eastAsia" w:ascii="Times New Roman" w:hAnsi="Times New Roman" w:eastAsia="方正仿宋_GBK"/>
          <w:color w:val="auto"/>
          <w:sz w:val="32"/>
          <w:szCs w:val="32"/>
          <w:highlight w:val="none"/>
          <w:lang w:val="en-US" w:eastAsia="zh-CN"/>
        </w:rPr>
        <w:t>。</w:t>
      </w:r>
      <w:r>
        <w:rPr>
          <w:rFonts w:ascii="Times New Roman" w:hAnsi="Times New Roman" w:eastAsia="方正仿宋_GBK"/>
          <w:color w:val="auto"/>
          <w:sz w:val="32"/>
          <w:szCs w:val="32"/>
          <w:highlight w:val="none"/>
        </w:rPr>
        <w:t>2016-20</w:t>
      </w:r>
      <w:r>
        <w:rPr>
          <w:rFonts w:hint="eastAsia" w:ascii="Times New Roman" w:hAnsi="Times New Roman" w:eastAsia="方正仿宋_GBK"/>
          <w:color w:val="auto"/>
          <w:sz w:val="32"/>
          <w:szCs w:val="32"/>
          <w:highlight w:val="none"/>
          <w:lang w:val="en-US" w:eastAsia="zh-CN"/>
        </w:rPr>
        <w:t>20</w:t>
      </w:r>
      <w:r>
        <w:rPr>
          <w:rFonts w:ascii="Times New Roman" w:hAnsi="Times New Roman" w:eastAsia="方正仿宋_GBK"/>
          <w:color w:val="auto"/>
          <w:sz w:val="32"/>
          <w:szCs w:val="32"/>
          <w:highlight w:val="none"/>
        </w:rPr>
        <w:t>年累计完成500万元以上固定资产投资</w:t>
      </w:r>
      <w:r>
        <w:rPr>
          <w:rFonts w:hint="eastAsia" w:ascii="Times New Roman" w:hAnsi="Times New Roman" w:eastAsia="方正仿宋_GBK"/>
          <w:color w:val="auto"/>
          <w:sz w:val="32"/>
          <w:szCs w:val="32"/>
          <w:highlight w:val="none"/>
        </w:rPr>
        <w:t>324.98亿元，</w:t>
      </w:r>
      <w:r>
        <w:rPr>
          <w:rFonts w:hint="eastAsia" w:ascii="Times New Roman" w:hAnsi="Times New Roman" w:eastAsia="方正仿宋_GBK"/>
          <w:color w:val="auto"/>
          <w:sz w:val="32"/>
          <w:szCs w:val="32"/>
        </w:rPr>
        <w:t>比“十二五”增加182.65亿元，是“十二五”的2.28倍</w:t>
      </w:r>
      <w:r>
        <w:rPr>
          <w:rFonts w:ascii="Times New Roman" w:hAnsi="Times New Roman" w:eastAsia="方正仿宋_GBK"/>
          <w:color w:val="auto"/>
          <w:sz w:val="32"/>
          <w:szCs w:val="32"/>
        </w:rPr>
        <w:t>。</w:t>
      </w:r>
      <w:r>
        <w:rPr>
          <w:rFonts w:ascii="Times New Roman" w:hAnsi="Times New Roman" w:eastAsia="方正仿宋_GBK"/>
          <w:color w:val="auto"/>
          <w:sz w:val="32"/>
          <w:szCs w:val="32"/>
          <w:highlight w:val="none"/>
        </w:rPr>
        <w:t>城镇常住居民人均可支配收入由2015年的28509元增加到</w:t>
      </w:r>
      <w:r>
        <w:rPr>
          <w:rFonts w:hint="eastAsia" w:ascii="Times New Roman" w:hAnsi="Times New Roman" w:eastAsia="方正仿宋_GBK"/>
          <w:color w:val="auto"/>
          <w:sz w:val="32"/>
          <w:szCs w:val="32"/>
          <w:highlight w:val="none"/>
          <w:lang w:val="en-US" w:eastAsia="zh-CN"/>
        </w:rPr>
        <w:t>2020</w:t>
      </w:r>
      <w:r>
        <w:rPr>
          <w:rFonts w:ascii="Times New Roman" w:hAnsi="Times New Roman" w:eastAsia="方正仿宋_GBK"/>
          <w:color w:val="auto"/>
          <w:sz w:val="32"/>
          <w:szCs w:val="32"/>
          <w:highlight w:val="none"/>
        </w:rPr>
        <w:t>年的</w:t>
      </w:r>
      <w:r>
        <w:rPr>
          <w:rFonts w:hint="eastAsia" w:ascii="Times New Roman" w:hAnsi="Times New Roman" w:eastAsia="方正仿宋_GBK"/>
          <w:color w:val="auto"/>
          <w:sz w:val="32"/>
          <w:szCs w:val="32"/>
          <w:highlight w:val="none"/>
          <w:lang w:val="en-US" w:eastAsia="zh-CN"/>
        </w:rPr>
        <w:t>41158</w:t>
      </w:r>
      <w:r>
        <w:rPr>
          <w:rFonts w:ascii="Times New Roman" w:hAnsi="Times New Roman" w:eastAsia="方正仿宋_GBK"/>
          <w:color w:val="auto"/>
          <w:sz w:val="32"/>
          <w:szCs w:val="32"/>
          <w:highlight w:val="none"/>
        </w:rPr>
        <w:t>元，增加</w:t>
      </w:r>
      <w:r>
        <w:rPr>
          <w:rFonts w:hint="eastAsia" w:ascii="Times New Roman" w:hAnsi="Times New Roman" w:eastAsia="方正仿宋_GBK"/>
          <w:color w:val="auto"/>
          <w:sz w:val="32"/>
          <w:szCs w:val="32"/>
          <w:highlight w:val="none"/>
          <w:lang w:val="en-US" w:eastAsia="zh-CN"/>
        </w:rPr>
        <w:t>12649</w:t>
      </w:r>
      <w:r>
        <w:rPr>
          <w:rFonts w:ascii="Times New Roman" w:hAnsi="Times New Roman" w:eastAsia="方正仿宋_GBK"/>
          <w:color w:val="auto"/>
          <w:sz w:val="32"/>
          <w:szCs w:val="32"/>
          <w:highlight w:val="none"/>
        </w:rPr>
        <w:t>元，年均增长</w:t>
      </w:r>
      <w:r>
        <w:rPr>
          <w:rFonts w:hint="eastAsia" w:ascii="Times New Roman" w:hAnsi="Times New Roman" w:eastAsia="方正仿宋_GBK"/>
          <w:color w:val="auto"/>
          <w:sz w:val="32"/>
          <w:szCs w:val="32"/>
          <w:highlight w:val="none"/>
          <w:lang w:val="en-US" w:eastAsia="zh-CN"/>
        </w:rPr>
        <w:t>7.6</w:t>
      </w:r>
      <w:r>
        <w:rPr>
          <w:rFonts w:ascii="Times New Roman" w:hAnsi="Times New Roman" w:eastAsia="方正仿宋_GBK"/>
          <w:color w:val="auto"/>
          <w:sz w:val="32"/>
          <w:szCs w:val="32"/>
          <w:highlight w:val="none"/>
        </w:rPr>
        <w:t>%。农村常住居民人均可支配收入由2015年的10214元增加到</w:t>
      </w:r>
      <w:r>
        <w:rPr>
          <w:rFonts w:hint="eastAsia" w:ascii="Times New Roman" w:hAnsi="Times New Roman" w:eastAsia="方正仿宋_GBK"/>
          <w:color w:val="auto"/>
          <w:sz w:val="32"/>
          <w:szCs w:val="32"/>
          <w:highlight w:val="none"/>
          <w:lang w:val="en-US" w:eastAsia="zh-CN"/>
        </w:rPr>
        <w:t>2020</w:t>
      </w:r>
      <w:r>
        <w:rPr>
          <w:rFonts w:ascii="Times New Roman" w:hAnsi="Times New Roman" w:eastAsia="方正仿宋_GBK"/>
          <w:color w:val="auto"/>
          <w:sz w:val="32"/>
          <w:szCs w:val="32"/>
          <w:highlight w:val="none"/>
        </w:rPr>
        <w:t>年的</w:t>
      </w:r>
      <w:r>
        <w:rPr>
          <w:rFonts w:hint="eastAsia" w:ascii="Times New Roman" w:hAnsi="Times New Roman" w:eastAsia="方正仿宋_GBK"/>
          <w:color w:val="auto"/>
          <w:sz w:val="32"/>
          <w:szCs w:val="32"/>
          <w:highlight w:val="none"/>
          <w:lang w:val="en-US" w:eastAsia="zh-CN"/>
        </w:rPr>
        <w:t>15701</w:t>
      </w:r>
      <w:r>
        <w:rPr>
          <w:rFonts w:ascii="Times New Roman" w:hAnsi="Times New Roman" w:eastAsia="方正仿宋_GBK"/>
          <w:color w:val="auto"/>
          <w:sz w:val="32"/>
          <w:szCs w:val="32"/>
          <w:highlight w:val="none"/>
        </w:rPr>
        <w:t>元，增加</w:t>
      </w:r>
      <w:r>
        <w:rPr>
          <w:rFonts w:hint="eastAsia" w:ascii="Times New Roman" w:hAnsi="Times New Roman" w:eastAsia="方正仿宋_GBK"/>
          <w:color w:val="auto"/>
          <w:sz w:val="32"/>
          <w:szCs w:val="32"/>
          <w:highlight w:val="none"/>
          <w:lang w:val="en-US" w:eastAsia="zh-CN"/>
        </w:rPr>
        <w:t>5487</w:t>
      </w:r>
      <w:r>
        <w:rPr>
          <w:rFonts w:ascii="Times New Roman" w:hAnsi="Times New Roman" w:eastAsia="方正仿宋_GBK"/>
          <w:color w:val="auto"/>
          <w:sz w:val="32"/>
          <w:szCs w:val="32"/>
          <w:highlight w:val="none"/>
        </w:rPr>
        <w:t>元，年均增长</w:t>
      </w:r>
      <w:r>
        <w:rPr>
          <w:rFonts w:hint="eastAsia" w:ascii="Times New Roman" w:hAnsi="Times New Roman" w:eastAsia="方正仿宋_GBK"/>
          <w:color w:val="auto"/>
          <w:sz w:val="32"/>
          <w:szCs w:val="32"/>
          <w:highlight w:val="none"/>
          <w:lang w:val="en-US" w:eastAsia="zh-CN"/>
        </w:rPr>
        <w:t>9</w:t>
      </w:r>
      <w:r>
        <w:rPr>
          <w:rFonts w:ascii="Times New Roman" w:hAnsi="Times New Roman" w:eastAsia="方正仿宋_GBK"/>
          <w:color w:val="auto"/>
          <w:sz w:val="32"/>
          <w:szCs w:val="32"/>
          <w:highlight w:val="none"/>
        </w:rPr>
        <w:t>%。</w:t>
      </w:r>
    </w:p>
    <w:p>
      <w:pPr>
        <w:spacing w:line="560" w:lineRule="exact"/>
        <w:ind w:firstLine="640" w:firstLineChars="200"/>
        <w:rPr>
          <w:rFonts w:ascii="Times New Roman" w:hAnsi="Times New Roman" w:eastAsia="黑体"/>
          <w:color w:val="auto"/>
          <w:sz w:val="32"/>
          <w:szCs w:val="32"/>
        </w:rPr>
      </w:pPr>
      <w:r>
        <w:rPr>
          <w:rFonts w:ascii="Times New Roman" w:hAnsi="Times New Roman" w:eastAsia="黑体"/>
          <w:color w:val="auto"/>
          <w:sz w:val="32"/>
          <w:szCs w:val="32"/>
        </w:rPr>
        <w:t>二、产业发展取得新突破</w:t>
      </w:r>
    </w:p>
    <w:p>
      <w:pPr>
        <w:spacing w:line="560" w:lineRule="exact"/>
        <w:ind w:firstLine="640" w:firstLineChars="200"/>
        <w:rPr>
          <w:rFonts w:ascii="Times New Roman" w:hAnsi="Times New Roman" w:eastAsia="方正仿宋_GBK"/>
          <w:color w:val="auto"/>
          <w:sz w:val="32"/>
          <w:szCs w:val="32"/>
          <w:highlight w:val="none"/>
        </w:rPr>
      </w:pPr>
      <w:r>
        <w:rPr>
          <w:rFonts w:ascii="Times New Roman" w:hAnsi="Times New Roman" w:eastAsia="方正仿宋_GBK"/>
          <w:color w:val="auto"/>
          <w:sz w:val="32"/>
          <w:szCs w:val="32"/>
        </w:rPr>
        <w:t>产业结构进一步优化，产业自主创新能力持续增强，产业链、供应链、价值链不断延伸，先进装备制造、现代物流产业、高原特色农业、磷化工等传统产业、旅游文化及健康养老</w:t>
      </w:r>
      <w:r>
        <w:rPr>
          <w:rFonts w:hint="eastAsia" w:ascii="Times New Roman" w:hAnsi="Times New Roman" w:eastAsia="方正仿宋_GBK"/>
          <w:color w:val="auto"/>
          <w:sz w:val="32"/>
          <w:szCs w:val="32"/>
          <w:lang w:eastAsia="zh-CN"/>
        </w:rPr>
        <w:t>等</w:t>
      </w:r>
      <w:r>
        <w:rPr>
          <w:rFonts w:ascii="Times New Roman" w:hAnsi="Times New Roman" w:eastAsia="方正仿宋_GBK"/>
          <w:color w:val="auto"/>
          <w:sz w:val="32"/>
          <w:szCs w:val="32"/>
        </w:rPr>
        <w:t>重点产业稳中有升、稳中向好，对经济的支撑作用和影响力逐步增强</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工业园区基础设施不断完善，聚集</w:t>
      </w:r>
      <w:r>
        <w:rPr>
          <w:rFonts w:hint="eastAsia" w:ascii="Times New Roman" w:hAnsi="Times New Roman" w:eastAsia="方正仿宋_GBK"/>
          <w:color w:val="auto"/>
          <w:sz w:val="32"/>
          <w:szCs w:val="32"/>
          <w:lang w:eastAsia="zh-CN"/>
        </w:rPr>
        <w:t>效应</w:t>
      </w:r>
      <w:r>
        <w:rPr>
          <w:rFonts w:ascii="Times New Roman" w:hAnsi="Times New Roman" w:eastAsia="方正仿宋_GBK"/>
          <w:color w:val="auto"/>
          <w:sz w:val="32"/>
          <w:szCs w:val="32"/>
        </w:rPr>
        <w:t>日益突显。三次产业比重由2015年的</w:t>
      </w:r>
      <w:r>
        <w:rPr>
          <w:rFonts w:hint="eastAsia" w:ascii="Times New Roman" w:hAnsi="Times New Roman" w:eastAsia="方正仿宋_GBK"/>
          <w:color w:val="auto"/>
          <w:sz w:val="32"/>
          <w:szCs w:val="32"/>
          <w:lang w:val="en-US" w:eastAsia="zh-CN"/>
        </w:rPr>
        <w:t>18.1</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30.0</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52</w:t>
      </w:r>
      <w:r>
        <w:rPr>
          <w:rFonts w:ascii="Times New Roman" w:hAnsi="Times New Roman" w:eastAsia="方正仿宋_GBK"/>
          <w:color w:val="auto"/>
          <w:sz w:val="32"/>
          <w:szCs w:val="32"/>
        </w:rPr>
        <w:t>调整为</w:t>
      </w:r>
      <w:r>
        <w:rPr>
          <w:rFonts w:hint="eastAsia" w:ascii="Times New Roman" w:hAnsi="Times New Roman" w:eastAsia="方正仿宋_GBK"/>
          <w:color w:val="auto"/>
          <w:sz w:val="32"/>
          <w:szCs w:val="32"/>
          <w:lang w:val="en-US" w:eastAsia="zh-CN"/>
        </w:rPr>
        <w:t>2020</w:t>
      </w:r>
      <w:r>
        <w:rPr>
          <w:rFonts w:ascii="Times New Roman" w:hAnsi="Times New Roman" w:eastAsia="方正仿宋_GBK"/>
          <w:color w:val="auto"/>
          <w:sz w:val="32"/>
          <w:szCs w:val="32"/>
        </w:rPr>
        <w:t>年的</w:t>
      </w:r>
      <w:r>
        <w:rPr>
          <w:rFonts w:hint="default" w:ascii="Times New Roman" w:hAnsi="Times New Roman" w:cs="Times New Roman"/>
          <w:sz w:val="31"/>
          <w:szCs w:val="31"/>
          <w:shd w:val="clear" w:fill="FFFFFF"/>
        </w:rPr>
        <w:t>18.7</w:t>
      </w:r>
      <w:r>
        <w:rPr>
          <w:rFonts w:ascii="方正仿宋_GBK" w:hAnsi="方正仿宋_GBK" w:eastAsia="方正仿宋_GBK" w:cs="方正仿宋_GBK"/>
          <w:sz w:val="31"/>
          <w:szCs w:val="31"/>
          <w:shd w:val="clear" w:fill="FFFFFF"/>
        </w:rPr>
        <w:t>：</w:t>
      </w:r>
      <w:r>
        <w:rPr>
          <w:rFonts w:hint="default" w:ascii="Times New Roman" w:hAnsi="Times New Roman" w:cs="Times New Roman"/>
          <w:sz w:val="31"/>
          <w:szCs w:val="31"/>
          <w:shd w:val="clear" w:fill="FFFFFF"/>
        </w:rPr>
        <w:t>30.6</w:t>
      </w:r>
      <w:r>
        <w:rPr>
          <w:rFonts w:hint="eastAsia" w:ascii="方正仿宋_GBK" w:hAnsi="方正仿宋_GBK" w:eastAsia="方正仿宋_GBK" w:cs="方正仿宋_GBK"/>
          <w:sz w:val="31"/>
          <w:szCs w:val="31"/>
          <w:shd w:val="clear" w:fill="FFFFFF"/>
        </w:rPr>
        <w:t>：</w:t>
      </w:r>
      <w:r>
        <w:rPr>
          <w:rFonts w:hint="default" w:ascii="Times New Roman" w:hAnsi="Times New Roman" w:cs="Times New Roman"/>
          <w:sz w:val="31"/>
          <w:szCs w:val="31"/>
          <w:shd w:val="clear" w:fill="FFFFFF"/>
        </w:rPr>
        <w:t>50.7</w:t>
      </w:r>
      <w:r>
        <w:rPr>
          <w:rFonts w:hint="eastAsia" w:ascii="方正仿宋_GBK" w:hAnsi="方正仿宋_GBK" w:eastAsia="方正仿宋_GBK" w:cs="方正仿宋_GBK"/>
          <w:sz w:val="31"/>
          <w:szCs w:val="31"/>
          <w:shd w:val="clear" w:fill="FFFFFF"/>
        </w:rPr>
        <w:t>。</w:t>
      </w:r>
      <w:r>
        <w:rPr>
          <w:rFonts w:ascii="Times New Roman" w:hAnsi="Times New Roman" w:eastAsia="方正仿宋_GBK"/>
          <w:color w:val="auto"/>
          <w:sz w:val="32"/>
          <w:szCs w:val="32"/>
        </w:rPr>
        <w:t>“绿色食品牌”打造取得积极进展，休闲农业、农产品电子商务等农业新业态快速发展。兴园强工战略成效初现，工业发展基础不断夯实。园区产业聚集能力进一步提升，先进装备制造、新能源、新材料、生物医药等新兴产业比重逐步上升，传统产业提档升级效果显著，先进装备制造业发展势头良好，实体经济支撑明显。服务业发展蓬勃兴盛，消费对经济增长的贡献力逐步增强，已成为拉动经济增长的第一动力。</w:t>
      </w:r>
      <w:r>
        <w:rPr>
          <w:rFonts w:ascii="Times New Roman" w:hAnsi="Times New Roman" w:eastAsia="方正仿宋_GBK"/>
          <w:color w:val="auto"/>
          <w:sz w:val="32"/>
          <w:szCs w:val="32"/>
          <w:highlight w:val="none"/>
        </w:rPr>
        <w:t>一产增加值从2015年的</w:t>
      </w:r>
      <w:r>
        <w:rPr>
          <w:rFonts w:hint="eastAsia" w:ascii="Times New Roman" w:hAnsi="Times New Roman" w:eastAsia="方正仿宋_GBK"/>
          <w:color w:val="auto"/>
          <w:sz w:val="32"/>
          <w:szCs w:val="32"/>
          <w:highlight w:val="none"/>
          <w:lang w:val="en-US" w:eastAsia="zh-CN"/>
        </w:rPr>
        <w:t>14.5</w:t>
      </w:r>
      <w:r>
        <w:rPr>
          <w:rFonts w:hint="eastAsia" w:ascii="Times New Roman" w:hAnsi="Times New Roman" w:eastAsia="方正仿宋_GBK"/>
          <w:color w:val="auto"/>
          <w:sz w:val="32"/>
          <w:szCs w:val="32"/>
          <w:highlight w:val="none"/>
        </w:rPr>
        <w:t>亿</w:t>
      </w:r>
      <w:r>
        <w:rPr>
          <w:rFonts w:ascii="Times New Roman" w:hAnsi="Times New Roman" w:eastAsia="方正仿宋_GBK"/>
          <w:color w:val="auto"/>
          <w:sz w:val="32"/>
          <w:szCs w:val="32"/>
          <w:highlight w:val="none"/>
        </w:rPr>
        <w:t>元增长到</w:t>
      </w:r>
      <w:r>
        <w:rPr>
          <w:rFonts w:hint="eastAsia" w:ascii="Times New Roman" w:hAnsi="Times New Roman" w:eastAsia="方正仿宋_GBK"/>
          <w:color w:val="auto"/>
          <w:sz w:val="32"/>
          <w:szCs w:val="32"/>
          <w:highlight w:val="none"/>
          <w:lang w:val="en-US" w:eastAsia="zh-CN"/>
        </w:rPr>
        <w:t>2020</w:t>
      </w:r>
      <w:r>
        <w:rPr>
          <w:rFonts w:ascii="Times New Roman" w:hAnsi="Times New Roman" w:eastAsia="方正仿宋_GBK"/>
          <w:color w:val="auto"/>
          <w:sz w:val="32"/>
          <w:szCs w:val="32"/>
          <w:highlight w:val="none"/>
        </w:rPr>
        <w:t>年的</w:t>
      </w:r>
      <w:r>
        <w:rPr>
          <w:rFonts w:hint="eastAsia" w:ascii="Times New Roman" w:hAnsi="Times New Roman" w:eastAsia="方正仿宋_GBK"/>
          <w:color w:val="auto"/>
          <w:sz w:val="32"/>
          <w:szCs w:val="32"/>
          <w:highlight w:val="none"/>
          <w:lang w:val="en-US" w:eastAsia="zh-CN"/>
        </w:rPr>
        <w:t>27.4</w:t>
      </w:r>
      <w:r>
        <w:rPr>
          <w:rFonts w:hint="eastAsia" w:ascii="Times New Roman" w:hAnsi="Times New Roman" w:eastAsia="方正仿宋_GBK"/>
          <w:color w:val="auto"/>
          <w:sz w:val="32"/>
          <w:szCs w:val="32"/>
          <w:highlight w:val="none"/>
        </w:rPr>
        <w:t>亿元</w:t>
      </w:r>
      <w:r>
        <w:rPr>
          <w:rFonts w:ascii="Times New Roman" w:hAnsi="Times New Roman" w:eastAsia="方正仿宋_GBK"/>
          <w:color w:val="auto"/>
          <w:sz w:val="32"/>
          <w:szCs w:val="32"/>
          <w:highlight w:val="none"/>
        </w:rPr>
        <w:t>，年均增长</w:t>
      </w:r>
      <w:r>
        <w:rPr>
          <w:rFonts w:hint="eastAsia" w:ascii="Times New Roman" w:hAnsi="Times New Roman" w:eastAsia="方正仿宋_GBK"/>
          <w:color w:val="auto"/>
          <w:sz w:val="32"/>
          <w:szCs w:val="32"/>
          <w:highlight w:val="none"/>
          <w:lang w:val="en-US" w:eastAsia="zh-CN"/>
        </w:rPr>
        <w:t>6.1</w:t>
      </w:r>
      <w:r>
        <w:rPr>
          <w:rFonts w:ascii="Times New Roman" w:hAnsi="Times New Roman" w:eastAsia="方正仿宋_GBK"/>
          <w:color w:val="auto"/>
          <w:sz w:val="32"/>
          <w:szCs w:val="32"/>
          <w:highlight w:val="none"/>
        </w:rPr>
        <w:t>%。二产增加值从2015年的</w:t>
      </w:r>
      <w:r>
        <w:rPr>
          <w:rFonts w:hint="eastAsia" w:ascii="Times New Roman" w:hAnsi="Times New Roman" w:eastAsia="方正仿宋_GBK"/>
          <w:color w:val="auto"/>
          <w:sz w:val="32"/>
          <w:szCs w:val="32"/>
          <w:highlight w:val="none"/>
          <w:lang w:val="en-US" w:eastAsia="zh-CN"/>
        </w:rPr>
        <w:t>24</w:t>
      </w:r>
      <w:r>
        <w:rPr>
          <w:rFonts w:hint="eastAsia" w:ascii="Times New Roman" w:hAnsi="Times New Roman" w:eastAsia="方正仿宋_GBK"/>
          <w:color w:val="auto"/>
          <w:sz w:val="32"/>
          <w:szCs w:val="32"/>
          <w:highlight w:val="none"/>
        </w:rPr>
        <w:t>亿</w:t>
      </w:r>
      <w:r>
        <w:rPr>
          <w:rFonts w:ascii="Times New Roman" w:hAnsi="Times New Roman" w:eastAsia="方正仿宋_GBK"/>
          <w:color w:val="auto"/>
          <w:sz w:val="32"/>
          <w:szCs w:val="32"/>
          <w:highlight w:val="none"/>
        </w:rPr>
        <w:t>元增长到</w:t>
      </w:r>
      <w:r>
        <w:rPr>
          <w:rFonts w:hint="eastAsia" w:ascii="Times New Roman" w:hAnsi="Times New Roman" w:eastAsia="方正仿宋_GBK"/>
          <w:color w:val="auto"/>
          <w:sz w:val="32"/>
          <w:szCs w:val="32"/>
          <w:highlight w:val="none"/>
          <w:lang w:val="en-US" w:eastAsia="zh-CN"/>
        </w:rPr>
        <w:t>2020</w:t>
      </w:r>
      <w:r>
        <w:rPr>
          <w:rFonts w:ascii="Times New Roman" w:hAnsi="Times New Roman" w:eastAsia="方正仿宋_GBK"/>
          <w:color w:val="auto"/>
          <w:sz w:val="32"/>
          <w:szCs w:val="32"/>
          <w:highlight w:val="none"/>
        </w:rPr>
        <w:t>年的</w:t>
      </w:r>
      <w:r>
        <w:rPr>
          <w:rFonts w:hint="eastAsia" w:ascii="Times New Roman" w:hAnsi="Times New Roman" w:eastAsia="方正仿宋_GBK"/>
          <w:color w:val="auto"/>
          <w:sz w:val="32"/>
          <w:szCs w:val="32"/>
          <w:highlight w:val="none"/>
          <w:lang w:val="en-US" w:eastAsia="zh-CN"/>
        </w:rPr>
        <w:t>45</w:t>
      </w:r>
      <w:r>
        <w:rPr>
          <w:rFonts w:hint="eastAsia" w:ascii="Times New Roman" w:hAnsi="Times New Roman" w:eastAsia="方正仿宋_GBK"/>
          <w:color w:val="auto"/>
          <w:sz w:val="32"/>
          <w:szCs w:val="32"/>
          <w:highlight w:val="none"/>
        </w:rPr>
        <w:t>亿</w:t>
      </w:r>
      <w:r>
        <w:rPr>
          <w:rFonts w:ascii="Times New Roman" w:hAnsi="Times New Roman" w:eastAsia="方正仿宋_GBK"/>
          <w:color w:val="auto"/>
          <w:sz w:val="32"/>
          <w:szCs w:val="32"/>
          <w:highlight w:val="none"/>
        </w:rPr>
        <w:t>元，年均增长</w:t>
      </w:r>
      <w:r>
        <w:rPr>
          <w:rFonts w:hint="eastAsia" w:ascii="Times New Roman" w:hAnsi="Times New Roman" w:eastAsia="方正仿宋_GBK"/>
          <w:color w:val="auto"/>
          <w:sz w:val="32"/>
          <w:szCs w:val="32"/>
          <w:highlight w:val="none"/>
          <w:lang w:val="en-US" w:eastAsia="zh-CN"/>
        </w:rPr>
        <w:t>14.3</w:t>
      </w:r>
      <w:r>
        <w:rPr>
          <w:rFonts w:ascii="Times New Roman" w:hAnsi="Times New Roman" w:eastAsia="方正仿宋_GBK"/>
          <w:color w:val="auto"/>
          <w:sz w:val="32"/>
          <w:szCs w:val="32"/>
          <w:highlight w:val="none"/>
        </w:rPr>
        <w:t>%。三产增加值</w:t>
      </w:r>
      <w:r>
        <w:rPr>
          <w:rFonts w:hint="eastAsia" w:ascii="Times New Roman" w:hAnsi="Times New Roman" w:eastAsia="方正仿宋_GBK"/>
          <w:color w:val="auto"/>
          <w:sz w:val="32"/>
          <w:szCs w:val="32"/>
          <w:highlight w:val="none"/>
        </w:rPr>
        <w:t>由</w:t>
      </w:r>
      <w:r>
        <w:rPr>
          <w:rFonts w:ascii="Times New Roman" w:hAnsi="Times New Roman" w:eastAsia="方正仿宋_GBK"/>
          <w:color w:val="auto"/>
          <w:sz w:val="32"/>
          <w:szCs w:val="32"/>
          <w:highlight w:val="none"/>
        </w:rPr>
        <w:t>2015年</w:t>
      </w:r>
      <w:r>
        <w:rPr>
          <w:rFonts w:hint="eastAsia" w:ascii="Times New Roman" w:hAnsi="Times New Roman" w:eastAsia="方正仿宋_GBK"/>
          <w:color w:val="auto"/>
          <w:sz w:val="32"/>
          <w:szCs w:val="32"/>
          <w:highlight w:val="none"/>
        </w:rPr>
        <w:t>的</w:t>
      </w:r>
      <w:r>
        <w:rPr>
          <w:rFonts w:hint="eastAsia" w:ascii="Times New Roman" w:hAnsi="Times New Roman" w:eastAsia="方正仿宋_GBK"/>
          <w:color w:val="auto"/>
          <w:sz w:val="32"/>
          <w:szCs w:val="32"/>
          <w:highlight w:val="none"/>
          <w:lang w:val="en-US" w:eastAsia="zh-CN"/>
        </w:rPr>
        <w:t>41.7</w:t>
      </w:r>
      <w:r>
        <w:rPr>
          <w:rFonts w:ascii="Times New Roman" w:hAnsi="Times New Roman" w:eastAsia="方正仿宋_GBK"/>
          <w:color w:val="auto"/>
          <w:sz w:val="32"/>
          <w:szCs w:val="32"/>
          <w:highlight w:val="none"/>
        </w:rPr>
        <w:t>亿元增长到</w:t>
      </w:r>
      <w:r>
        <w:rPr>
          <w:rFonts w:hint="eastAsia" w:ascii="Times New Roman" w:hAnsi="Times New Roman" w:eastAsia="方正仿宋_GBK"/>
          <w:color w:val="auto"/>
          <w:sz w:val="32"/>
          <w:szCs w:val="32"/>
          <w:highlight w:val="none"/>
          <w:lang w:val="en-US" w:eastAsia="zh-CN"/>
        </w:rPr>
        <w:t>2020</w:t>
      </w:r>
      <w:r>
        <w:rPr>
          <w:rFonts w:ascii="Times New Roman" w:hAnsi="Times New Roman" w:eastAsia="方正仿宋_GBK"/>
          <w:color w:val="auto"/>
          <w:sz w:val="32"/>
          <w:szCs w:val="32"/>
          <w:highlight w:val="none"/>
        </w:rPr>
        <w:t>年的</w:t>
      </w:r>
      <w:r>
        <w:rPr>
          <w:rFonts w:hint="eastAsia" w:ascii="Times New Roman" w:hAnsi="Times New Roman" w:eastAsia="方正仿宋_GBK"/>
          <w:color w:val="auto"/>
          <w:sz w:val="32"/>
          <w:szCs w:val="32"/>
          <w:highlight w:val="none"/>
          <w:lang w:val="en-US" w:eastAsia="zh-CN"/>
        </w:rPr>
        <w:t>74.4</w:t>
      </w:r>
      <w:r>
        <w:rPr>
          <w:rFonts w:ascii="Times New Roman" w:hAnsi="Times New Roman" w:eastAsia="方正仿宋_GBK"/>
          <w:color w:val="auto"/>
          <w:sz w:val="32"/>
          <w:szCs w:val="32"/>
          <w:highlight w:val="none"/>
        </w:rPr>
        <w:t>亿元，年均增长</w:t>
      </w:r>
      <w:r>
        <w:rPr>
          <w:rFonts w:hint="eastAsia" w:ascii="Times New Roman" w:hAnsi="Times New Roman" w:eastAsia="方正仿宋_GBK"/>
          <w:color w:val="auto"/>
          <w:sz w:val="32"/>
          <w:szCs w:val="32"/>
          <w:highlight w:val="none"/>
          <w:lang w:val="en-US" w:eastAsia="zh-CN"/>
        </w:rPr>
        <w:t>9</w:t>
      </w:r>
      <w:r>
        <w:rPr>
          <w:rFonts w:ascii="Times New Roman" w:hAnsi="Times New Roman" w:eastAsia="方正仿宋_GBK"/>
          <w:color w:val="auto"/>
          <w:sz w:val="32"/>
          <w:szCs w:val="32"/>
          <w:highlight w:val="none"/>
        </w:rPr>
        <w:t>%，第三产业占GDP比重达到</w:t>
      </w:r>
      <w:r>
        <w:rPr>
          <w:rFonts w:hint="eastAsia" w:ascii="Times New Roman" w:hAnsi="Times New Roman" w:eastAsia="方正仿宋_GBK"/>
          <w:color w:val="auto"/>
          <w:sz w:val="32"/>
          <w:szCs w:val="32"/>
          <w:highlight w:val="none"/>
          <w:lang w:val="en-US" w:eastAsia="zh-CN"/>
        </w:rPr>
        <w:t>50.7</w:t>
      </w:r>
      <w:r>
        <w:rPr>
          <w:rFonts w:ascii="Times New Roman" w:hAnsi="Times New Roman" w:eastAsia="方正仿宋_GBK"/>
          <w:color w:val="auto"/>
          <w:sz w:val="32"/>
          <w:szCs w:val="32"/>
          <w:highlight w:val="none"/>
        </w:rPr>
        <w:t>%。</w:t>
      </w:r>
    </w:p>
    <w:p>
      <w:pPr>
        <w:spacing w:line="560" w:lineRule="exact"/>
        <w:ind w:firstLine="640" w:firstLineChars="200"/>
        <w:rPr>
          <w:rFonts w:ascii="Times New Roman" w:hAnsi="Times New Roman" w:eastAsia="黑体"/>
          <w:color w:val="auto"/>
          <w:sz w:val="32"/>
          <w:szCs w:val="32"/>
        </w:rPr>
      </w:pPr>
      <w:r>
        <w:rPr>
          <w:rFonts w:ascii="Times New Roman" w:hAnsi="Times New Roman" w:eastAsia="黑体"/>
          <w:color w:val="auto"/>
          <w:sz w:val="32"/>
          <w:szCs w:val="32"/>
        </w:rPr>
        <w:t>三、基础设施不断夯实</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基础设施短板逐步补齐，现代综合交通网络日趋完善，水利保障体系、能源保障体系和信息基础设施建设稳步推进。干线骨架路网格局初步形成，江通高速、澄川高速建成通车，玉江大道完成改造，农村公路建设飞速发展，全区</w:t>
      </w:r>
      <w:r>
        <w:rPr>
          <w:rFonts w:hint="eastAsia" w:ascii="Times New Roman" w:hAnsi="Times New Roman" w:eastAsia="方正仿宋_GBK"/>
          <w:color w:val="auto"/>
          <w:sz w:val="32"/>
          <w:szCs w:val="32"/>
          <w:lang w:eastAsia="zh-CN"/>
        </w:rPr>
        <w:t>实现</w:t>
      </w:r>
      <w:r>
        <w:rPr>
          <w:rFonts w:ascii="Times New Roman" w:hAnsi="Times New Roman" w:eastAsia="方正仿宋_GBK"/>
          <w:color w:val="auto"/>
          <w:sz w:val="32"/>
          <w:szCs w:val="32"/>
        </w:rPr>
        <w:t>村村通公路，建制村、贫困村公路实现100%硬化目标。水网建设工程顺利推进，供水保障、农田水利、防汛抗旱工作有序开展，茶尔山水库灌区高效节水减排项目实施成效显著，积极组织开展星云湖环湖截污水体循环利用工程和星云湖沿河村落综合治理工程，完成污水处理厂提标改造，城市污水管网建设有序推进。能源保障体系不断完善，清洁低碳能源和安全高效能源的普及率不断提升，完成新一轮农村电网改造升级工程，城镇燃气管网建设推进有序。积极推进5G网络和超宽带关键技术试运行，新增移动通信基站建设稳步推进，信息化水平不断提高，乡镇电子商务服务站运营正常，乡、村级物流配送网络覆盖率达100%。</w:t>
      </w:r>
    </w:p>
    <w:p>
      <w:pPr>
        <w:spacing w:line="560" w:lineRule="exact"/>
        <w:ind w:firstLine="640" w:firstLineChars="200"/>
        <w:rPr>
          <w:rFonts w:ascii="Times New Roman" w:hAnsi="Times New Roman" w:eastAsia="黑体"/>
          <w:color w:val="auto"/>
          <w:sz w:val="32"/>
          <w:szCs w:val="32"/>
        </w:rPr>
      </w:pPr>
      <w:r>
        <w:rPr>
          <w:rFonts w:ascii="Times New Roman" w:hAnsi="Times New Roman" w:eastAsia="黑体"/>
          <w:color w:val="auto"/>
          <w:sz w:val="32"/>
          <w:szCs w:val="32"/>
        </w:rPr>
        <w:t>四、改革开放不断深化</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全面深化改革成果不断深化，“放管服”改革、供给侧结构性改革、农村综合改革持续推进，市场在资源配置中的决定性作用和政府宏观调控作用显著增强。行政审批服务流程不断优化，“互联网+政务服务”体系建设，“一颗印</w:t>
      </w:r>
      <w:r>
        <w:rPr>
          <w:rFonts w:hint="eastAsia" w:ascii="Times New Roman" w:hAnsi="Times New Roman" w:eastAsia="方正仿宋_GBK"/>
          <w:color w:val="auto"/>
          <w:sz w:val="32"/>
          <w:szCs w:val="32"/>
        </w:rPr>
        <w:t>章</w:t>
      </w:r>
      <w:r>
        <w:rPr>
          <w:rFonts w:ascii="Times New Roman" w:hAnsi="Times New Roman" w:eastAsia="方正仿宋_GBK"/>
          <w:color w:val="auto"/>
          <w:sz w:val="32"/>
          <w:szCs w:val="32"/>
        </w:rPr>
        <w:t>管审批”等工作稳步推进，“最多跑一次”</w:t>
      </w:r>
      <w:r>
        <w:rPr>
          <w:rFonts w:hint="eastAsia" w:ascii="Times New Roman" w:hAnsi="Times New Roman" w:eastAsia="方正仿宋_GBK"/>
          <w:color w:val="auto"/>
          <w:sz w:val="32"/>
          <w:szCs w:val="32"/>
        </w:rPr>
        <w:t>的效果显著</w:t>
      </w:r>
      <w:r>
        <w:rPr>
          <w:rFonts w:ascii="Times New Roman" w:hAnsi="Times New Roman" w:eastAsia="方正仿宋_GBK"/>
          <w:color w:val="auto"/>
          <w:sz w:val="32"/>
          <w:szCs w:val="32"/>
        </w:rPr>
        <w:t>，“双随机、一公开”监管工作取得实效。累计取消区级行政许可事项43项、承接185项、调整53项。“三去一降一补”任务有效落实，认真贯彻落实减税降费等一系列稳定经济运行的政策措施，切实降低实体经济企业成本。稳步推进农村宅基地制度改革和“三权分置”改革，逐步建立区乡两级农村土地流转交易服务平台。投融资改革迈出新步伐，普惠金融、金融入乡等机制迅速试验推广。完成新一轮政府机构改革，合理整合政府部门，权责职能更加明晰，推进抚仙湖、星云湖环境资源保护管理体制改革，完成径流区统一托管机构编制移交。坚持向开放要</w:t>
      </w:r>
      <w:r>
        <w:rPr>
          <w:rFonts w:hint="eastAsia" w:ascii="Times New Roman" w:hAnsi="Times New Roman" w:eastAsia="方正仿宋_GBK"/>
          <w:color w:val="auto"/>
          <w:sz w:val="32"/>
          <w:szCs w:val="32"/>
          <w:lang w:eastAsia="zh-CN"/>
        </w:rPr>
        <w:t>活</w:t>
      </w:r>
      <w:r>
        <w:rPr>
          <w:rFonts w:ascii="Times New Roman" w:hAnsi="Times New Roman" w:eastAsia="方正仿宋_GBK"/>
          <w:color w:val="auto"/>
          <w:sz w:val="32"/>
          <w:szCs w:val="32"/>
        </w:rPr>
        <w:t>力，积极参加重要节会、商务考察、项目合作、文化交流等活动，不断优化营商环境，制定招商引资项目指导目录、优惠政策、退出机制，一批国内知名企业相继入驻，成功与江苏省武进区缔结友好城市。</w:t>
      </w:r>
    </w:p>
    <w:p>
      <w:pPr>
        <w:spacing w:line="560" w:lineRule="exact"/>
        <w:ind w:firstLine="640" w:firstLineChars="200"/>
        <w:rPr>
          <w:rFonts w:ascii="Times New Roman" w:hAnsi="Times New Roman" w:eastAsia="黑体"/>
          <w:color w:val="auto"/>
          <w:sz w:val="32"/>
          <w:szCs w:val="32"/>
        </w:rPr>
      </w:pPr>
      <w:r>
        <w:rPr>
          <w:rFonts w:ascii="Times New Roman" w:hAnsi="Times New Roman" w:eastAsia="黑体"/>
          <w:color w:val="auto"/>
          <w:sz w:val="32"/>
          <w:szCs w:val="32"/>
        </w:rPr>
        <w:t>五、</w:t>
      </w:r>
      <w:r>
        <w:rPr>
          <w:rFonts w:hint="eastAsia" w:ascii="Times New Roman" w:hAnsi="Times New Roman" w:eastAsia="黑体"/>
          <w:color w:val="auto"/>
          <w:sz w:val="32"/>
          <w:szCs w:val="32"/>
        </w:rPr>
        <w:t>统筹城乡发展成效显著</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新型城镇化建设持续</w:t>
      </w:r>
      <w:r>
        <w:rPr>
          <w:rFonts w:hint="eastAsia" w:ascii="Times New Roman" w:hAnsi="Times New Roman" w:eastAsia="方正仿宋_GBK"/>
          <w:color w:val="auto"/>
          <w:sz w:val="32"/>
          <w:szCs w:val="32"/>
          <w:lang w:eastAsia="zh-CN"/>
        </w:rPr>
        <w:t>发力</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eastAsia="zh-CN"/>
        </w:rPr>
        <w:t>城乡融合发展进程不断加快，城乡面貌焕然一新。</w:t>
      </w:r>
      <w:r>
        <w:rPr>
          <w:rFonts w:ascii="Times New Roman" w:hAnsi="Times New Roman" w:eastAsia="方正仿宋_GBK"/>
          <w:color w:val="auto"/>
          <w:sz w:val="32"/>
          <w:szCs w:val="32"/>
        </w:rPr>
        <w:t>脱贫攻坚取得决定性成效，</w:t>
      </w:r>
      <w:r>
        <w:rPr>
          <w:rFonts w:hint="eastAsia" w:ascii="Times New Roman" w:hAnsi="Times New Roman" w:eastAsia="方正仿宋_GBK"/>
          <w:color w:val="auto"/>
          <w:sz w:val="32"/>
          <w:szCs w:val="32"/>
          <w:lang w:eastAsia="zh-CN"/>
        </w:rPr>
        <w:t>江川</w:t>
      </w:r>
      <w:r>
        <w:rPr>
          <w:rFonts w:ascii="Times New Roman" w:hAnsi="Times New Roman" w:eastAsia="方正仿宋_GBK"/>
          <w:color w:val="auto"/>
          <w:sz w:val="32"/>
          <w:szCs w:val="32"/>
        </w:rPr>
        <w:t>与全市一道在全省率先实现整体脱贫</w:t>
      </w:r>
      <w:r>
        <w:rPr>
          <w:rFonts w:hint="eastAsia" w:ascii="Times New Roman" w:hAnsi="Times New Roman" w:eastAsia="方正仿宋_GBK"/>
          <w:color w:val="auto"/>
          <w:sz w:val="32"/>
          <w:szCs w:val="32"/>
          <w:lang w:eastAsia="zh-CN"/>
        </w:rPr>
        <w:t>。截止</w:t>
      </w:r>
      <w:r>
        <w:rPr>
          <w:rFonts w:hint="eastAsia" w:ascii="Times New Roman" w:hAnsi="Times New Roman" w:eastAsia="方正仿宋_GBK"/>
          <w:color w:val="auto"/>
          <w:sz w:val="32"/>
          <w:szCs w:val="32"/>
          <w:lang w:val="en-US" w:eastAsia="zh-CN"/>
        </w:rPr>
        <w:t>2020年末，</w:t>
      </w:r>
      <w:r>
        <w:rPr>
          <w:rFonts w:ascii="Times New Roman" w:hAnsi="Times New Roman" w:eastAsia="方正仿宋_GBK"/>
          <w:color w:val="auto"/>
          <w:sz w:val="32"/>
          <w:szCs w:val="32"/>
        </w:rPr>
        <w:t>城市建成区面积5.8平方公里，</w:t>
      </w:r>
      <w:r>
        <w:rPr>
          <w:rFonts w:hint="eastAsia" w:ascii="Times New Roman" w:hAnsi="Times New Roman" w:eastAsia="方正仿宋_GBK"/>
          <w:color w:val="auto"/>
          <w:sz w:val="32"/>
          <w:szCs w:val="32"/>
          <w:lang w:eastAsia="zh-CN"/>
        </w:rPr>
        <w:t>建成区人口约</w:t>
      </w:r>
      <w:r>
        <w:rPr>
          <w:rFonts w:hint="eastAsia" w:ascii="Times New Roman" w:hAnsi="Times New Roman" w:eastAsia="方正仿宋_GBK"/>
          <w:color w:val="auto"/>
          <w:sz w:val="32"/>
          <w:szCs w:val="32"/>
          <w:lang w:val="en-US" w:eastAsia="zh-CN"/>
        </w:rPr>
        <w:t>44800人，</w:t>
      </w:r>
      <w:r>
        <w:rPr>
          <w:rFonts w:ascii="Times New Roman" w:hAnsi="Times New Roman" w:eastAsia="方正仿宋_GBK"/>
          <w:color w:val="auto"/>
          <w:sz w:val="32"/>
          <w:szCs w:val="32"/>
        </w:rPr>
        <w:t>城镇化率</w:t>
      </w:r>
      <w:r>
        <w:rPr>
          <w:rFonts w:hint="eastAsia" w:ascii="Times New Roman" w:hAnsi="Times New Roman" w:eastAsia="方正仿宋_GBK"/>
          <w:color w:val="auto"/>
          <w:sz w:val="32"/>
          <w:szCs w:val="32"/>
          <w:lang w:eastAsia="zh-CN"/>
        </w:rPr>
        <w:t>预计为</w:t>
      </w:r>
      <w:r>
        <w:rPr>
          <w:rFonts w:hint="eastAsia" w:ascii="Times New Roman" w:hAnsi="Times New Roman" w:eastAsia="方正仿宋_GBK"/>
          <w:color w:val="auto"/>
          <w:sz w:val="32"/>
          <w:szCs w:val="32"/>
          <w:lang w:val="en-US" w:eastAsia="zh-CN"/>
        </w:rPr>
        <w:t>46</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eastAsia="zh-CN"/>
        </w:rPr>
        <w:t>比</w:t>
      </w:r>
      <w:r>
        <w:rPr>
          <w:rFonts w:ascii="Times New Roman" w:hAnsi="Times New Roman" w:eastAsia="方正仿宋_GBK"/>
          <w:color w:val="auto"/>
          <w:sz w:val="32"/>
          <w:szCs w:val="32"/>
        </w:rPr>
        <w:t>2015年提高</w:t>
      </w:r>
      <w:r>
        <w:rPr>
          <w:rFonts w:hint="eastAsia" w:ascii="Times New Roman" w:hAnsi="Times New Roman" w:eastAsia="方正仿宋_GBK"/>
          <w:color w:val="auto"/>
          <w:sz w:val="32"/>
          <w:szCs w:val="32"/>
          <w:lang w:val="en-US" w:eastAsia="zh-CN"/>
        </w:rPr>
        <w:t>6.7</w:t>
      </w:r>
      <w:r>
        <w:rPr>
          <w:rFonts w:ascii="Times New Roman" w:hAnsi="Times New Roman" w:eastAsia="方正仿宋_GBK"/>
          <w:color w:val="auto"/>
          <w:sz w:val="32"/>
          <w:szCs w:val="32"/>
        </w:rPr>
        <w:t>个百分点</w:t>
      </w:r>
      <w:r>
        <w:rPr>
          <w:rFonts w:hint="eastAsia" w:ascii="Times New Roman" w:hAnsi="Times New Roman" w:eastAsia="方正仿宋_GBK"/>
          <w:color w:val="auto"/>
          <w:sz w:val="32"/>
          <w:szCs w:val="32"/>
          <w:lang w:eastAsia="zh-CN"/>
        </w:rPr>
        <w:t>，中心城区结构不断优化，综合服务能力及辐射带动能力持续完善</w:t>
      </w:r>
      <w:r>
        <w:rPr>
          <w:rFonts w:ascii="Times New Roman" w:hAnsi="Times New Roman" w:eastAsia="方正仿宋_GBK"/>
          <w:color w:val="auto"/>
          <w:sz w:val="32"/>
          <w:szCs w:val="32"/>
        </w:rPr>
        <w:t>。棚户区改造、老旧小区改造、“美丽县城”建设等项目稳步推进，市政道路和市政管网建设步伐加快，启动主城区雨污水主管网建设工程，完成农贸市场提档升级并投入使用，城市建成区绿化覆盖率达39.</w:t>
      </w:r>
      <w:r>
        <w:rPr>
          <w:rFonts w:hint="eastAsia" w:ascii="Times New Roman" w:hAnsi="Times New Roman" w:eastAsia="方正仿宋_GBK"/>
          <w:color w:val="auto"/>
          <w:sz w:val="32"/>
          <w:szCs w:val="32"/>
          <w:lang w:val="en-US" w:eastAsia="zh-CN"/>
        </w:rPr>
        <w:t>7</w:t>
      </w:r>
      <w:r>
        <w:rPr>
          <w:rFonts w:ascii="Times New Roman" w:hAnsi="Times New Roman" w:eastAsia="方正仿宋_GBK"/>
          <w:color w:val="auto"/>
          <w:sz w:val="32"/>
          <w:szCs w:val="32"/>
        </w:rPr>
        <w:t>%。成功创建国家卫生城市、云南省文明城市，数字化城市管理信息平台投入使用，城市管理水平不断提升。深入开展城乡“四治三改一拆一增”、农村“七改三清”、爱国卫生“七个专项”行动，大力推进垃圾污水处理、厕所革命、村容村貌提升，实施环境清洁、绿化亮化、美化净化、道路畅通、配套设施、交通秩序管理“六大工程”，</w:t>
      </w:r>
      <w:r>
        <w:rPr>
          <w:rFonts w:hint="eastAsia" w:ascii="Times New Roman" w:hAnsi="Times New Roman" w:eastAsia="方正仿宋_GBK"/>
          <w:color w:val="auto"/>
          <w:sz w:val="32"/>
          <w:szCs w:val="32"/>
          <w:lang w:eastAsia="zh-CN"/>
        </w:rPr>
        <w:t>稳步推进</w:t>
      </w:r>
      <w:r>
        <w:rPr>
          <w:rFonts w:ascii="Times New Roman" w:hAnsi="Times New Roman" w:eastAsia="方正仿宋_GBK"/>
          <w:color w:val="auto"/>
          <w:sz w:val="32"/>
          <w:szCs w:val="32"/>
        </w:rPr>
        <w:t>灾后恢复重建、旧村改造项目，全面</w:t>
      </w:r>
      <w:r>
        <w:rPr>
          <w:rFonts w:hint="eastAsia" w:ascii="Times New Roman" w:hAnsi="Times New Roman" w:eastAsia="方正仿宋_GBK"/>
          <w:color w:val="auto"/>
          <w:sz w:val="32"/>
          <w:szCs w:val="32"/>
          <w:lang w:eastAsia="zh-CN"/>
        </w:rPr>
        <w:t>实施</w:t>
      </w:r>
      <w:r>
        <w:rPr>
          <w:rFonts w:ascii="Times New Roman" w:hAnsi="Times New Roman" w:eastAsia="方正仿宋_GBK"/>
          <w:color w:val="auto"/>
          <w:sz w:val="32"/>
          <w:szCs w:val="32"/>
        </w:rPr>
        <w:t>推进移风易俗、建设文明乡风专项行动。</w:t>
      </w:r>
    </w:p>
    <w:p>
      <w:pPr>
        <w:spacing w:line="560" w:lineRule="exact"/>
        <w:ind w:firstLine="640" w:firstLineChars="200"/>
        <w:rPr>
          <w:rFonts w:ascii="Times New Roman" w:hAnsi="Times New Roman" w:eastAsia="黑体"/>
          <w:color w:val="auto"/>
          <w:sz w:val="32"/>
          <w:szCs w:val="32"/>
        </w:rPr>
      </w:pPr>
      <w:r>
        <w:rPr>
          <w:rFonts w:ascii="Times New Roman" w:hAnsi="Times New Roman" w:eastAsia="黑体"/>
          <w:color w:val="auto"/>
          <w:sz w:val="32"/>
          <w:szCs w:val="32"/>
        </w:rPr>
        <w:t>六、民生福祉显著提升</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在幼有所育、学有所教、劳有所得、病有所医、老有所养、住有所居、弱有所扶上不断取得新进展。安化乡以及16个出列贫困村2065户7188人脱贫成果巩固</w:t>
      </w:r>
      <w:r>
        <w:rPr>
          <w:rFonts w:hint="eastAsia" w:ascii="Times New Roman" w:hAnsi="Times New Roman" w:eastAsia="方正仿宋_GBK"/>
          <w:color w:val="auto"/>
          <w:sz w:val="32"/>
          <w:szCs w:val="32"/>
        </w:rPr>
        <w:t>成效明显</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eastAsia="zh-CN"/>
        </w:rPr>
        <w:t>教育体育</w:t>
      </w:r>
      <w:r>
        <w:rPr>
          <w:rFonts w:ascii="Times New Roman" w:hAnsi="Times New Roman" w:eastAsia="方正仿宋_GBK"/>
          <w:color w:val="auto"/>
          <w:sz w:val="32"/>
          <w:szCs w:val="32"/>
        </w:rPr>
        <w:t>事业全面发展，荣获全省“教育工作先进县”称号，学前教育</w:t>
      </w:r>
      <w:r>
        <w:rPr>
          <w:rFonts w:hint="eastAsia" w:ascii="Times New Roman" w:hAnsi="Times New Roman" w:eastAsia="方正仿宋_GBK"/>
          <w:color w:val="auto"/>
          <w:sz w:val="32"/>
          <w:szCs w:val="32"/>
          <w:lang w:eastAsia="zh-CN"/>
        </w:rPr>
        <w:t>普及普惠发展</w:t>
      </w:r>
      <w:r>
        <w:rPr>
          <w:rFonts w:ascii="Times New Roman" w:hAnsi="Times New Roman" w:eastAsia="方正仿宋_GBK"/>
          <w:color w:val="auto"/>
          <w:sz w:val="32"/>
          <w:szCs w:val="32"/>
        </w:rPr>
        <w:t>、义务教育实现城乡一体化均衡发展，高中教育、职业教育发展势头良好，</w:t>
      </w:r>
      <w:r>
        <w:rPr>
          <w:rFonts w:hint="eastAsia" w:ascii="Times New Roman" w:hAnsi="Times New Roman" w:eastAsia="方正仿宋_GBK"/>
          <w:color w:val="auto"/>
          <w:sz w:val="32"/>
          <w:szCs w:val="32"/>
          <w:lang w:eastAsia="zh-CN"/>
        </w:rPr>
        <w:t>行政村</w:t>
      </w:r>
      <w:r>
        <w:rPr>
          <w:rFonts w:ascii="Times New Roman" w:hAnsi="Times New Roman" w:eastAsia="方正仿宋_GBK"/>
          <w:color w:val="auto"/>
          <w:sz w:val="32"/>
          <w:szCs w:val="32"/>
        </w:rPr>
        <w:t>体育基础设施覆盖率达</w:t>
      </w:r>
      <w:r>
        <w:rPr>
          <w:rFonts w:hint="eastAsia" w:ascii="Times New Roman" w:hAnsi="Times New Roman" w:eastAsia="方正仿宋_GBK"/>
          <w:color w:val="auto"/>
          <w:sz w:val="32"/>
          <w:szCs w:val="32"/>
          <w:lang w:val="en-US" w:eastAsia="zh-CN"/>
        </w:rPr>
        <w:t>100%</w:t>
      </w:r>
      <w:r>
        <w:rPr>
          <w:rFonts w:ascii="Times New Roman" w:hAnsi="Times New Roman" w:eastAsia="方正仿宋_GBK"/>
          <w:color w:val="auto"/>
          <w:sz w:val="32"/>
          <w:szCs w:val="32"/>
        </w:rPr>
        <w:t>。医药卫生体制改革顺利推进，区、乡、村医疗服务一体化医共体</w:t>
      </w:r>
      <w:r>
        <w:rPr>
          <w:rFonts w:hint="eastAsia" w:ascii="Times New Roman" w:hAnsi="Times New Roman" w:eastAsia="方正仿宋_GBK"/>
          <w:color w:val="auto"/>
          <w:sz w:val="32"/>
          <w:szCs w:val="32"/>
          <w:lang w:eastAsia="zh-CN"/>
        </w:rPr>
        <w:t>建设</w:t>
      </w:r>
      <w:r>
        <w:rPr>
          <w:rFonts w:ascii="Times New Roman" w:hAnsi="Times New Roman" w:eastAsia="方正仿宋_GBK"/>
          <w:color w:val="auto"/>
          <w:sz w:val="32"/>
          <w:szCs w:val="32"/>
        </w:rPr>
        <w:t>逐步</w:t>
      </w:r>
      <w:r>
        <w:rPr>
          <w:rFonts w:hint="eastAsia" w:ascii="Times New Roman" w:hAnsi="Times New Roman" w:eastAsia="方正仿宋_GBK"/>
          <w:color w:val="auto"/>
          <w:sz w:val="32"/>
          <w:szCs w:val="32"/>
          <w:lang w:eastAsia="zh-CN"/>
        </w:rPr>
        <w:t>完善</w:t>
      </w:r>
      <w:r>
        <w:rPr>
          <w:rFonts w:ascii="Times New Roman" w:hAnsi="Times New Roman" w:eastAsia="方正仿宋_GBK"/>
          <w:color w:val="auto"/>
          <w:sz w:val="32"/>
          <w:szCs w:val="32"/>
        </w:rPr>
        <w:t>，成功创建省级慢性病综合防控示范区，抗击新冠肺炎疫情取得重大成果。城镇登记失业率控制在3.</w:t>
      </w:r>
      <w:r>
        <w:rPr>
          <w:rFonts w:hint="eastAsia" w:ascii="Times New Roman" w:hAnsi="Times New Roman" w:eastAsia="方正仿宋_GBK"/>
          <w:color w:val="auto"/>
          <w:sz w:val="32"/>
          <w:szCs w:val="32"/>
          <w:lang w:val="en-US" w:eastAsia="zh-CN"/>
        </w:rPr>
        <w:t>45</w:t>
      </w:r>
      <w:r>
        <w:rPr>
          <w:rFonts w:ascii="Times New Roman" w:hAnsi="Times New Roman" w:eastAsia="方正仿宋_GBK"/>
          <w:color w:val="auto"/>
          <w:sz w:val="32"/>
          <w:szCs w:val="32"/>
        </w:rPr>
        <w:t>%以内</w:t>
      </w:r>
      <w:r>
        <w:rPr>
          <w:rFonts w:hint="eastAsia" w:ascii="Times New Roman" w:hAnsi="Times New Roman" w:eastAsia="方正仿宋_GBK"/>
          <w:color w:val="auto"/>
          <w:sz w:val="32"/>
          <w:szCs w:val="32"/>
          <w:lang w:eastAsia="zh-CN"/>
        </w:rPr>
        <w:t>，</w:t>
      </w:r>
      <w:r>
        <w:rPr>
          <w:rFonts w:ascii="Times New Roman" w:hAnsi="Times New Roman" w:eastAsia="方正仿宋_GBK"/>
          <w:color w:val="auto"/>
          <w:sz w:val="32"/>
          <w:szCs w:val="32"/>
        </w:rPr>
        <w:t>住房保障水平稳步提高，政府投资公租房分配率达100%。文化惠民工程深入实施，基层公共文化服务体系建设不断完善，全区广播电视信号覆盖率达 100%。民族宗教工作稳步推进，成功创建省级民族团结进步示范区</w:t>
      </w:r>
      <w:r>
        <w:rPr>
          <w:rFonts w:hint="eastAsia" w:ascii="Times New Roman" w:hAnsi="Times New Roman" w:eastAsia="方正仿宋_GBK"/>
          <w:color w:val="auto"/>
          <w:sz w:val="32"/>
          <w:szCs w:val="32"/>
          <w:lang w:eastAsia="zh-CN"/>
        </w:rPr>
        <w:t>。</w:t>
      </w:r>
      <w:r>
        <w:rPr>
          <w:rFonts w:ascii="Times New Roman" w:hAnsi="Times New Roman" w:eastAsia="方正仿宋_GBK"/>
          <w:color w:val="auto"/>
          <w:sz w:val="32"/>
          <w:szCs w:val="32"/>
        </w:rPr>
        <w:t>扫黑除恶、禁毒防艾纵深推进，自然灾害及意外事故临时救助制度落实力度</w:t>
      </w:r>
      <w:r>
        <w:rPr>
          <w:rFonts w:hint="eastAsia" w:ascii="Times New Roman" w:hAnsi="Times New Roman" w:eastAsia="方正仿宋_GBK"/>
          <w:color w:val="auto"/>
          <w:sz w:val="32"/>
          <w:szCs w:val="32"/>
          <w:lang w:eastAsia="zh-CN"/>
        </w:rPr>
        <w:t>不断</w:t>
      </w:r>
      <w:r>
        <w:rPr>
          <w:rFonts w:ascii="Times New Roman" w:hAnsi="Times New Roman" w:eastAsia="方正仿宋_GBK"/>
          <w:color w:val="auto"/>
          <w:sz w:val="32"/>
          <w:szCs w:val="32"/>
        </w:rPr>
        <w:t>加强，社会治理水平明显提升。</w:t>
      </w:r>
    </w:p>
    <w:p>
      <w:pPr>
        <w:spacing w:line="560" w:lineRule="exact"/>
        <w:ind w:firstLine="640" w:firstLineChars="200"/>
        <w:rPr>
          <w:rFonts w:ascii="Times New Roman" w:hAnsi="Times New Roman" w:eastAsia="黑体"/>
          <w:color w:val="auto"/>
          <w:sz w:val="32"/>
          <w:szCs w:val="32"/>
        </w:rPr>
      </w:pPr>
      <w:r>
        <w:rPr>
          <w:rFonts w:ascii="Times New Roman" w:hAnsi="Times New Roman" w:eastAsia="黑体"/>
          <w:color w:val="auto"/>
          <w:sz w:val="32"/>
          <w:szCs w:val="32"/>
        </w:rPr>
        <w:t>七、生态文明建设成效显著</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坚持绿水青山就是金山银山，大力推进生态文明建设，以绿色经济为突破口，着力凸显“蓝天、碧水、净土”的自然山水本色。生态建设成效显著，河（湖）长制、山（林）长制深入推进。</w:t>
      </w:r>
      <w:r>
        <w:rPr>
          <w:rFonts w:hint="eastAsia" w:ascii="Times New Roman" w:hAnsi="Times New Roman" w:eastAsia="方正仿宋_GBK"/>
          <w:color w:val="auto"/>
          <w:sz w:val="32"/>
          <w:szCs w:val="32"/>
          <w:lang w:eastAsia="zh-CN"/>
        </w:rPr>
        <w:t>江川区南、北污水处理厂管网完善工程完工，</w:t>
      </w:r>
      <w:r>
        <w:rPr>
          <w:rFonts w:ascii="Times New Roman" w:hAnsi="Times New Roman" w:eastAsia="方正仿宋_GBK"/>
          <w:color w:val="auto"/>
          <w:sz w:val="32"/>
          <w:szCs w:val="32"/>
        </w:rPr>
        <w:t>环湖截污治污工程基本完工，星云湖一级保护区“四退三还” 相关工作顺利推进，星云湖湿地、湖滨带生态保护屏障作用日益增强，湿地生态系统的连贯性、完整性逐步完善，星云湖</w:t>
      </w:r>
      <w:r>
        <w:rPr>
          <w:rFonts w:ascii="Times New Roman" w:hAnsi="Times New Roman" w:eastAsia="方正仿宋_GBK"/>
          <w:color w:val="auto"/>
          <w:sz w:val="32"/>
          <w:szCs w:val="32"/>
          <w:highlight w:val="none"/>
        </w:rPr>
        <w:t>水质达V类，</w:t>
      </w:r>
      <w:r>
        <w:rPr>
          <w:rFonts w:ascii="Times New Roman" w:hAnsi="Times New Roman" w:eastAsia="方正仿宋_GBK"/>
          <w:color w:val="auto"/>
          <w:sz w:val="32"/>
          <w:szCs w:val="32"/>
        </w:rPr>
        <w:t>如期实现2020年水质脱劣目标。淘汰落后产能，强化重点企业设备、工艺等节能减排改造，完成垃圾转运站、建子山垃圾填埋场渗滤液处理、老污水处理厂提标改造，污水处理厂提标降磷试验成功，节能降耗完成上级下达指标。深入开展农村环境综合整治，全面开展土壤污染状况调查，加强农业投入品监管，实施农药、化肥负增长行动，畜禽粪污资源化利用有序推进，全面推进农业面源污染防治。大街、江城创建国家级生态文明乡镇，河咀</w:t>
      </w:r>
      <w:r>
        <w:rPr>
          <w:rFonts w:hint="eastAsia" w:ascii="Times New Roman" w:hAnsi="Times New Roman" w:eastAsia="方正仿宋_GBK"/>
          <w:color w:val="auto"/>
          <w:sz w:val="32"/>
          <w:szCs w:val="32"/>
          <w:lang w:eastAsia="zh-CN"/>
        </w:rPr>
        <w:t>社区</w:t>
      </w:r>
      <w:r>
        <w:rPr>
          <w:rFonts w:ascii="Times New Roman" w:hAnsi="Times New Roman" w:eastAsia="方正仿宋_GBK"/>
          <w:color w:val="auto"/>
          <w:sz w:val="32"/>
          <w:szCs w:val="32"/>
        </w:rPr>
        <w:t>、矣文</w:t>
      </w:r>
      <w:r>
        <w:rPr>
          <w:rFonts w:hint="eastAsia" w:ascii="Times New Roman" w:hAnsi="Times New Roman" w:eastAsia="方正仿宋_GBK"/>
          <w:color w:val="auto"/>
          <w:sz w:val="32"/>
          <w:szCs w:val="32"/>
          <w:lang w:eastAsia="zh-CN"/>
        </w:rPr>
        <w:t>村</w:t>
      </w:r>
      <w:r>
        <w:rPr>
          <w:rFonts w:ascii="Times New Roman" w:hAnsi="Times New Roman" w:eastAsia="方正仿宋_GBK"/>
          <w:color w:val="auto"/>
          <w:sz w:val="32"/>
          <w:szCs w:val="32"/>
        </w:rPr>
        <w:t>上榜“国家森林乡村”</w:t>
      </w:r>
      <w:r>
        <w:rPr>
          <w:rFonts w:hint="eastAsia" w:ascii="Times New Roman" w:hAnsi="Times New Roman" w:eastAsia="方正仿宋_GBK"/>
          <w:color w:val="auto"/>
          <w:sz w:val="32"/>
          <w:szCs w:val="32"/>
        </w:rPr>
        <w:t>，区人民医院成功创建国家级节约型公共机构示范单位</w:t>
      </w:r>
      <w:r>
        <w:rPr>
          <w:rFonts w:ascii="Times New Roman" w:hAnsi="Times New Roman" w:eastAsia="方正仿宋_GBK"/>
          <w:color w:val="auto"/>
          <w:sz w:val="32"/>
          <w:szCs w:val="32"/>
        </w:rPr>
        <w:t>。</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经过五年的努力，全面建成小康社会取得决定性成就，为全面开启社会主义现代化建设</w:t>
      </w:r>
      <w:r>
        <w:rPr>
          <w:rFonts w:hint="eastAsia" w:ascii="Times New Roman" w:hAnsi="Times New Roman" w:eastAsia="方正仿宋_GBK"/>
          <w:color w:val="auto"/>
          <w:sz w:val="32"/>
          <w:szCs w:val="32"/>
        </w:rPr>
        <w:t>新征程</w:t>
      </w:r>
      <w:r>
        <w:rPr>
          <w:rFonts w:ascii="Times New Roman" w:hAnsi="Times New Roman" w:eastAsia="方正仿宋_GBK"/>
          <w:color w:val="auto"/>
          <w:sz w:val="32"/>
          <w:szCs w:val="32"/>
        </w:rPr>
        <w:t>奠定了坚实基础。同时，对标人民对美好生活的向往、社会主义现代化建设目标、高质量发展要求，全区产业发展、农业农村、城镇化、科技创新、民生保障、社会治理等方面的短板仍然明显，支撑高质量发展的基础仍然不牢固，主要表现在以下6个方面：</w:t>
      </w:r>
      <w:r>
        <w:rPr>
          <w:rFonts w:ascii="Times New Roman" w:hAnsi="Times New Roman" w:eastAsia="方正仿宋_GBK"/>
          <w:b/>
          <w:color w:val="auto"/>
          <w:sz w:val="32"/>
          <w:szCs w:val="32"/>
        </w:rPr>
        <w:t>一是保持经济平稳快速发展压力大。</w:t>
      </w:r>
      <w:r>
        <w:rPr>
          <w:rFonts w:hint="eastAsia" w:ascii="Times New Roman" w:hAnsi="Times New Roman" w:eastAsia="方正仿宋_GBK"/>
          <w:color w:val="auto"/>
          <w:sz w:val="32"/>
          <w:szCs w:val="32"/>
        </w:rPr>
        <w:t>经济增长存在结构不优、方式粗放、投资效益不高等问题</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加之</w:t>
      </w:r>
      <w:r>
        <w:rPr>
          <w:rFonts w:ascii="Times New Roman" w:hAnsi="Times New Roman" w:eastAsia="方正仿宋_GBK"/>
          <w:color w:val="auto"/>
          <w:sz w:val="32"/>
          <w:szCs w:val="32"/>
        </w:rPr>
        <w:t>受新冠肺炎疫情影响，保持经济平稳较快发展的压力将不断增加。</w:t>
      </w:r>
      <w:r>
        <w:rPr>
          <w:rFonts w:ascii="Times New Roman" w:hAnsi="Times New Roman" w:eastAsia="方正仿宋_GBK"/>
          <w:b/>
          <w:color w:val="auto"/>
          <w:sz w:val="32"/>
          <w:szCs w:val="32"/>
        </w:rPr>
        <w:t>二是</w:t>
      </w:r>
      <w:r>
        <w:rPr>
          <w:rFonts w:hint="eastAsia" w:ascii="Times New Roman" w:hAnsi="Times New Roman" w:eastAsia="方正仿宋_GBK"/>
          <w:b/>
          <w:color w:val="auto"/>
          <w:sz w:val="32"/>
          <w:szCs w:val="32"/>
        </w:rPr>
        <w:t>产业转型升级任重道远</w:t>
      </w:r>
      <w:r>
        <w:rPr>
          <w:rFonts w:ascii="Times New Roman" w:hAnsi="Times New Roman" w:eastAsia="方正仿宋_GBK"/>
          <w:b/>
          <w:color w:val="auto"/>
          <w:sz w:val="32"/>
          <w:szCs w:val="32"/>
        </w:rPr>
        <w:t>。</w:t>
      </w:r>
      <w:r>
        <w:rPr>
          <w:rFonts w:hint="eastAsia" w:ascii="Times New Roman" w:hAnsi="Times New Roman" w:eastAsia="方正仿宋_GBK"/>
          <w:b w:val="0"/>
          <w:color w:val="auto"/>
          <w:sz w:val="32"/>
          <w:szCs w:val="32"/>
        </w:rPr>
        <w:t>产业发展存在主导产业发展不足、</w:t>
      </w:r>
      <w:r>
        <w:rPr>
          <w:rFonts w:hint="eastAsia" w:ascii="Times New Roman" w:hAnsi="Times New Roman" w:eastAsia="方正仿宋_GBK"/>
          <w:color w:val="auto"/>
          <w:sz w:val="32"/>
          <w:szCs w:val="32"/>
        </w:rPr>
        <w:t>科技创新支撑能力不强、</w:t>
      </w:r>
      <w:r>
        <w:rPr>
          <w:rFonts w:ascii="Times New Roman" w:hAnsi="Times New Roman" w:eastAsia="方正仿宋_GBK"/>
          <w:color w:val="auto"/>
          <w:sz w:val="32"/>
          <w:szCs w:val="32"/>
        </w:rPr>
        <w:t>产业结构较单一</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强优企业少</w:t>
      </w:r>
      <w:r>
        <w:rPr>
          <w:rFonts w:hint="eastAsia" w:ascii="Times New Roman" w:hAnsi="Times New Roman" w:eastAsia="方正仿宋_GBK"/>
          <w:color w:val="auto"/>
          <w:sz w:val="32"/>
          <w:szCs w:val="32"/>
        </w:rPr>
        <w:t>、战略性</w:t>
      </w:r>
      <w:r>
        <w:rPr>
          <w:rFonts w:ascii="Times New Roman" w:hAnsi="Times New Roman" w:eastAsia="方正仿宋_GBK"/>
          <w:color w:val="auto"/>
          <w:sz w:val="32"/>
          <w:szCs w:val="32"/>
        </w:rPr>
        <w:t>新兴产业尚在起步阶段</w:t>
      </w:r>
      <w:r>
        <w:rPr>
          <w:rFonts w:hint="eastAsia" w:ascii="Times New Roman" w:hAnsi="Times New Roman" w:eastAsia="方正仿宋_GBK"/>
          <w:color w:val="auto"/>
          <w:sz w:val="32"/>
          <w:szCs w:val="32"/>
        </w:rPr>
        <w:t>等问题</w:t>
      </w:r>
      <w:r>
        <w:rPr>
          <w:rFonts w:ascii="Times New Roman" w:hAnsi="Times New Roman" w:eastAsia="方正仿宋_GBK"/>
          <w:color w:val="auto"/>
          <w:sz w:val="32"/>
          <w:szCs w:val="32"/>
        </w:rPr>
        <w:t>，新旧动能转换任重道远。</w:t>
      </w:r>
      <w:r>
        <w:rPr>
          <w:rFonts w:ascii="Times New Roman" w:hAnsi="Times New Roman" w:eastAsia="方正仿宋_GBK"/>
          <w:b/>
          <w:color w:val="auto"/>
          <w:sz w:val="32"/>
          <w:szCs w:val="32"/>
        </w:rPr>
        <w:t>三是</w:t>
      </w:r>
      <w:r>
        <w:rPr>
          <w:rFonts w:hint="eastAsia" w:ascii="Times New Roman" w:hAnsi="Times New Roman" w:eastAsia="方正仿宋_GBK"/>
          <w:b/>
          <w:color w:val="auto"/>
          <w:sz w:val="32"/>
          <w:szCs w:val="32"/>
        </w:rPr>
        <w:t>财政收支矛盾突出</w:t>
      </w:r>
      <w:r>
        <w:rPr>
          <w:rFonts w:ascii="Times New Roman" w:hAnsi="Times New Roman" w:eastAsia="方正仿宋_GBK"/>
          <w:b/>
          <w:color w:val="auto"/>
          <w:sz w:val="32"/>
          <w:szCs w:val="32"/>
        </w:rPr>
        <w:t>。</w:t>
      </w:r>
      <w:r>
        <w:rPr>
          <w:rFonts w:ascii="Times New Roman" w:hAnsi="Times New Roman" w:eastAsia="方正仿宋_GBK"/>
          <w:color w:val="auto"/>
          <w:sz w:val="32"/>
          <w:szCs w:val="32"/>
        </w:rPr>
        <w:t>财政</w:t>
      </w:r>
      <w:r>
        <w:rPr>
          <w:rFonts w:hint="eastAsia" w:ascii="Times New Roman" w:hAnsi="Times New Roman" w:eastAsia="方正仿宋_GBK"/>
          <w:color w:val="auto"/>
          <w:sz w:val="32"/>
          <w:szCs w:val="32"/>
        </w:rPr>
        <w:t>存在</w:t>
      </w:r>
      <w:r>
        <w:rPr>
          <w:rFonts w:ascii="Times New Roman" w:hAnsi="Times New Roman" w:eastAsia="方正仿宋_GBK"/>
          <w:color w:val="auto"/>
          <w:sz w:val="32"/>
          <w:szCs w:val="32"/>
        </w:rPr>
        <w:t>增收渠道</w:t>
      </w:r>
      <w:r>
        <w:rPr>
          <w:rFonts w:hint="eastAsia" w:ascii="Times New Roman" w:hAnsi="Times New Roman" w:eastAsia="方正仿宋_GBK"/>
          <w:color w:val="auto"/>
          <w:sz w:val="32"/>
          <w:szCs w:val="32"/>
        </w:rPr>
        <w:t>少、</w:t>
      </w:r>
      <w:r>
        <w:rPr>
          <w:rFonts w:ascii="Times New Roman" w:hAnsi="Times New Roman" w:eastAsia="方正仿宋_GBK"/>
          <w:color w:val="auto"/>
          <w:sz w:val="32"/>
          <w:szCs w:val="32"/>
        </w:rPr>
        <w:t>税源支撑</w:t>
      </w:r>
      <w:r>
        <w:rPr>
          <w:rFonts w:hint="eastAsia" w:ascii="Times New Roman" w:hAnsi="Times New Roman" w:eastAsia="方正仿宋_GBK"/>
          <w:color w:val="auto"/>
          <w:sz w:val="32"/>
          <w:szCs w:val="32"/>
        </w:rPr>
        <w:t>不足、</w:t>
      </w:r>
      <w:r>
        <w:rPr>
          <w:rFonts w:ascii="Times New Roman" w:hAnsi="Times New Roman" w:eastAsia="方正仿宋_GBK"/>
          <w:color w:val="auto"/>
          <w:sz w:val="32"/>
          <w:szCs w:val="32"/>
        </w:rPr>
        <w:t>偿债压力大</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融资困难</w:t>
      </w:r>
      <w:r>
        <w:rPr>
          <w:rFonts w:hint="eastAsia" w:ascii="Times New Roman" w:hAnsi="Times New Roman" w:eastAsia="方正仿宋_GBK"/>
          <w:color w:val="auto"/>
          <w:sz w:val="32"/>
          <w:szCs w:val="32"/>
        </w:rPr>
        <w:t>且</w:t>
      </w:r>
      <w:r>
        <w:rPr>
          <w:rFonts w:hint="eastAsia" w:ascii="Times New Roman" w:hAnsi="Times New Roman" w:eastAsia="方正仿宋_GBK"/>
          <w:color w:val="auto"/>
          <w:sz w:val="32"/>
          <w:szCs w:val="32"/>
          <w:lang w:eastAsia="zh-CN"/>
        </w:rPr>
        <w:t>刚性支出持续增加等</w:t>
      </w:r>
      <w:r>
        <w:rPr>
          <w:rFonts w:hint="eastAsia" w:ascii="Times New Roman" w:hAnsi="Times New Roman" w:eastAsia="方正仿宋_GBK"/>
          <w:color w:val="auto"/>
          <w:sz w:val="32"/>
          <w:szCs w:val="32"/>
        </w:rPr>
        <w:t>典型问题。</w:t>
      </w:r>
      <w:r>
        <w:rPr>
          <w:rFonts w:ascii="Times New Roman" w:hAnsi="Times New Roman" w:eastAsia="方正仿宋_GBK"/>
          <w:b/>
          <w:color w:val="auto"/>
          <w:sz w:val="32"/>
          <w:szCs w:val="32"/>
        </w:rPr>
        <w:t>四是</w:t>
      </w:r>
      <w:r>
        <w:rPr>
          <w:rFonts w:hint="eastAsia" w:ascii="Times New Roman" w:hAnsi="Times New Roman" w:eastAsia="方正仿宋_GBK"/>
          <w:b/>
          <w:color w:val="auto"/>
          <w:sz w:val="32"/>
          <w:szCs w:val="32"/>
        </w:rPr>
        <w:t>新型城镇化建设短板明显</w:t>
      </w:r>
      <w:r>
        <w:rPr>
          <w:rFonts w:ascii="Times New Roman" w:hAnsi="Times New Roman" w:eastAsia="方正仿宋_GBK"/>
          <w:b/>
          <w:color w:val="auto"/>
          <w:sz w:val="32"/>
          <w:szCs w:val="32"/>
        </w:rPr>
        <w:t>。</w:t>
      </w:r>
      <w:r>
        <w:rPr>
          <w:rFonts w:hint="eastAsia" w:ascii="Times New Roman" w:hAnsi="Times New Roman" w:eastAsia="方正仿宋_GBK"/>
          <w:color w:val="auto"/>
          <w:sz w:val="32"/>
          <w:szCs w:val="32"/>
        </w:rPr>
        <w:t>新型城镇化进展缓慢，</w:t>
      </w:r>
      <w:r>
        <w:rPr>
          <w:rFonts w:ascii="Times New Roman" w:hAnsi="Times New Roman" w:eastAsia="方正仿宋_GBK"/>
          <w:color w:val="auto"/>
          <w:sz w:val="32"/>
          <w:szCs w:val="32"/>
        </w:rPr>
        <w:t>以城带产、以产兴城、产城联动效应不高，城市对人的聚焦能力不强，</w:t>
      </w:r>
      <w:r>
        <w:rPr>
          <w:rFonts w:hint="eastAsia" w:ascii="Times New Roman" w:hAnsi="Times New Roman" w:eastAsia="方正仿宋_GBK"/>
          <w:color w:val="auto"/>
          <w:sz w:val="32"/>
          <w:szCs w:val="32"/>
        </w:rPr>
        <w:t>城区</w:t>
      </w:r>
      <w:r>
        <w:rPr>
          <w:rFonts w:ascii="Times New Roman" w:hAnsi="Times New Roman" w:eastAsia="方正仿宋_GBK"/>
          <w:color w:val="auto"/>
          <w:sz w:val="32"/>
          <w:szCs w:val="32"/>
        </w:rPr>
        <w:t>优势</w:t>
      </w:r>
      <w:r>
        <w:rPr>
          <w:rFonts w:hint="eastAsia" w:ascii="Times New Roman" w:hAnsi="Times New Roman" w:eastAsia="方正仿宋_GBK"/>
          <w:color w:val="auto"/>
          <w:sz w:val="32"/>
          <w:szCs w:val="32"/>
        </w:rPr>
        <w:t>未得到</w:t>
      </w:r>
      <w:r>
        <w:rPr>
          <w:rFonts w:ascii="Times New Roman" w:hAnsi="Times New Roman" w:eastAsia="方正仿宋_GBK"/>
          <w:color w:val="auto"/>
          <w:sz w:val="32"/>
          <w:szCs w:val="32"/>
        </w:rPr>
        <w:t>充分发挥。</w:t>
      </w:r>
      <w:r>
        <w:rPr>
          <w:rFonts w:ascii="Times New Roman" w:hAnsi="Times New Roman" w:eastAsia="方正仿宋_GBK"/>
          <w:b/>
          <w:color w:val="auto"/>
          <w:sz w:val="32"/>
          <w:szCs w:val="32"/>
        </w:rPr>
        <w:t>五是</w:t>
      </w:r>
      <w:r>
        <w:rPr>
          <w:rFonts w:hint="eastAsia" w:ascii="Times New Roman" w:hAnsi="Times New Roman" w:eastAsia="方正仿宋_GBK"/>
          <w:b/>
          <w:color w:val="auto"/>
          <w:sz w:val="32"/>
          <w:szCs w:val="32"/>
        </w:rPr>
        <w:t>优质公共服务供给不足。</w:t>
      </w:r>
      <w:r>
        <w:rPr>
          <w:rFonts w:hint="eastAsia" w:ascii="Times New Roman" w:hAnsi="Times New Roman" w:eastAsia="方正仿宋_GBK"/>
          <w:color w:val="auto"/>
          <w:sz w:val="32"/>
          <w:szCs w:val="32"/>
        </w:rPr>
        <w:t>城乡基本公共服务总体供给不足、分布不平衡、供给布局不合理。</w:t>
      </w:r>
      <w:r>
        <w:rPr>
          <w:rFonts w:ascii="Times New Roman" w:hAnsi="Times New Roman" w:eastAsia="方正仿宋_GBK"/>
          <w:b/>
          <w:color w:val="auto"/>
          <w:sz w:val="32"/>
          <w:szCs w:val="32"/>
        </w:rPr>
        <w:t>六是生态环境保护压力大。</w:t>
      </w:r>
      <w:r>
        <w:rPr>
          <w:rFonts w:ascii="Times New Roman" w:hAnsi="Times New Roman" w:eastAsia="方正仿宋_GBK"/>
          <w:color w:val="auto"/>
          <w:sz w:val="32"/>
          <w:szCs w:val="32"/>
        </w:rPr>
        <w:t>星云湖保护治理</w:t>
      </w:r>
      <w:r>
        <w:rPr>
          <w:rFonts w:hint="eastAsia" w:ascii="Times New Roman" w:hAnsi="Times New Roman" w:eastAsia="方正仿宋_GBK"/>
          <w:color w:val="auto"/>
          <w:sz w:val="32"/>
          <w:szCs w:val="32"/>
        </w:rPr>
        <w:t>压力大，环保项目</w:t>
      </w:r>
      <w:r>
        <w:rPr>
          <w:rFonts w:ascii="Times New Roman" w:hAnsi="Times New Roman" w:eastAsia="方正仿宋_GBK"/>
          <w:color w:val="auto"/>
          <w:sz w:val="32"/>
          <w:szCs w:val="32"/>
        </w:rPr>
        <w:t>建设用地、基本农田用地与保护红线间存在矛盾</w:t>
      </w:r>
      <w:r>
        <w:rPr>
          <w:rFonts w:hint="eastAsia" w:ascii="Times New Roman" w:hAnsi="Times New Roman" w:eastAsia="方正仿宋_GBK"/>
          <w:color w:val="auto"/>
          <w:sz w:val="32"/>
          <w:szCs w:val="32"/>
        </w:rPr>
        <w:t>，人居环境提升</w:t>
      </w:r>
      <w:r>
        <w:rPr>
          <w:rFonts w:hint="eastAsia" w:ascii="Times New Roman" w:hAnsi="Times New Roman" w:eastAsia="方正仿宋_GBK"/>
          <w:color w:val="auto"/>
          <w:sz w:val="32"/>
          <w:szCs w:val="32"/>
          <w:lang w:eastAsia="zh-CN"/>
        </w:rPr>
        <w:t>短板</w:t>
      </w:r>
      <w:r>
        <w:rPr>
          <w:rFonts w:hint="eastAsia" w:ascii="Times New Roman" w:hAnsi="Times New Roman" w:eastAsia="方正仿宋_GBK"/>
          <w:color w:val="auto"/>
          <w:sz w:val="32"/>
          <w:szCs w:val="32"/>
        </w:rPr>
        <w:t>多等问题依然突出</w:t>
      </w:r>
      <w:r>
        <w:rPr>
          <w:rFonts w:ascii="Times New Roman" w:hAnsi="Times New Roman" w:eastAsia="方正仿宋_GBK"/>
          <w:color w:val="auto"/>
          <w:sz w:val="32"/>
          <w:szCs w:val="32"/>
        </w:rPr>
        <w:t>。</w:t>
      </w:r>
    </w:p>
    <w:p>
      <w:pPr>
        <w:spacing w:line="560" w:lineRule="exact"/>
        <w:ind w:firstLine="643" w:firstLineChars="200"/>
        <w:rPr>
          <w:rFonts w:ascii="Times New Roman" w:hAnsi="Times New Roman" w:eastAsia="方正仿宋_GBK"/>
          <w:color w:val="auto"/>
          <w:sz w:val="32"/>
          <w:szCs w:val="32"/>
        </w:rPr>
      </w:pPr>
      <w:r>
        <w:rPr>
          <w:rFonts w:ascii="Times New Roman" w:hAnsi="Times New Roman" w:eastAsia="方正仿宋_GBK"/>
          <w:b/>
          <w:color w:val="auto"/>
          <w:sz w:val="32"/>
          <w:szCs w:val="32"/>
        </w:rPr>
        <w:t>总体来看，</w:t>
      </w:r>
      <w:r>
        <w:rPr>
          <w:rFonts w:ascii="Times New Roman" w:hAnsi="Times New Roman" w:eastAsia="方正仿宋_GBK"/>
          <w:color w:val="auto"/>
          <w:sz w:val="32"/>
          <w:szCs w:val="32"/>
        </w:rPr>
        <w:t>经过“十三五”的发展，全区基础设施进一步</w:t>
      </w:r>
      <w:r>
        <w:rPr>
          <w:rFonts w:hint="eastAsia" w:ascii="Times New Roman" w:hAnsi="Times New Roman" w:eastAsia="方正仿宋_GBK"/>
          <w:color w:val="auto"/>
          <w:sz w:val="32"/>
          <w:szCs w:val="32"/>
          <w:lang w:eastAsia="zh-CN"/>
        </w:rPr>
        <w:t>完善</w:t>
      </w:r>
      <w:r>
        <w:rPr>
          <w:rFonts w:ascii="Times New Roman" w:hAnsi="Times New Roman" w:eastAsia="方正仿宋_GBK"/>
          <w:color w:val="auto"/>
          <w:sz w:val="32"/>
          <w:szCs w:val="32"/>
        </w:rPr>
        <w:t>，产业转型</w:t>
      </w:r>
      <w:r>
        <w:rPr>
          <w:rFonts w:hint="eastAsia" w:ascii="Times New Roman" w:hAnsi="Times New Roman" w:eastAsia="方正仿宋_GBK"/>
          <w:color w:val="auto"/>
          <w:sz w:val="32"/>
          <w:szCs w:val="32"/>
          <w:lang w:eastAsia="zh-CN"/>
        </w:rPr>
        <w:t>升级</w:t>
      </w:r>
      <w:r>
        <w:rPr>
          <w:rFonts w:ascii="Times New Roman" w:hAnsi="Times New Roman" w:eastAsia="方正仿宋_GBK"/>
          <w:color w:val="auto"/>
          <w:sz w:val="32"/>
          <w:szCs w:val="32"/>
        </w:rPr>
        <w:t>迈出关键一步，社会民生保障能力得到增强，改革开放稳步推进，为“十四五”发展奠定良好基础。但是，经济社会发展仍然存在很多问题和短板，未来五年，全区发展将面临前所未有的压力，这就要求我们紧紧团结在以习近平同志为核心的党中央周围，按照省委、省政府和市委、市政府的总体部署，顺势而为、乘势而上，推动江川高质量跨越式发展，实现社会主义现代化建设顺利开局。</w:t>
      </w:r>
    </w:p>
    <w:p>
      <w:pPr>
        <w:pStyle w:val="4"/>
        <w:rPr>
          <w:b w:val="0"/>
          <w:bCs w:val="0"/>
          <w:color w:val="auto"/>
          <w:sz w:val="36"/>
        </w:rPr>
      </w:pPr>
      <w:bookmarkStart w:id="15" w:name="_Toc446364457"/>
      <w:bookmarkStart w:id="16" w:name="_Toc2175"/>
      <w:bookmarkStart w:id="17" w:name="_Toc12320"/>
      <w:bookmarkStart w:id="18" w:name="_Toc5187"/>
      <w:r>
        <w:rPr>
          <w:rFonts w:hint="eastAsia"/>
          <w:b w:val="0"/>
          <w:bCs w:val="0"/>
          <w:color w:val="auto"/>
          <w:sz w:val="36"/>
        </w:rPr>
        <w:t>第二章　发展环境</w:t>
      </w:r>
      <w:bookmarkEnd w:id="15"/>
      <w:bookmarkEnd w:id="16"/>
      <w:bookmarkEnd w:id="17"/>
      <w:bookmarkEnd w:id="18"/>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snapToGrid/>
          <w:color w:val="000000"/>
          <w:sz w:val="32"/>
          <w:szCs w:val="32"/>
        </w:rPr>
        <w:t>从全球看，</w:t>
      </w:r>
      <w:r>
        <w:rPr>
          <w:rFonts w:hint="eastAsia" w:ascii="Times New Roman" w:hAnsi="Times New Roman" w:eastAsia="方正仿宋_GBK"/>
          <w:snapToGrid/>
          <w:color w:val="000000"/>
          <w:sz w:val="32"/>
          <w:szCs w:val="32"/>
        </w:rPr>
        <w:t>世界百年未有之大变局进入加速演变期，新一轮科技革命和产业变革深入发展，新冠肺炎疫情影响广泛深远。</w:t>
      </w:r>
      <w:r>
        <w:rPr>
          <w:rFonts w:hint="eastAsia" w:ascii="Times New Roman" w:hAnsi="Times New Roman" w:eastAsia="方正仿宋_GBK"/>
          <w:b/>
          <w:snapToGrid/>
          <w:color w:val="000000"/>
          <w:sz w:val="32"/>
          <w:szCs w:val="32"/>
        </w:rPr>
        <w:t>从全国看，</w:t>
      </w:r>
      <w:r>
        <w:rPr>
          <w:rFonts w:hint="eastAsia" w:ascii="Times New Roman" w:hAnsi="Times New Roman" w:eastAsia="方正仿宋_GBK"/>
          <w:snapToGrid/>
          <w:color w:val="000000"/>
          <w:sz w:val="32"/>
          <w:szCs w:val="32"/>
        </w:rPr>
        <w:t>我国经济长期向好的基本面没有改变，</w:t>
      </w:r>
      <w:r>
        <w:rPr>
          <w:rFonts w:hint="eastAsia" w:ascii="Times New Roman" w:hAnsi="Times New Roman" w:eastAsia="方正仿宋_GBK"/>
          <w:snapToGrid/>
          <w:color w:val="auto"/>
          <w:sz w:val="32"/>
          <w:szCs w:val="32"/>
          <w:lang w:eastAsia="zh-CN"/>
        </w:rPr>
        <w:t>持续</w:t>
      </w:r>
      <w:r>
        <w:rPr>
          <w:rFonts w:hint="eastAsia" w:ascii="Times New Roman" w:hAnsi="Times New Roman" w:eastAsia="方正仿宋_GBK"/>
          <w:snapToGrid/>
          <w:color w:val="000000"/>
          <w:sz w:val="32"/>
          <w:szCs w:val="32"/>
        </w:rPr>
        <w:t>发展具有多方面优势和条件。</w:t>
      </w:r>
    </w:p>
    <w:p>
      <w:pPr>
        <w:spacing w:line="560" w:lineRule="exact"/>
        <w:ind w:firstLine="643" w:firstLineChars="200"/>
        <w:rPr>
          <w:rFonts w:ascii="Times New Roman" w:hAnsi="Times New Roman" w:eastAsia="方正仿宋_GBK"/>
          <w:b w:val="0"/>
          <w:color w:val="auto"/>
          <w:sz w:val="32"/>
          <w:szCs w:val="32"/>
        </w:rPr>
      </w:pPr>
      <w:r>
        <w:rPr>
          <w:rFonts w:hint="eastAsia" w:ascii="Times New Roman" w:hAnsi="Times New Roman" w:eastAsia="方正仿宋_GBK"/>
          <w:b/>
          <w:color w:val="auto"/>
          <w:sz w:val="32"/>
          <w:szCs w:val="32"/>
        </w:rPr>
        <w:t>从省内形势看，</w:t>
      </w:r>
      <w:r>
        <w:rPr>
          <w:rFonts w:hint="eastAsia" w:ascii="Times New Roman" w:hAnsi="Times New Roman" w:eastAsia="方正仿宋_GBK"/>
          <w:color w:val="auto"/>
          <w:sz w:val="32"/>
          <w:szCs w:val="32"/>
        </w:rPr>
        <w:t>习近平总书记两次考察云南重要讲话精神为我省发展提供了根本遵循，国家“一带一路”建设以及长江经济带、西部大开发、“两新一重”建设等重大战略和政策在云南交汇叠加、推进实施，“边疆、民族、山区、美丽”省情新内涵不断丰富，世界一流“三张牌”打造、现代产业体系构建、“中国最美丽省份”建设、“数字云南”建设、滇中城市群发展、昆玉同城化等决策部署接踵落地、集聚释能，省委明确把云南建设成为国内大市场与南亚东南亚国际市场之间的战略纽带</w:t>
      </w:r>
      <w:r>
        <w:rPr>
          <w:rFonts w:hint="eastAsia" w:ascii="Times New Roman" w:hAnsi="Times New Roman" w:eastAsia="方正仿宋_GBK"/>
          <w:color w:val="auto"/>
          <w:sz w:val="32"/>
          <w:szCs w:val="32"/>
          <w:lang w:eastAsia="zh-CN"/>
        </w:rPr>
        <w:t>及</w:t>
      </w:r>
      <w:r>
        <w:rPr>
          <w:rFonts w:hint="eastAsia" w:ascii="Times New Roman" w:hAnsi="Times New Roman" w:eastAsia="方正仿宋_GBK"/>
          <w:color w:val="auto"/>
          <w:sz w:val="32"/>
          <w:szCs w:val="32"/>
        </w:rPr>
        <w:t>“大循环、双循环”的重要支撑，为江川借势而为、加快发展提供了重大机遇。</w:t>
      </w:r>
      <w:r>
        <w:rPr>
          <w:rFonts w:ascii="Times New Roman" w:hAnsi="Times New Roman" w:eastAsia="方正仿宋_GBK"/>
          <w:color w:val="auto"/>
          <w:sz w:val="32"/>
          <w:szCs w:val="32"/>
        </w:rPr>
        <w:t>《云南省推进新型基础设施建设实施方案</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2020-2022年</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》、滇中城市群规划、城市更新行动计划等重大部署加快落地实施，为江川区打造美丽滨湖花园城市提供重大政策机遇和广阔发展空间。</w:t>
      </w:r>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从市内形势看，</w:t>
      </w:r>
      <w:r>
        <w:rPr>
          <w:rFonts w:ascii="Times New Roman" w:hAnsi="Times New Roman" w:eastAsia="方正仿宋_GBK"/>
          <w:color w:val="auto"/>
          <w:sz w:val="32"/>
          <w:szCs w:val="32"/>
        </w:rPr>
        <w:t>玉溪</w:t>
      </w:r>
      <w:r>
        <w:rPr>
          <w:rFonts w:hint="eastAsia" w:ascii="Times New Roman" w:hAnsi="Times New Roman" w:eastAsia="方正仿宋_GBK"/>
          <w:color w:val="auto"/>
          <w:sz w:val="32"/>
          <w:szCs w:val="32"/>
        </w:rPr>
        <w:t>拥有最核心的优势战略节点性、最宝贵的财富生态宜居性、最难得的特质开放创新性、最坚实的高质量发展基础产业体系较完备性四大优势。“十四五”时期将着力打造云南社会主义现代化建设先行区、全国绿色创新发展示范区、国际高品质康养旅居新高地，</w:t>
      </w:r>
      <w:r>
        <w:rPr>
          <w:rFonts w:ascii="Times New Roman" w:hAnsi="Times New Roman" w:eastAsia="方正仿宋_GBK"/>
          <w:color w:val="auto"/>
          <w:sz w:val="32"/>
          <w:szCs w:val="32"/>
        </w:rPr>
        <w:t>将</w:t>
      </w:r>
      <w:r>
        <w:rPr>
          <w:rFonts w:hint="eastAsia" w:ascii="Times New Roman" w:hAnsi="Times New Roman" w:eastAsia="方正仿宋_GBK"/>
          <w:color w:val="auto"/>
          <w:sz w:val="32"/>
          <w:szCs w:val="32"/>
        </w:rPr>
        <w:t>着力建成</w:t>
      </w:r>
      <w:r>
        <w:rPr>
          <w:rFonts w:ascii="Times New Roman" w:hAnsi="Times New Roman" w:eastAsia="方正仿宋_GBK"/>
          <w:color w:val="auto"/>
          <w:sz w:val="32"/>
          <w:szCs w:val="32"/>
        </w:rPr>
        <w:t>在我国西南地区和南亚东南亚国家有一定影响、科技支撑引领经济社会发展作用突出的创新型城市，成为我省重要的研发创新中心和经济成果转化基地。</w:t>
      </w:r>
      <w:r>
        <w:rPr>
          <w:rFonts w:hint="eastAsia" w:ascii="Times New Roman" w:hAnsi="Times New Roman" w:eastAsia="方正仿宋_GBK"/>
          <w:color w:val="auto"/>
          <w:sz w:val="32"/>
          <w:szCs w:val="32"/>
        </w:rPr>
        <w:t>将构建“一核三带”生产力空间格局，其中加快推进红塔区、江川区、高新区一体化发展，打造引领玉溪发展的核心生产力布局安排</w:t>
      </w:r>
      <w:r>
        <w:rPr>
          <w:rFonts w:ascii="Times New Roman" w:hAnsi="Times New Roman" w:eastAsia="方正仿宋_GBK"/>
          <w:color w:val="auto"/>
          <w:sz w:val="32"/>
          <w:szCs w:val="32"/>
        </w:rPr>
        <w:t>将为江川发展带来新发展契机</w:t>
      </w:r>
      <w:r>
        <w:rPr>
          <w:rFonts w:hint="eastAsia" w:ascii="Times New Roman" w:hAnsi="Times New Roman" w:eastAsia="方正仿宋_GBK"/>
          <w:color w:val="auto"/>
          <w:sz w:val="32"/>
          <w:szCs w:val="32"/>
        </w:rPr>
        <w:t>。</w:t>
      </w:r>
    </w:p>
    <w:p>
      <w:pPr>
        <w:spacing w:line="560" w:lineRule="exact"/>
        <w:ind w:firstLine="643" w:firstLineChars="200"/>
        <w:rPr>
          <w:rFonts w:ascii="Times New Roman" w:hAnsi="Times New Roman" w:eastAsia="方正仿宋_GBK"/>
          <w:b/>
          <w:color w:val="auto"/>
          <w:sz w:val="32"/>
          <w:szCs w:val="32"/>
        </w:rPr>
      </w:pPr>
      <w:bookmarkStart w:id="19" w:name="_Toc9226_WPSOffice_Level2"/>
      <w:bookmarkStart w:id="20" w:name="_Toc527408867"/>
      <w:r>
        <w:rPr>
          <w:rFonts w:hint="eastAsia" w:ascii="Times New Roman" w:hAnsi="Times New Roman" w:eastAsia="方正仿宋_GBK"/>
          <w:b/>
          <w:color w:val="auto"/>
          <w:sz w:val="32"/>
          <w:szCs w:val="32"/>
        </w:rPr>
        <w:t>从江川区看，</w:t>
      </w:r>
      <w:r>
        <w:rPr>
          <w:rFonts w:hint="eastAsia" w:ascii="Times New Roman" w:hAnsi="Times New Roman" w:eastAsia="方正仿宋_GBK"/>
          <w:color w:val="auto"/>
          <w:sz w:val="32"/>
          <w:szCs w:val="32"/>
        </w:rPr>
        <w:t>一园多片产业格局初步形成，星云湖保护治理生态效益逐步显现，红塔区、江川区、高新区一体化发展加快推进，为江川高质量发展奠定了坚实基础。“十四五”时期</w:t>
      </w:r>
      <w:r>
        <w:rPr>
          <w:rFonts w:ascii="Times New Roman" w:hAnsi="Times New Roman" w:eastAsia="方正仿宋_GBK"/>
          <w:color w:val="auto"/>
          <w:sz w:val="32"/>
          <w:szCs w:val="32"/>
        </w:rPr>
        <w:t>，我区交通及区位优势将愈发凸显，江川承东启西、接转南北、辐射带动的潜力将得到进一步挖掘，枢纽地位和投资洼地效应更加明显</w:t>
      </w:r>
      <w:r>
        <w:rPr>
          <w:rFonts w:hint="eastAsia" w:ascii="Times New Roman" w:hAnsi="Times New Roman" w:eastAsia="方正仿宋_GBK"/>
          <w:color w:val="auto"/>
          <w:sz w:val="32"/>
          <w:szCs w:val="32"/>
          <w:lang w:eastAsia="zh-CN"/>
        </w:rPr>
        <w:t>，</w:t>
      </w:r>
      <w:r>
        <w:rPr>
          <w:rFonts w:ascii="Times New Roman" w:hAnsi="Times New Roman" w:eastAsia="方正仿宋_GBK"/>
          <w:color w:val="auto"/>
          <w:sz w:val="32"/>
          <w:szCs w:val="32"/>
        </w:rPr>
        <w:t>融入滇中城市经济圈发展步伐也将加快，将为江川建设具有更强辐射带动力区域性中心城市提供坚实支撑和长远空间，我区土地、水、生物、旅游等资源丰富，现代农业发展水平较高，工业基础较好，文化旅游业发展潜力巨大等优势也将持续释放。我区将与红塔、通海、华宁、澄江等周边地区形成交通互连、产业错位、生态共保、利益共享的协同发展新局面，未来几年随着新型城镇化和工业化的加速推进，产城融合发展的示范效应也将进一步显现。</w:t>
      </w:r>
    </w:p>
    <w:bookmarkEnd w:id="19"/>
    <w:bookmarkEnd w:id="20"/>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未来的发展，</w:t>
      </w:r>
      <w:r>
        <w:rPr>
          <w:rFonts w:hint="eastAsia" w:ascii="Times New Roman" w:hAnsi="Times New Roman" w:eastAsia="方正仿宋_GBK"/>
          <w:color w:val="auto"/>
          <w:sz w:val="32"/>
          <w:szCs w:val="32"/>
        </w:rPr>
        <w:t>全区上下要胸怀“两个大局”，深刻认识社会主要矛盾变化带来的新特征新要求，深刻认识内外环境变化带来的新矛盾新挑战，深刻认识江川历史性窗口期和战略性机遇期的新趋势新任务，牢牢把握进入新发展阶段、贯彻新发展理念、融入新发展格局的丰富内涵和实践要求，增强机遇意识和风险意识，遵循发展规律，发扬斗争精神，准确识变、科学应变、主动求变，善于在危机中育先机、于变局中开新局，抓住机遇，应对挑战，趋利避害，奋勇前进，实现社会主义现代化建设良好开局，实现全区高质量</w:t>
      </w:r>
      <w:r>
        <w:rPr>
          <w:rFonts w:hint="eastAsia" w:ascii="Times New Roman" w:hAnsi="Times New Roman" w:eastAsia="方正仿宋_GBK"/>
          <w:color w:val="auto"/>
          <w:sz w:val="32"/>
          <w:szCs w:val="32"/>
          <w:lang w:eastAsia="zh-CN"/>
        </w:rPr>
        <w:t>跨越式</w:t>
      </w:r>
      <w:r>
        <w:rPr>
          <w:rFonts w:hint="eastAsia" w:ascii="Times New Roman" w:hAnsi="Times New Roman" w:eastAsia="方正仿宋_GBK"/>
          <w:color w:val="auto"/>
          <w:sz w:val="32"/>
          <w:szCs w:val="32"/>
        </w:rPr>
        <w:t>发展。</w:t>
      </w:r>
    </w:p>
    <w:p>
      <w:pPr>
        <w:widowControl/>
        <w:spacing w:line="240" w:lineRule="auto"/>
        <w:ind w:firstLine="0" w:firstLineChars="0"/>
        <w:jc w:val="center"/>
        <w:rPr>
          <w:rFonts w:hint="eastAsia" w:ascii="Times New Roman" w:hAnsi="Times New Roman" w:eastAsia="方正仿宋_GBK"/>
          <w:color w:val="auto"/>
          <w:sz w:val="32"/>
          <w:szCs w:val="32"/>
          <w:lang w:val="en-US" w:eastAsia="zh-CN"/>
        </w:rPr>
      </w:pPr>
      <w:r>
        <w:rPr>
          <w:rFonts w:hint="eastAsia" w:ascii="Times New Roman" w:hAnsi="Times New Roman" w:eastAsia="方正仿宋_GBK"/>
          <w:color w:val="auto"/>
          <w:sz w:val="32"/>
          <w:szCs w:val="32"/>
          <w:lang w:val="en-US" w:eastAsia="zh-CN"/>
        </w:rPr>
        <w:t xml:space="preserve">                 </w:t>
      </w:r>
    </w:p>
    <w:p>
      <w:pPr>
        <w:widowControl/>
        <w:spacing w:line="240" w:lineRule="auto"/>
        <w:ind w:firstLine="0" w:firstLineChars="0"/>
        <w:jc w:val="center"/>
        <w:rPr>
          <w:rFonts w:hint="eastAsia" w:ascii="Times New Roman" w:hAnsi="Times New Roman" w:eastAsia="方正仿宋_GBK"/>
          <w:color w:val="auto"/>
          <w:sz w:val="32"/>
          <w:szCs w:val="32"/>
          <w:lang w:val="en-US" w:eastAsia="zh-CN"/>
        </w:rPr>
      </w:pPr>
    </w:p>
    <w:p>
      <w:pPr>
        <w:widowControl/>
        <w:spacing w:line="240" w:lineRule="auto"/>
        <w:ind w:firstLine="0" w:firstLineChars="0"/>
        <w:jc w:val="center"/>
        <w:rPr>
          <w:rFonts w:hint="eastAsia" w:ascii="Times New Roman" w:hAnsi="Times New Roman" w:eastAsia="方正仿宋_GBK"/>
          <w:color w:val="auto"/>
          <w:sz w:val="32"/>
          <w:szCs w:val="32"/>
          <w:lang w:val="en-US" w:eastAsia="zh-CN"/>
        </w:rPr>
      </w:pPr>
    </w:p>
    <w:p>
      <w:pPr>
        <w:widowControl/>
        <w:spacing w:line="240" w:lineRule="auto"/>
        <w:ind w:firstLine="0" w:firstLineChars="0"/>
        <w:jc w:val="center"/>
        <w:rPr>
          <w:rFonts w:hint="eastAsia" w:ascii="Times New Roman" w:hAnsi="Times New Roman" w:eastAsia="方正仿宋_GBK"/>
          <w:color w:val="auto"/>
          <w:sz w:val="32"/>
          <w:szCs w:val="32"/>
          <w:lang w:val="en-US" w:eastAsia="zh-CN"/>
        </w:rPr>
      </w:pPr>
    </w:p>
    <w:p>
      <w:pPr>
        <w:widowControl/>
        <w:spacing w:line="240" w:lineRule="auto"/>
        <w:ind w:firstLine="0" w:firstLineChars="0"/>
        <w:jc w:val="center"/>
        <w:rPr>
          <w:rFonts w:hint="eastAsia" w:ascii="Times New Roman" w:hAnsi="Times New Roman" w:eastAsia="方正仿宋_GBK"/>
          <w:color w:val="auto"/>
          <w:sz w:val="32"/>
          <w:szCs w:val="32"/>
          <w:lang w:val="en-US" w:eastAsia="zh-CN"/>
        </w:rPr>
      </w:pPr>
    </w:p>
    <w:p>
      <w:pPr>
        <w:widowControl/>
        <w:spacing w:line="240" w:lineRule="auto"/>
        <w:ind w:firstLine="0" w:firstLineChars="0"/>
        <w:jc w:val="center"/>
        <w:rPr>
          <w:rFonts w:hint="eastAsia" w:ascii="Times New Roman" w:hAnsi="Times New Roman" w:eastAsia="方正仿宋_GBK"/>
          <w:color w:val="auto"/>
          <w:sz w:val="32"/>
          <w:szCs w:val="32"/>
          <w:lang w:val="en-US" w:eastAsia="zh-CN"/>
        </w:rPr>
      </w:pPr>
    </w:p>
    <w:p>
      <w:pPr>
        <w:widowControl/>
        <w:spacing w:line="240" w:lineRule="auto"/>
        <w:ind w:firstLine="0" w:firstLineChars="0"/>
        <w:jc w:val="center"/>
        <w:rPr>
          <w:rFonts w:hint="eastAsia" w:ascii="Times New Roman" w:hAnsi="Times New Roman" w:eastAsia="方正仿宋_GBK"/>
          <w:color w:val="auto"/>
          <w:sz w:val="32"/>
          <w:szCs w:val="32"/>
          <w:lang w:val="en-US" w:eastAsia="zh-CN"/>
        </w:rPr>
      </w:pPr>
    </w:p>
    <w:p>
      <w:pPr>
        <w:widowControl/>
        <w:spacing w:line="240" w:lineRule="auto"/>
        <w:ind w:firstLine="0" w:firstLineChars="0"/>
        <w:jc w:val="center"/>
        <w:rPr>
          <w:rFonts w:hint="eastAsia" w:ascii="Times New Roman" w:hAnsi="Times New Roman" w:eastAsia="方正仿宋_GBK"/>
          <w:color w:val="auto"/>
          <w:sz w:val="32"/>
          <w:szCs w:val="32"/>
          <w:lang w:val="en-US" w:eastAsia="zh-CN"/>
        </w:rPr>
      </w:pPr>
    </w:p>
    <w:p>
      <w:pPr>
        <w:widowControl/>
        <w:spacing w:line="240" w:lineRule="auto"/>
        <w:ind w:firstLine="0" w:firstLineChars="0"/>
        <w:jc w:val="center"/>
        <w:rPr>
          <w:rFonts w:hint="eastAsia" w:ascii="Times New Roman" w:hAnsi="Times New Roman" w:eastAsia="方正仿宋_GBK"/>
          <w:color w:val="auto"/>
          <w:sz w:val="32"/>
          <w:szCs w:val="32"/>
          <w:lang w:val="en-US" w:eastAsia="zh-CN"/>
        </w:rPr>
      </w:pPr>
    </w:p>
    <w:p>
      <w:pPr>
        <w:pStyle w:val="3"/>
        <w:jc w:val="both"/>
        <w:rPr>
          <w:rFonts w:hint="eastAsia" w:ascii="Times New Roman" w:hAnsi="Times New Roman" w:eastAsia="方正仿宋_GBK"/>
          <w:color w:val="auto"/>
          <w:sz w:val="32"/>
          <w:szCs w:val="32"/>
          <w:lang w:val="en-US" w:eastAsia="zh-CN"/>
        </w:rPr>
      </w:pPr>
      <w:r>
        <w:rPr>
          <w:rFonts w:hint="eastAsia" w:ascii="Times New Roman" w:hAnsi="Times New Roman" w:eastAsia="方正仿宋_GBK"/>
          <w:color w:val="auto"/>
          <w:sz w:val="32"/>
          <w:szCs w:val="32"/>
          <w:lang w:val="en-US" w:eastAsia="zh-CN"/>
        </w:rPr>
        <w:t xml:space="preserve">  </w:t>
      </w:r>
    </w:p>
    <w:p>
      <w:pPr>
        <w:pStyle w:val="3"/>
        <w:jc w:val="both"/>
        <w:rPr>
          <w:rFonts w:hint="eastAsia" w:ascii="Times New Roman" w:hAnsi="Times New Roman" w:eastAsia="方正仿宋_GBK"/>
          <w:color w:val="auto"/>
          <w:sz w:val="32"/>
          <w:szCs w:val="32"/>
          <w:lang w:val="en-US" w:eastAsia="zh-CN"/>
        </w:rPr>
      </w:pPr>
    </w:p>
    <w:p>
      <w:pPr>
        <w:pStyle w:val="3"/>
        <w:jc w:val="both"/>
        <w:rPr>
          <w:rFonts w:hint="eastAsia" w:ascii="Times New Roman" w:hAnsi="Times New Roman" w:eastAsia="方正仿宋_GBK"/>
          <w:color w:val="auto"/>
          <w:sz w:val="32"/>
          <w:szCs w:val="32"/>
          <w:lang w:val="en-US" w:eastAsia="zh-CN"/>
        </w:rPr>
      </w:pPr>
    </w:p>
    <w:p>
      <w:pPr>
        <w:rPr>
          <w:rFonts w:hint="eastAsia"/>
          <w:lang w:val="en-US" w:eastAsia="zh-CN"/>
        </w:rPr>
      </w:pPr>
    </w:p>
    <w:p>
      <w:pPr>
        <w:pStyle w:val="3"/>
        <w:jc w:val="center"/>
        <w:rPr>
          <w:b w:val="0"/>
          <w:bCs w:val="0"/>
          <w:color w:val="auto"/>
        </w:rPr>
      </w:pPr>
      <w:bookmarkStart w:id="21" w:name="_Toc446364458"/>
      <w:bookmarkStart w:id="22" w:name="_Toc14574"/>
      <w:bookmarkStart w:id="23" w:name="_Toc181"/>
      <w:bookmarkStart w:id="24" w:name="_Toc7234"/>
      <w:r>
        <w:rPr>
          <w:rFonts w:hint="eastAsia" w:eastAsia="方正小标宋简体"/>
          <w:b w:val="0"/>
          <w:bCs w:val="0"/>
          <w:color w:val="auto"/>
          <w:sz w:val="40"/>
        </w:rPr>
        <w:t>第二篇　总体思路</w:t>
      </w:r>
      <w:bookmarkEnd w:id="21"/>
      <w:bookmarkEnd w:id="22"/>
      <w:bookmarkEnd w:id="23"/>
      <w:bookmarkEnd w:id="24"/>
    </w:p>
    <w:p>
      <w:pPr>
        <w:spacing w:line="560" w:lineRule="exact"/>
        <w:ind w:firstLine="640" w:firstLineChars="200"/>
        <w:rPr>
          <w:rFonts w:ascii="Times New Roman" w:hAnsi="Times New Roman" w:eastAsia="方正仿宋_GBK"/>
          <w:color w:val="auto"/>
          <w:sz w:val="32"/>
          <w:szCs w:val="32"/>
        </w:rPr>
      </w:pPr>
      <w:bookmarkStart w:id="25" w:name="_Toc55540763"/>
      <w:r>
        <w:rPr>
          <w:rFonts w:ascii="Times New Roman" w:hAnsi="Times New Roman" w:eastAsia="方正仿宋_GBK"/>
          <w:color w:val="auto"/>
          <w:sz w:val="32"/>
          <w:szCs w:val="32"/>
        </w:rPr>
        <w:t>“十四五”时期是江川在全面建成小康社会基础上，乘势而上开启社会主义现代化建设的第一个五年，我们必须提高政治站位，深入贯彻落实党的十九大和十九届二中、三中、四中和五中全会精神以及习近平总书记考察云南重要讲话精神，必须认真总结工作，把握大势、找准定位、明确目标、务实奋进，适应新发展阶段，坚持新发展原则，全面贯彻新发展理念，积极主动融入“双循环”新发展格局，巩固全面建成小康社会成果，推动实现高质量跨越式发展，谱写全面建设社会主义现代化国家的江川新篇</w:t>
      </w:r>
      <w:r>
        <w:rPr>
          <w:rFonts w:hint="eastAsia" w:ascii="Times New Roman" w:hAnsi="Times New Roman" w:eastAsia="方正仿宋_GBK"/>
          <w:color w:val="auto"/>
          <w:sz w:val="32"/>
          <w:szCs w:val="32"/>
        </w:rPr>
        <w:t>章</w:t>
      </w:r>
      <w:r>
        <w:rPr>
          <w:rFonts w:ascii="Times New Roman" w:hAnsi="Times New Roman" w:eastAsia="方正仿宋_GBK"/>
          <w:color w:val="auto"/>
          <w:sz w:val="32"/>
          <w:szCs w:val="32"/>
        </w:rPr>
        <w:t>。</w:t>
      </w:r>
    </w:p>
    <w:p>
      <w:pPr>
        <w:pStyle w:val="4"/>
        <w:rPr>
          <w:b w:val="0"/>
          <w:bCs w:val="0"/>
          <w:color w:val="auto"/>
          <w:sz w:val="36"/>
        </w:rPr>
      </w:pPr>
      <w:bookmarkStart w:id="26" w:name="_Toc25798"/>
      <w:bookmarkStart w:id="27" w:name="_Toc446364459"/>
      <w:bookmarkStart w:id="28" w:name="_Toc25668"/>
      <w:bookmarkStart w:id="29" w:name="_Toc31678"/>
      <w:r>
        <w:rPr>
          <w:rFonts w:hint="eastAsia"/>
          <w:b w:val="0"/>
          <w:bCs w:val="0"/>
          <w:color w:val="auto"/>
          <w:sz w:val="36"/>
        </w:rPr>
        <w:t>第三章　指导思想</w:t>
      </w:r>
      <w:bookmarkEnd w:id="25"/>
      <w:bookmarkEnd w:id="26"/>
      <w:bookmarkEnd w:id="27"/>
      <w:bookmarkEnd w:id="28"/>
      <w:bookmarkEnd w:id="29"/>
    </w:p>
    <w:p>
      <w:pPr>
        <w:spacing w:line="560" w:lineRule="exact"/>
        <w:ind w:firstLine="640" w:firstLineChars="200"/>
        <w:rPr>
          <w:rFonts w:hint="eastAsia" w:ascii="Times New Roman" w:hAnsi="Times New Roman" w:eastAsia="方正仿宋_GBK"/>
          <w:color w:val="auto"/>
          <w:sz w:val="32"/>
          <w:szCs w:val="32"/>
        </w:rPr>
      </w:pPr>
      <w:r>
        <w:rPr>
          <w:rFonts w:ascii="Times New Roman" w:hAnsi="Times New Roman" w:eastAsia="方正仿宋_GBK"/>
          <w:color w:val="auto"/>
          <w:sz w:val="32"/>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统筹推进“五位一体”总体布局，协调推进“四个全面”战略布局，坚定不移贯彻新发展理念，坚持稳中求进工作总基调，以推动高质量发展为主题，以深化供给侧结构性改革为主线，以改革创新为根本动力，以满足人民日益增长的美好生活需要为根本目的，进一步巩固和夯实全面建成小康社会成果，主动融入</w:t>
      </w:r>
      <w:r>
        <w:rPr>
          <w:rFonts w:hint="eastAsia" w:ascii="Times New Roman" w:hAnsi="Times New Roman" w:eastAsia="方正仿宋_GBK"/>
          <w:color w:val="auto"/>
          <w:sz w:val="32"/>
          <w:szCs w:val="32"/>
        </w:rPr>
        <w:t>和服务</w:t>
      </w:r>
      <w:r>
        <w:rPr>
          <w:rFonts w:ascii="Times New Roman" w:hAnsi="Times New Roman" w:eastAsia="方正仿宋_GBK"/>
          <w:color w:val="auto"/>
          <w:sz w:val="32"/>
          <w:szCs w:val="32"/>
        </w:rPr>
        <w:t>新发展格局，</w:t>
      </w:r>
      <w:r>
        <w:rPr>
          <w:rFonts w:hint="eastAsia" w:ascii="Times New Roman" w:hAnsi="Times New Roman" w:eastAsia="方正仿宋_GBK"/>
          <w:color w:val="auto"/>
          <w:sz w:val="32"/>
          <w:szCs w:val="32"/>
        </w:rPr>
        <w:t>构建现代化产业体系，繁荣新型工农城乡关系，推进新型城镇化，健全多层次社会保障体系，</w:t>
      </w:r>
      <w:r>
        <w:rPr>
          <w:rFonts w:ascii="Times New Roman" w:hAnsi="Times New Roman" w:eastAsia="方正仿宋_GBK"/>
          <w:color w:val="auto"/>
          <w:sz w:val="32"/>
          <w:szCs w:val="32"/>
        </w:rPr>
        <w:t>统筹发展和安全，奋力将江川打造成新型城镇化引领区、新兴产业聚集区、乡村振兴</w:t>
      </w:r>
      <w:r>
        <w:rPr>
          <w:rFonts w:hint="eastAsia" w:ascii="Times New Roman" w:hAnsi="Times New Roman" w:eastAsia="方正仿宋_GBK"/>
          <w:color w:val="auto"/>
          <w:sz w:val="32"/>
          <w:szCs w:val="32"/>
          <w:lang w:eastAsia="zh-CN"/>
        </w:rPr>
        <w:t>示范区</w:t>
      </w:r>
      <w:r>
        <w:rPr>
          <w:rFonts w:ascii="Times New Roman" w:hAnsi="Times New Roman" w:eastAsia="方正仿宋_GBK"/>
          <w:color w:val="auto"/>
          <w:sz w:val="32"/>
          <w:szCs w:val="32"/>
        </w:rPr>
        <w:t>、美丽滨湖花园城，为</w:t>
      </w:r>
      <w:r>
        <w:rPr>
          <w:rFonts w:hint="eastAsia" w:ascii="Times New Roman" w:hAnsi="Times New Roman" w:eastAsia="方正仿宋_GBK"/>
          <w:color w:val="auto"/>
          <w:sz w:val="32"/>
          <w:szCs w:val="32"/>
          <w:lang w:eastAsia="zh-CN"/>
        </w:rPr>
        <w:t>江川</w:t>
      </w:r>
      <w:r>
        <w:rPr>
          <w:rFonts w:hint="eastAsia" w:ascii="Times New Roman" w:hAnsi="Times New Roman" w:eastAsia="方正仿宋_GBK"/>
          <w:color w:val="auto"/>
          <w:sz w:val="32"/>
          <w:szCs w:val="32"/>
        </w:rPr>
        <w:t>社会主义现代化建设开好局、起好步。</w:t>
      </w:r>
    </w:p>
    <w:p>
      <w:pPr>
        <w:pStyle w:val="4"/>
        <w:rPr>
          <w:b w:val="0"/>
          <w:bCs w:val="0"/>
          <w:color w:val="auto"/>
          <w:sz w:val="36"/>
        </w:rPr>
      </w:pPr>
      <w:bookmarkStart w:id="30" w:name="_Toc1765"/>
      <w:bookmarkStart w:id="31" w:name="_Toc446364460"/>
      <w:bookmarkStart w:id="32" w:name="_Toc10098"/>
      <w:bookmarkStart w:id="33" w:name="_Toc28300"/>
      <w:r>
        <w:rPr>
          <w:rFonts w:hint="eastAsia"/>
          <w:b w:val="0"/>
          <w:bCs w:val="0"/>
          <w:color w:val="auto"/>
          <w:sz w:val="36"/>
        </w:rPr>
        <w:t>第四章　发展思路</w:t>
      </w:r>
      <w:bookmarkEnd w:id="30"/>
      <w:bookmarkEnd w:id="31"/>
      <w:bookmarkEnd w:id="32"/>
      <w:bookmarkEnd w:id="33"/>
    </w:p>
    <w:p>
      <w:pPr>
        <w:spacing w:line="560" w:lineRule="exact"/>
        <w:ind w:firstLine="640" w:firstLineChars="200"/>
        <w:rPr>
          <w:rFonts w:ascii="Times New Roman" w:hAnsi="Times New Roman" w:eastAsia="方正仿宋_GBK"/>
          <w:color w:val="auto"/>
          <w:sz w:val="32"/>
          <w:szCs w:val="32"/>
        </w:rPr>
      </w:pPr>
      <w:bookmarkStart w:id="34" w:name="_Toc55540764"/>
      <w:r>
        <w:rPr>
          <w:rFonts w:ascii="Times New Roman" w:hAnsi="Times New Roman" w:eastAsia="方正仿宋_GBK"/>
          <w:color w:val="auto"/>
          <w:sz w:val="32"/>
          <w:szCs w:val="32"/>
        </w:rPr>
        <w:t>坚持从江川实际出发，立足区位和资源优势，坚持以人民为中心的根本立场，秉持走在前列的理念，聚焦“美丽滨湖花园城市”建设这个总目标，力保星云湖水质持续向好不动摇；抓实乡村振兴和新型城镇化双推进，构建城乡协调发展的空间形态，实现双轮驱动；统筹生态、产业、文化协调发展；推进规划、城市、产业、人人融合发展，加快形成功能互补、相互支撑、协同发展的红江一体化格局；着力生态文明建设强党建、着力产业兴旺保要素、着力滨湖花园城市建设补短板、着力“平安江川”创环境、着力民族团结进步促和谐，做到五力齐发增动能，构建“一核、一圈、三带、六园”的空间布局，将江川打造成新型城镇化引领区、新兴产业聚集区、乡村振兴示范区、美丽滨湖花园城。</w:t>
      </w:r>
    </w:p>
    <w:p>
      <w:pPr>
        <w:pStyle w:val="4"/>
        <w:rPr>
          <w:b w:val="0"/>
          <w:bCs w:val="0"/>
          <w:color w:val="auto"/>
          <w:sz w:val="36"/>
        </w:rPr>
      </w:pPr>
      <w:bookmarkStart w:id="35" w:name="_Toc446364461"/>
      <w:bookmarkStart w:id="36" w:name="_Toc23818"/>
      <w:bookmarkStart w:id="37" w:name="_Toc1605"/>
      <w:bookmarkStart w:id="38" w:name="_Toc15183"/>
      <w:r>
        <w:rPr>
          <w:rFonts w:hint="eastAsia"/>
          <w:b w:val="0"/>
          <w:bCs w:val="0"/>
          <w:color w:val="auto"/>
          <w:sz w:val="36"/>
        </w:rPr>
        <w:t>第五章　发展原则</w:t>
      </w:r>
      <w:bookmarkEnd w:id="34"/>
      <w:bookmarkEnd w:id="35"/>
      <w:bookmarkEnd w:id="36"/>
      <w:bookmarkEnd w:id="37"/>
      <w:bookmarkEnd w:id="38"/>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发展原则是我区“十四五”期间经济社会发展必须遵循的，“五个基本原则”既是我国进入新发展阶段后推进经济社会高质量发展的方法论，也是适应新形势新情况的实践论。</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坚持党的全面领导</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党的全面领导是改革开放以来特别是“十三五”时期我们能够保持经济社会稳中有进、稳中向好发展趋势的基本经验、基本优势、基本支撑，坚持党的全面领导是实现“十四五”时期经济社会发展各项目标的根本保障。“十四五”时期，要坚持以习近平新时代中国特色社会主义思想为指导，坚持党的全面领导、坚持和完善中国特色社会主义制度，发挥好各级党委</w:t>
      </w:r>
      <w:r>
        <w:rPr>
          <w:rFonts w:hint="eastAsia" w:ascii="Times New Roman" w:hAnsi="Times New Roman" w:eastAsia="方正仿宋_GBK"/>
          <w:color w:val="auto"/>
          <w:sz w:val="32"/>
          <w:szCs w:val="32"/>
        </w:rPr>
        <w:t>总</w:t>
      </w:r>
      <w:r>
        <w:rPr>
          <w:rFonts w:hint="eastAsia" w:ascii="Times New Roman" w:hAnsi="Times New Roman" w:eastAsia="方正仿宋_GBK"/>
          <w:color w:val="auto"/>
          <w:sz w:val="32"/>
          <w:szCs w:val="32"/>
          <w:lang w:eastAsia="zh-CN"/>
        </w:rPr>
        <w:t>揽</w:t>
      </w:r>
      <w:r>
        <w:rPr>
          <w:rFonts w:ascii="Times New Roman" w:hAnsi="Times New Roman" w:eastAsia="方正仿宋_GBK"/>
          <w:color w:val="auto"/>
          <w:sz w:val="32"/>
          <w:szCs w:val="32"/>
        </w:rPr>
        <w:t>全局、协调各方的作用，落实中央和省委、市委的决策部署，做到抓铁有痕、踏石留印。</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坚持以人民为中心</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坚持人民群众在改革开放伟大实践中的主体地位，始终坚持以人民为中心的实践原则和价值取向，充分彰显我们的制度优势、充分激发人民的积极性创造性，不断推进全面深化改革带领人民不断创造美好生活，让人民更有获得感，将全区人民都过上更好的日子作为出发点和落脚点。</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坚持新发展理念</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发展理念是发展行动的先导，是发展思路、发展方向、发展着力点的集中体现，是管全局、管根本、管方向、管长远的方略。创新发展，解决好发展动力问题</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协调发展，解决好发展不平衡问题</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绿色发展，解决好人与自然和谐共生问题</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开放发展，解决好发展内外联动问题</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共享发展，解决好民生领域的“短板”问题</w:t>
      </w:r>
      <w:r>
        <w:rPr>
          <w:rFonts w:hint="eastAsia" w:ascii="Times New Roman" w:hAnsi="Times New Roman" w:eastAsia="方正仿宋_GBK"/>
          <w:color w:val="auto"/>
          <w:sz w:val="32"/>
          <w:szCs w:val="32"/>
        </w:rPr>
        <w:t>。新发展理念</w:t>
      </w:r>
      <w:r>
        <w:rPr>
          <w:rFonts w:ascii="Times New Roman" w:hAnsi="Times New Roman" w:eastAsia="方正仿宋_GBK"/>
          <w:color w:val="auto"/>
          <w:sz w:val="32"/>
          <w:szCs w:val="32"/>
        </w:rPr>
        <w:t>是全区实现更高质量、更有效率、更加公平、更可持续发展的必由之路。</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坚持深化改革开放</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全面深化改革，统筹推进重要领域和关键环节的改革取得重大突破，不断放大对全面深化改革的牵引作用，统筹谋划各个方面、各个层次、各个要素，不断增强改革的系统性、整体性、协同性。强调发展动力，</w:t>
      </w:r>
      <w:r>
        <w:rPr>
          <w:rFonts w:hint="eastAsia" w:ascii="Times New Roman" w:hAnsi="Times New Roman" w:eastAsia="方正仿宋_GBK"/>
          <w:color w:val="auto"/>
          <w:sz w:val="32"/>
          <w:szCs w:val="32"/>
          <w:lang w:eastAsia="zh-CN"/>
        </w:rPr>
        <w:t>改革开放仍然是</w:t>
      </w:r>
      <w:r>
        <w:rPr>
          <w:rFonts w:ascii="Times New Roman" w:hAnsi="Times New Roman" w:eastAsia="方正仿宋_GBK"/>
          <w:color w:val="auto"/>
          <w:sz w:val="32"/>
          <w:szCs w:val="32"/>
        </w:rPr>
        <w:t>破解发展难题、推进更高质量发展的巨大动力所在，是推动“十四五”时期经济社会发展的基本途径</w:t>
      </w:r>
      <w:r>
        <w:rPr>
          <w:rFonts w:hint="eastAsia" w:ascii="Times New Roman" w:hAnsi="Times New Roman" w:eastAsia="方正仿宋_GBK"/>
          <w:color w:val="auto"/>
          <w:sz w:val="32"/>
          <w:szCs w:val="32"/>
          <w:lang w:eastAsia="zh-CN"/>
        </w:rPr>
        <w:t>。</w:t>
      </w:r>
      <w:r>
        <w:rPr>
          <w:rFonts w:ascii="Times New Roman" w:hAnsi="Times New Roman" w:eastAsia="方正仿宋_GBK"/>
          <w:color w:val="auto"/>
          <w:sz w:val="32"/>
          <w:szCs w:val="32"/>
        </w:rPr>
        <w:t>强化有利于提高资源配置效率、有利于调动全社会积极性的改革开放重大举措。</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坚持系统观念</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必须坚持系统观念是方法保障，</w:t>
      </w:r>
      <w:r>
        <w:rPr>
          <w:rFonts w:hint="eastAsia" w:ascii="Times New Roman" w:hAnsi="Times New Roman" w:eastAsia="方正仿宋_GBK"/>
          <w:color w:val="auto"/>
          <w:sz w:val="32"/>
          <w:szCs w:val="32"/>
          <w:lang w:eastAsia="zh-CN"/>
        </w:rPr>
        <w:t>坚持</w:t>
      </w:r>
      <w:r>
        <w:rPr>
          <w:rFonts w:ascii="Times New Roman" w:hAnsi="Times New Roman" w:eastAsia="方正仿宋_GBK"/>
          <w:color w:val="auto"/>
          <w:sz w:val="32"/>
          <w:szCs w:val="32"/>
        </w:rPr>
        <w:t>系统观念</w:t>
      </w:r>
      <w:r>
        <w:rPr>
          <w:rFonts w:hint="eastAsia" w:ascii="Times New Roman" w:hAnsi="Times New Roman" w:eastAsia="方正仿宋_GBK"/>
          <w:color w:val="auto"/>
          <w:sz w:val="32"/>
          <w:szCs w:val="32"/>
          <w:lang w:eastAsia="zh-CN"/>
        </w:rPr>
        <w:t>，运用</w:t>
      </w:r>
      <w:r>
        <w:rPr>
          <w:rFonts w:ascii="Times New Roman" w:hAnsi="Times New Roman" w:eastAsia="方正仿宋_GBK"/>
          <w:color w:val="auto"/>
          <w:sz w:val="32"/>
          <w:szCs w:val="32"/>
        </w:rPr>
        <w:t>系统思维，在发展过程中，既要有机遇意识又要有风险意识，推进经济社会发展的着力点要放在“固根基、扬优势、补短板、强弱项”四个方面，树立在战略上布局、在关键处落子的观念。</w:t>
      </w:r>
    </w:p>
    <w:p>
      <w:pPr>
        <w:pStyle w:val="4"/>
        <w:rPr>
          <w:rFonts w:hint="eastAsia"/>
          <w:b/>
          <w:color w:val="auto"/>
          <w:sz w:val="36"/>
        </w:rPr>
      </w:pPr>
      <w:bookmarkStart w:id="39" w:name="_Toc9423"/>
      <w:bookmarkStart w:id="40" w:name="_Toc4827"/>
      <w:bookmarkStart w:id="41" w:name="_Toc6834"/>
      <w:bookmarkStart w:id="42" w:name="_Toc446364462"/>
      <w:bookmarkStart w:id="43" w:name="_Toc55540767"/>
      <w:r>
        <w:rPr>
          <w:rFonts w:hint="eastAsia"/>
          <w:b w:val="0"/>
          <w:bCs w:val="0"/>
          <w:color w:val="auto"/>
          <w:sz w:val="36"/>
        </w:rPr>
        <w:t>第六章　发展定位</w:t>
      </w:r>
      <w:bookmarkEnd w:id="39"/>
      <w:bookmarkEnd w:id="40"/>
      <w:bookmarkEnd w:id="41"/>
    </w:p>
    <w:p>
      <w:pPr>
        <w:spacing w:line="540" w:lineRule="exact"/>
        <w:ind w:firstLine="640" w:firstLineChars="200"/>
        <w:rPr>
          <w:rFonts w:hint="eastAsia" w:ascii="仿宋" w:hAnsi="仿宋" w:eastAsia="方正仿宋_GBK" w:cs="仿宋"/>
          <w:b w:val="0"/>
          <w:color w:val="auto"/>
          <w:sz w:val="32"/>
          <w:szCs w:val="32"/>
        </w:rPr>
      </w:pPr>
      <w:r>
        <w:rPr>
          <w:rFonts w:hint="eastAsia" w:ascii="仿宋" w:hAnsi="仿宋" w:eastAsia="方正仿宋_GBK" w:cs="仿宋"/>
          <w:b w:val="0"/>
          <w:color w:val="auto"/>
          <w:sz w:val="32"/>
          <w:szCs w:val="32"/>
        </w:rPr>
        <w:t>根据江川区发展基础和条件，结合“十四五”面临的形势，按照高质量发展要求，聚焦第二个百年奋斗目标，奋力将江川打造成新型城镇化引领区、新兴产业聚集区、乡村振兴示范区、美丽滨湖花园城。</w:t>
      </w:r>
    </w:p>
    <w:p>
      <w:pPr>
        <w:spacing w:line="540" w:lineRule="exact"/>
        <w:ind w:firstLine="640" w:firstLineChars="200"/>
        <w:rPr>
          <w:rFonts w:hint="eastAsia" w:ascii="方正黑体_GBK" w:hAnsi="方正黑体_GBK" w:eastAsia="方正黑体_GBK" w:cs="方正黑体_GBK"/>
          <w:b w:val="0"/>
          <w:color w:val="auto"/>
          <w:sz w:val="32"/>
          <w:szCs w:val="32"/>
        </w:rPr>
      </w:pPr>
      <w:r>
        <w:rPr>
          <w:rFonts w:hint="eastAsia" w:ascii="方正黑体_GBK" w:hAnsi="方正黑体_GBK" w:eastAsia="方正黑体_GBK" w:cs="方正黑体_GBK"/>
          <w:b w:val="0"/>
          <w:color w:val="auto"/>
          <w:sz w:val="32"/>
          <w:szCs w:val="32"/>
        </w:rPr>
        <w:t>一、新型城镇化引领区</w:t>
      </w:r>
    </w:p>
    <w:p>
      <w:pPr>
        <w:spacing w:line="540" w:lineRule="exact"/>
        <w:ind w:firstLine="640" w:firstLineChars="200"/>
        <w:rPr>
          <w:rFonts w:hint="eastAsia" w:ascii="仿宋" w:hAnsi="仿宋" w:eastAsia="方正仿宋_GBK" w:cs="仿宋"/>
          <w:b w:val="0"/>
          <w:color w:val="auto"/>
          <w:sz w:val="32"/>
          <w:szCs w:val="32"/>
        </w:rPr>
      </w:pPr>
      <w:r>
        <w:rPr>
          <w:rFonts w:hint="eastAsia" w:ascii="仿宋" w:hAnsi="仿宋" w:eastAsia="方正仿宋_GBK" w:cs="仿宋"/>
          <w:b w:val="0"/>
          <w:color w:val="auto"/>
          <w:sz w:val="32"/>
          <w:szCs w:val="32"/>
        </w:rPr>
        <w:t>积极融入滇中城市群发展规划建设，深刻领会滇中城市群发展对玉溪建设云南社会主义现代化建设先行区、全国绿色创新发展示范区、国际高品质康养旅居新高地的要求，按照以城聚产、以产兴城、产城互动、同城一体的要求，加快推进与红塔区、高新区一体化发展，实现“规划、城市、产业、人人”融合，突出滨湖、花园、文化特色，把江川打造成引领玉溪发展的核心区。高起点、高品质推进江川老城区提质扩容和更新改造，加快江川城市西片区开发建设步伐，激发江川承东启西、接转南北、辐射带动的潜力，形成全新的城市空间格局，尽快补齐城市规划、建设、管理方面的短板，尽快完善教育、医疗、住房等优质民生保障方面的不足，高品位规划、高标准建设、高效能管理城市，重点抓好市政基础设施建设、城市综合体建设、老旧小区</w:t>
      </w:r>
      <w:r>
        <w:rPr>
          <w:rFonts w:hint="eastAsia" w:ascii="仿宋" w:hAnsi="仿宋" w:eastAsia="方正仿宋_GBK" w:cs="仿宋"/>
          <w:b w:val="0"/>
          <w:color w:val="auto"/>
          <w:sz w:val="32"/>
          <w:szCs w:val="32"/>
          <w:lang w:eastAsia="zh-CN"/>
        </w:rPr>
        <w:t>改造</w:t>
      </w:r>
      <w:r>
        <w:rPr>
          <w:rFonts w:hint="eastAsia" w:ascii="仿宋" w:hAnsi="仿宋" w:eastAsia="方正仿宋_GBK" w:cs="仿宋"/>
          <w:b w:val="0"/>
          <w:color w:val="auto"/>
          <w:sz w:val="32"/>
          <w:szCs w:val="32"/>
        </w:rPr>
        <w:t>，优化城乡空间和产业布局，走资源节约型和环境友好型发展道路，提升区域生态环境品质与特色，拓展玉溪中心城区发展空间，完善城市功能，提升对外开放与合作交流的层次和水平，加快产业转型升级，提高发展质量和效益，将江川打造成真正的新型城镇化引领区。</w:t>
      </w:r>
    </w:p>
    <w:p>
      <w:pPr>
        <w:spacing w:line="540" w:lineRule="exact"/>
        <w:ind w:firstLine="640" w:firstLineChars="200"/>
        <w:rPr>
          <w:rFonts w:hint="eastAsia" w:ascii="方正黑体_GBK" w:hAnsi="方正黑体_GBK" w:eastAsia="方正黑体_GBK" w:cs="方正黑体_GBK"/>
          <w:b w:val="0"/>
          <w:color w:val="auto"/>
          <w:sz w:val="32"/>
          <w:szCs w:val="32"/>
        </w:rPr>
      </w:pPr>
      <w:r>
        <w:rPr>
          <w:rFonts w:hint="eastAsia" w:ascii="方正黑体_GBK" w:hAnsi="方正黑体_GBK" w:eastAsia="方正黑体_GBK" w:cs="方正黑体_GBK"/>
          <w:b w:val="0"/>
          <w:color w:val="auto"/>
          <w:sz w:val="32"/>
          <w:szCs w:val="32"/>
        </w:rPr>
        <w:t>二、新兴产业聚集区</w:t>
      </w:r>
    </w:p>
    <w:p>
      <w:pPr>
        <w:spacing w:line="540" w:lineRule="exact"/>
        <w:ind w:firstLine="640" w:firstLineChars="200"/>
        <w:rPr>
          <w:rFonts w:hint="eastAsia" w:ascii="仿宋" w:hAnsi="仿宋" w:eastAsia="方正仿宋_GBK" w:cs="仿宋"/>
          <w:b w:val="0"/>
          <w:color w:val="auto"/>
          <w:sz w:val="32"/>
          <w:szCs w:val="32"/>
        </w:rPr>
      </w:pPr>
      <w:r>
        <w:rPr>
          <w:rFonts w:hint="eastAsia" w:ascii="仿宋" w:hAnsi="仿宋" w:eastAsia="方正仿宋_GBK" w:cs="仿宋"/>
          <w:b w:val="0"/>
          <w:color w:val="auto"/>
          <w:sz w:val="32"/>
          <w:szCs w:val="32"/>
        </w:rPr>
        <w:t>贯彻落实中国制造“</w:t>
      </w:r>
      <w:r>
        <w:rPr>
          <w:rFonts w:hint="default" w:ascii="Times New Roman" w:hAnsi="Times New Roman" w:eastAsia="方正仿宋_GBK" w:cs="Times New Roman"/>
          <w:b w:val="0"/>
          <w:color w:val="auto"/>
          <w:sz w:val="32"/>
          <w:szCs w:val="32"/>
        </w:rPr>
        <w:t>2025</w:t>
      </w:r>
      <w:r>
        <w:rPr>
          <w:rFonts w:hint="eastAsia" w:ascii="仿宋" w:hAnsi="仿宋" w:eastAsia="方正仿宋_GBK" w:cs="仿宋"/>
          <w:b w:val="0"/>
          <w:color w:val="auto"/>
          <w:sz w:val="32"/>
          <w:szCs w:val="32"/>
        </w:rPr>
        <w:t>”玉溪行动计划，大力发展园区经济，充分发挥高新区龙泉片区的区位、政策、服务等优势，在产业园区规划建设过程中，聚焦智能制造、新能源、工程农业机械、精密基础件、电子信息、航空装备等领域，全力推进产业集聚发展，着力提升高端机型设计、产品寿命与可靠性、核心部件与控制系统等创新水平，打造新的经济增长点；充分利用我区民用运输机场项目已获得中国民用航空局《民航局关于云南玉溪机场场址的批复》（民航函〔</w:t>
      </w:r>
      <w:r>
        <w:rPr>
          <w:rFonts w:hint="default" w:ascii="Times New Roman" w:hAnsi="Times New Roman" w:eastAsia="方正仿宋_GBK" w:cs="Times New Roman"/>
          <w:b w:val="0"/>
          <w:color w:val="auto"/>
          <w:sz w:val="32"/>
          <w:szCs w:val="32"/>
        </w:rPr>
        <w:t>2019</w:t>
      </w:r>
      <w:r>
        <w:rPr>
          <w:rFonts w:hint="eastAsia" w:ascii="仿宋" w:hAnsi="仿宋" w:eastAsia="方正仿宋_GBK" w:cs="仿宋"/>
          <w:b w:val="0"/>
          <w:color w:val="auto"/>
          <w:sz w:val="32"/>
          <w:szCs w:val="32"/>
        </w:rPr>
        <w:t>〕</w:t>
      </w:r>
      <w:r>
        <w:rPr>
          <w:rFonts w:hint="default" w:ascii="Times New Roman" w:hAnsi="Times New Roman" w:eastAsia="方正仿宋_GBK" w:cs="Times New Roman"/>
          <w:b w:val="0"/>
          <w:color w:val="auto"/>
          <w:sz w:val="32"/>
          <w:szCs w:val="32"/>
        </w:rPr>
        <w:t>189</w:t>
      </w:r>
      <w:r>
        <w:rPr>
          <w:rFonts w:hint="eastAsia" w:ascii="仿宋" w:hAnsi="仿宋" w:eastAsia="方正仿宋_GBK" w:cs="仿宋"/>
          <w:b w:val="0"/>
          <w:color w:val="auto"/>
          <w:sz w:val="32"/>
          <w:szCs w:val="32"/>
        </w:rPr>
        <w:t>号）的优势，加快推进项目预可研等前期工作，为“十四五”机场项目实施奠定良好基础，积极争取国家、省、市支持，确保规划建设的</w:t>
      </w:r>
      <w:r>
        <w:rPr>
          <w:rFonts w:hint="default" w:ascii="Times New Roman" w:hAnsi="Times New Roman" w:eastAsia="方正仿宋_GBK" w:cs="Times New Roman"/>
          <w:b w:val="0"/>
          <w:color w:val="auto"/>
          <w:sz w:val="32"/>
          <w:szCs w:val="32"/>
        </w:rPr>
        <w:t>16</w:t>
      </w:r>
      <w:r>
        <w:rPr>
          <w:rFonts w:hint="eastAsia" w:ascii="仿宋" w:hAnsi="仿宋" w:eastAsia="方正仿宋_GBK" w:cs="仿宋"/>
          <w:b w:val="0"/>
          <w:color w:val="auto"/>
          <w:sz w:val="32"/>
          <w:szCs w:val="32"/>
        </w:rPr>
        <w:t>平方公里航空产业园项目落地建成，吸引航空制造等相关龙头企业落户江川，不断强化江川航空产业集聚效应，有序推进航空产业园规划、建设，发展临空经济。</w:t>
      </w:r>
    </w:p>
    <w:p>
      <w:pPr>
        <w:spacing w:line="540" w:lineRule="exact"/>
        <w:ind w:firstLine="640" w:firstLineChars="200"/>
        <w:rPr>
          <w:rFonts w:hint="eastAsia" w:ascii="方正黑体_GBK" w:hAnsi="方正黑体_GBK" w:eastAsia="方正黑体_GBK" w:cs="方正黑体_GBK"/>
          <w:b w:val="0"/>
          <w:color w:val="auto"/>
          <w:sz w:val="32"/>
          <w:szCs w:val="32"/>
        </w:rPr>
      </w:pPr>
      <w:r>
        <w:rPr>
          <w:rFonts w:hint="eastAsia" w:ascii="方正黑体_GBK" w:hAnsi="方正黑体_GBK" w:eastAsia="方正黑体_GBK" w:cs="方正黑体_GBK"/>
          <w:b w:val="0"/>
          <w:color w:val="auto"/>
          <w:sz w:val="32"/>
          <w:szCs w:val="32"/>
        </w:rPr>
        <w:t>三、乡村振兴示范区</w:t>
      </w:r>
    </w:p>
    <w:p>
      <w:pPr>
        <w:spacing w:line="540" w:lineRule="exact"/>
        <w:ind w:firstLine="640" w:firstLineChars="200"/>
        <w:rPr>
          <w:rFonts w:hint="eastAsia" w:ascii="仿宋" w:hAnsi="仿宋" w:eastAsia="方正仿宋_GBK" w:cs="仿宋"/>
          <w:b w:val="0"/>
          <w:color w:val="auto"/>
          <w:sz w:val="32"/>
          <w:szCs w:val="32"/>
        </w:rPr>
      </w:pPr>
      <w:r>
        <w:rPr>
          <w:rFonts w:hint="eastAsia" w:ascii="仿宋" w:hAnsi="仿宋" w:eastAsia="方正仿宋_GBK" w:cs="仿宋"/>
          <w:b w:val="0"/>
          <w:color w:val="auto"/>
          <w:sz w:val="32"/>
          <w:szCs w:val="32"/>
        </w:rPr>
        <w:t>落实乡村振兴“二十字”总要求，按照市委对江川的要求，深入推进乡村振兴战略和农村人居环境整治行动，以“六个明显变化”为着力点，推动江川乡村振兴走在全市、全省前列。产业兴旺方面，把发展农村生产力放在突出位置，持续推进农业供给侧结构性改革，继续发挥红塔集团“第一车间”的优势，不断提高优质烟叶原料保障水平，擦亮江川“云烟之乡”名片，做强“云菜”品牌，同时加大花卉、渔业、林下经济等成熟度高的主导特色产业扶持力度，优化产业布局，调整产业结构，提高传统优势产业发展的质量和效益，发挥农业“接二连三”的作用，产出更多优质化、绿色化、品牌化的农特产品，引导高原特色蔬菜、精品花卉等农产品走出江川，进入国内国际大循环系统，不断增强农业农村经济发展新动能。生态宜居方面，牢固树立绿水青山就是金山银山的理念，以省级可持续发展实验区和文明乡镇创建为依托，坚守生态底线、严格生态保护、强化环境治理、坚决打好打赢污染防治攻坚战，做好乡村人居环境整治提升工作，挖掘生态经济潜力，实现农村生态环境保护和农村经济发展有机融合，打造人与自然和谐共生的生态宜居江川美丽乡村。乡风文明方面，以传承江川悠久的古滇、青铜、渔耕、白药等优秀历史文化为核心，以乡村公共文化服务体系建设为载体，培育文明乡风、良好家风、淳朴民风，推动乡村文化振兴，培育节庆文化产品，建设文明乡村。治理有效方面，坚持自治、法治、德治相结合，健全现代乡村社会治理体制，打造共建共治共享的乡村善治格局，确保乡村社会持续稳定、充满活力、和谐有序、民族团结，</w:t>
      </w:r>
      <w:r>
        <w:rPr>
          <w:rFonts w:hint="eastAsia" w:ascii="仿宋" w:hAnsi="仿宋" w:eastAsia="方正仿宋_GBK" w:cs="仿宋"/>
          <w:b w:val="0"/>
          <w:color w:val="auto"/>
          <w:sz w:val="32"/>
          <w:szCs w:val="32"/>
          <w:lang w:eastAsia="zh-CN"/>
        </w:rPr>
        <w:t>建设</w:t>
      </w:r>
      <w:r>
        <w:rPr>
          <w:rFonts w:hint="eastAsia" w:ascii="仿宋" w:hAnsi="仿宋" w:eastAsia="方正仿宋_GBK" w:cs="仿宋"/>
          <w:b w:val="0"/>
          <w:color w:val="auto"/>
          <w:sz w:val="32"/>
          <w:szCs w:val="32"/>
        </w:rPr>
        <w:t>平安江川。生活富裕方面，围绕农民最关心、最直接、最现实的利益问题，抓重点、补短板、强弱项，以农民群众的获得感、幸福感为标尺，把乡村建设成幸福美丽新家园。</w:t>
      </w:r>
      <w:r>
        <w:rPr>
          <w:rFonts w:hint="eastAsia" w:ascii="仿宋" w:hAnsi="仿宋" w:eastAsia="方正仿宋_GBK" w:cs="仿宋"/>
          <w:b w:val="0"/>
          <w:color w:val="auto"/>
          <w:sz w:val="32"/>
          <w:szCs w:val="32"/>
          <w:lang w:eastAsia="zh-CN"/>
        </w:rPr>
        <w:t>十九届五中全会强调，“十四五”时期要优先发展农业农村，全面推进乡村振兴，江川要</w:t>
      </w:r>
      <w:r>
        <w:rPr>
          <w:rFonts w:hint="eastAsia" w:ascii="仿宋" w:hAnsi="仿宋" w:eastAsia="方正仿宋_GBK" w:cs="仿宋"/>
          <w:b w:val="0"/>
          <w:color w:val="auto"/>
          <w:sz w:val="32"/>
          <w:szCs w:val="32"/>
        </w:rPr>
        <w:t>树立“立足江川创经验，面向全国做示范”的鲜明导向，深化农村改革，争取在农村产权制度改革、农村集体经营性建设用地和宅基地改革等多方面率先实现突破，发挥好先行先试、走在前列的作用，将江川打造成乡村振兴示范区。</w:t>
      </w:r>
    </w:p>
    <w:p>
      <w:pPr>
        <w:spacing w:line="540" w:lineRule="exact"/>
        <w:ind w:firstLine="640" w:firstLineChars="200"/>
        <w:rPr>
          <w:rFonts w:hint="eastAsia" w:ascii="方正黑体_GBK" w:hAnsi="方正黑体_GBK" w:eastAsia="方正黑体_GBK" w:cs="方正黑体_GBK"/>
          <w:b w:val="0"/>
          <w:color w:val="auto"/>
          <w:sz w:val="32"/>
          <w:szCs w:val="32"/>
        </w:rPr>
      </w:pPr>
      <w:r>
        <w:rPr>
          <w:rFonts w:hint="eastAsia" w:ascii="方正黑体_GBK" w:hAnsi="方正黑体_GBK" w:eastAsia="方正黑体_GBK" w:cs="方正黑体_GBK"/>
          <w:b w:val="0"/>
          <w:color w:val="auto"/>
          <w:sz w:val="32"/>
          <w:szCs w:val="32"/>
        </w:rPr>
        <w:t>四、美丽滨湖花园城</w:t>
      </w:r>
    </w:p>
    <w:p>
      <w:pPr>
        <w:spacing w:line="540" w:lineRule="exact"/>
        <w:ind w:firstLine="640" w:firstLineChars="200"/>
        <w:rPr>
          <w:rFonts w:hint="eastAsia" w:ascii="仿宋" w:hAnsi="仿宋" w:eastAsia="方正仿宋_GBK" w:cs="仿宋"/>
          <w:b w:val="0"/>
          <w:color w:val="auto"/>
          <w:sz w:val="32"/>
          <w:szCs w:val="32"/>
          <w:lang w:eastAsia="zh-CN"/>
        </w:rPr>
      </w:pPr>
      <w:r>
        <w:rPr>
          <w:rFonts w:hint="eastAsia" w:ascii="仿宋" w:hAnsi="仿宋" w:eastAsia="方正仿宋_GBK" w:cs="仿宋"/>
          <w:b w:val="0"/>
          <w:color w:val="auto"/>
          <w:sz w:val="32"/>
          <w:szCs w:val="32"/>
        </w:rPr>
        <w:t>坚持以人为核心的新型城镇化，注重乡村振兴和新型城镇化有机融合发展，遵循科学规律，加强顶层设计，加快城镇建设步伐，牢牢把握红江一体化建设核心优势，用足用活用好撤县设区的各项政策，主动承接中心城区职能，鼓励农业转移人口市民化，城乡建设按照“一年一变样、三年大变样”的要求，打造一个绿色生态、特色鲜明、产城融合、宜居宜业、文明和谐、智慧智联的美丽滨湖花园城市。注重绿色生态发展，坚持保护生态环境就是保护生产力，改善生态环境就是发展生产力的理念，以生态优先、绿色发展为导向发展产业，促进产业生态化和生态产业化同频共振，推动经济高质量发展</w:t>
      </w:r>
      <w:r>
        <w:rPr>
          <w:rFonts w:hint="eastAsia" w:ascii="仿宋" w:hAnsi="仿宋" w:eastAsia="方正仿宋_GBK" w:cs="仿宋"/>
          <w:b w:val="0"/>
          <w:color w:val="auto"/>
          <w:sz w:val="32"/>
          <w:szCs w:val="32"/>
          <w:lang w:eastAsia="zh-CN"/>
        </w:rPr>
        <w:t>。</w:t>
      </w:r>
    </w:p>
    <w:bookmarkEnd w:id="42"/>
    <w:p>
      <w:pPr>
        <w:pStyle w:val="4"/>
        <w:rPr>
          <w:b/>
          <w:color w:val="auto"/>
          <w:sz w:val="36"/>
        </w:rPr>
      </w:pPr>
      <w:bookmarkStart w:id="44" w:name="_Toc8711"/>
      <w:bookmarkStart w:id="45" w:name="_Toc446364463"/>
      <w:bookmarkStart w:id="46" w:name="_Toc22825"/>
      <w:bookmarkStart w:id="47" w:name="_Toc19441"/>
      <w:r>
        <w:rPr>
          <w:rFonts w:hint="eastAsia"/>
          <w:b w:val="0"/>
          <w:bCs w:val="0"/>
          <w:color w:val="auto"/>
          <w:sz w:val="36"/>
        </w:rPr>
        <w:t>第七章  发展目标</w:t>
      </w:r>
      <w:bookmarkEnd w:id="43"/>
      <w:bookmarkEnd w:id="44"/>
      <w:bookmarkEnd w:id="45"/>
      <w:bookmarkEnd w:id="46"/>
      <w:bookmarkEnd w:id="47"/>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一、二〇三五年远景目标</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综合实力进一步增强，国家创新型城市建设取得积极成效，发展质量和效益稳步提高，与省内发达地区发展差距不断缩小。民主法治健全程度逐步提升，基本实现治理体系和治理能力现代化，基本建成法治江川、法治政府、法治社会。生态文明建设制度日趋完善，广泛形成绿色生产生活方式，星云湖水</w:t>
      </w:r>
      <w:r>
        <w:rPr>
          <w:rFonts w:hint="eastAsia" w:ascii="Times New Roman" w:hAnsi="Times New Roman" w:eastAsia="方正仿宋_GBK"/>
          <w:color w:val="000000"/>
          <w:kern w:val="2"/>
          <w:sz w:val="32"/>
          <w:szCs w:val="32"/>
        </w:rPr>
        <w:t>清岸绿，实现人与自然和谐共生。新型城镇化建设达到更高水平，乡村振兴取得突破性进展，城乡居民收入显著提高，城乡发展差距明显缩小，基本公共服务实现均等化。文化事业和文化产业繁荣发展，社会文明程度明显提高。人的全面发展、人民共同富裕取得更明显的实质性进展。</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二、具体目标</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锚定二〇三五年远景目标，综合考虑国内外发展趋势和我区发展条件，坚持目标导向和问题导向相结合，坚持守正和创新相统一，今后五年经济社会发展要努力实现以下主要目标。</w:t>
      </w:r>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经济发展再上新台阶。</w:t>
      </w:r>
      <w:r>
        <w:rPr>
          <w:rFonts w:ascii="Times New Roman" w:hAnsi="Times New Roman" w:eastAsia="方正仿宋_GBK"/>
          <w:color w:val="auto"/>
          <w:sz w:val="32"/>
          <w:szCs w:val="32"/>
        </w:rPr>
        <w:t>经济保持平稳增长，地区生产总值年均增速超过全市平均水平，创新驱动发展能力不断增强，三次产业结构更加优化，经济增长质量和效益显著提高，城镇化</w:t>
      </w:r>
      <w:r>
        <w:rPr>
          <w:rFonts w:hint="eastAsia" w:ascii="Times New Roman" w:hAnsi="Times New Roman" w:eastAsia="方正仿宋_GBK"/>
          <w:color w:val="auto"/>
          <w:sz w:val="32"/>
          <w:szCs w:val="32"/>
        </w:rPr>
        <w:t>进程不断加快，</w:t>
      </w:r>
      <w:r>
        <w:rPr>
          <w:rFonts w:ascii="Times New Roman" w:hAnsi="Times New Roman" w:eastAsia="方正仿宋_GBK"/>
          <w:color w:val="auto"/>
          <w:sz w:val="32"/>
          <w:szCs w:val="32"/>
        </w:rPr>
        <w:t>区域协调发展水平明显提升，</w:t>
      </w:r>
      <w:r>
        <w:rPr>
          <w:rFonts w:hint="eastAsia" w:ascii="Times New Roman" w:hAnsi="Times New Roman" w:eastAsia="方正仿宋_GBK"/>
          <w:color w:val="auto"/>
          <w:sz w:val="32"/>
          <w:szCs w:val="32"/>
        </w:rPr>
        <w:t>城镇化率大幅增长。</w:t>
      </w:r>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bCs w:val="0"/>
          <w:color w:val="auto"/>
          <w:sz w:val="32"/>
          <w:szCs w:val="32"/>
        </w:rPr>
        <w:t>基础设施实现新突破。</w:t>
      </w:r>
      <w:r>
        <w:rPr>
          <w:rFonts w:hint="eastAsia" w:ascii="Times New Roman" w:hAnsi="Times New Roman" w:eastAsia="方正仿宋_GBK"/>
          <w:color w:val="auto"/>
          <w:sz w:val="32"/>
          <w:szCs w:val="32"/>
        </w:rPr>
        <w:t>区域性综合交通枢纽示范城市建设成效明显，公铁空衔接的综合运输体系加快构建，水务一体化建设取得显著成效，信息网络建设稳步推进，实现乡镇以上</w:t>
      </w:r>
      <w:r>
        <w:rPr>
          <w:rFonts w:ascii="Times New Roman" w:hAnsi="Times New Roman" w:eastAsia="方正仿宋_GBK"/>
          <w:snapToGrid/>
          <w:color w:val="000000"/>
          <w:sz w:val="32"/>
          <w:szCs w:val="32"/>
        </w:rPr>
        <w:t>5G</w:t>
      </w:r>
      <w:r>
        <w:rPr>
          <w:rFonts w:hint="eastAsia" w:ascii="Times New Roman" w:hAnsi="Times New Roman" w:eastAsia="方正仿宋_GBK"/>
          <w:snapToGrid/>
          <w:color w:val="000000"/>
          <w:sz w:val="32"/>
          <w:szCs w:val="32"/>
        </w:rPr>
        <w:t>全覆盖，清洁能源建设</w:t>
      </w:r>
      <w:r>
        <w:rPr>
          <w:rFonts w:hint="eastAsia" w:ascii="Times New Roman" w:hAnsi="Times New Roman" w:eastAsia="方正仿宋_GBK"/>
          <w:snapToGrid/>
          <w:color w:val="000000"/>
          <w:sz w:val="32"/>
          <w:szCs w:val="32"/>
          <w:lang w:eastAsia="zh-CN"/>
        </w:rPr>
        <w:t>项目</w:t>
      </w:r>
      <w:r>
        <w:rPr>
          <w:rFonts w:hint="eastAsia" w:ascii="Times New Roman" w:hAnsi="Times New Roman" w:eastAsia="方正仿宋_GBK"/>
          <w:snapToGrid/>
          <w:color w:val="000000"/>
          <w:sz w:val="32"/>
          <w:szCs w:val="32"/>
        </w:rPr>
        <w:t>有序实施，电动汽车充电桩覆盖面进一步扩大，现代物流中心辐射作用日趋明显。</w:t>
      </w:r>
    </w:p>
    <w:p>
      <w:pPr>
        <w:spacing w:line="560" w:lineRule="exact"/>
        <w:ind w:firstLine="643" w:firstLineChars="200"/>
        <w:rPr>
          <w:rFonts w:ascii="Times New Roman" w:hAnsi="Times New Roman" w:eastAsia="方正仿宋_GBK"/>
          <w:color w:val="000000"/>
          <w:kern w:val="2"/>
          <w:sz w:val="32"/>
          <w:szCs w:val="32"/>
        </w:rPr>
      </w:pPr>
      <w:r>
        <w:rPr>
          <w:rFonts w:hint="eastAsia" w:ascii="Times New Roman" w:hAnsi="Times New Roman" w:eastAsia="方正仿宋_GBK"/>
          <w:b/>
          <w:bCs w:val="0"/>
          <w:color w:val="auto"/>
          <w:sz w:val="32"/>
          <w:szCs w:val="32"/>
        </w:rPr>
        <w:t>民生福祉改善迈出新步伐。</w:t>
      </w:r>
      <w:r>
        <w:rPr>
          <w:rFonts w:hint="eastAsia" w:ascii="Times New Roman" w:hAnsi="Times New Roman" w:eastAsia="方正仿宋_GBK"/>
          <w:color w:val="000000"/>
          <w:kern w:val="2"/>
          <w:sz w:val="32"/>
          <w:szCs w:val="32"/>
        </w:rPr>
        <w:t>推动更加充分更高质量就业，城乡居民收入增长与经济增长基本同步，基本公共服务均等化水平明显提高，多层次社会保障体系更加健全，卫生健康体系持续完善，脱贫攻坚成果巩固拓展，乡村振兴战略全面推进，群众获得感、幸福感和安全感不断增强。</w:t>
      </w:r>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bCs w:val="0"/>
          <w:color w:val="auto"/>
          <w:sz w:val="32"/>
          <w:szCs w:val="32"/>
        </w:rPr>
        <w:t>生态文明建设实现新跨越。</w:t>
      </w:r>
      <w:r>
        <w:rPr>
          <w:rFonts w:hint="eastAsia" w:ascii="Times New Roman" w:hAnsi="Times New Roman" w:eastAsia="方正仿宋_GBK"/>
          <w:color w:val="auto"/>
          <w:sz w:val="32"/>
          <w:szCs w:val="32"/>
        </w:rPr>
        <w:t>绿色发展理念深入人心，“三区”主导功能划分更加明晰、“三线”边界刚性管</w:t>
      </w:r>
      <w:r>
        <w:rPr>
          <w:rFonts w:hint="eastAsia" w:ascii="Times New Roman" w:hAnsi="Times New Roman" w:eastAsia="方正仿宋_GBK"/>
          <w:color w:val="000000"/>
          <w:kern w:val="2"/>
          <w:sz w:val="32"/>
          <w:szCs w:val="32"/>
        </w:rPr>
        <w:t>控更加有力，可持续发展能力不断增强，森林覆盖率稳步提高，星云</w:t>
      </w:r>
      <w:r>
        <w:rPr>
          <w:rFonts w:hint="eastAsia" w:ascii="Times New Roman" w:hAnsi="Times New Roman" w:eastAsia="方正仿宋_GBK"/>
          <w:color w:val="auto"/>
          <w:sz w:val="32"/>
          <w:szCs w:val="32"/>
        </w:rPr>
        <w:t>湖保护治理持续加强，污染防治攻坚战取得显著成效，资源利用效率更加高效，主要污染物排放总量持续减少，城乡人居环境更加优美。</w:t>
      </w:r>
    </w:p>
    <w:p>
      <w:pPr>
        <w:spacing w:line="560" w:lineRule="exact"/>
        <w:jc w:val="center"/>
        <w:rPr>
          <w:rFonts w:hint="eastAsia" w:ascii="楷体" w:hAnsi="楷体" w:eastAsia="楷体"/>
          <w:color w:val="auto"/>
          <w:sz w:val="32"/>
          <w:szCs w:val="32"/>
        </w:rPr>
      </w:pPr>
    </w:p>
    <w:p>
      <w:pPr>
        <w:spacing w:line="560" w:lineRule="exact"/>
        <w:jc w:val="center"/>
        <w:rPr>
          <w:rFonts w:ascii="楷体" w:hAnsi="楷体" w:eastAsia="楷体"/>
          <w:color w:val="auto"/>
          <w:sz w:val="32"/>
          <w:szCs w:val="32"/>
          <w:u w:val="none"/>
        </w:rPr>
      </w:pPr>
      <w:r>
        <w:rPr>
          <w:rFonts w:hint="eastAsia" w:ascii="楷体" w:hAnsi="楷体" w:eastAsia="楷体"/>
          <w:color w:val="auto"/>
          <w:sz w:val="32"/>
          <w:szCs w:val="32"/>
          <w:u w:val="none"/>
        </w:rPr>
        <w:t>江川区“十四五”时期经济社会发展主要指标</w:t>
      </w:r>
      <w:r>
        <w:rPr>
          <w:rFonts w:hint="eastAsia" w:ascii="楷体" w:hAnsi="楷体" w:eastAsia="楷体"/>
          <w:color w:val="auto"/>
          <w:sz w:val="32"/>
          <w:szCs w:val="32"/>
          <w:u w:val="none"/>
          <w:lang w:eastAsia="zh-CN"/>
        </w:rPr>
        <w:t>表</w:t>
      </w:r>
    </w:p>
    <w:tbl>
      <w:tblPr>
        <w:tblStyle w:val="19"/>
        <w:tblW w:w="86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2"/>
        <w:gridCol w:w="642"/>
        <w:gridCol w:w="2967"/>
        <w:gridCol w:w="899"/>
        <w:gridCol w:w="771"/>
        <w:gridCol w:w="889"/>
        <w:gridCol w:w="1036"/>
        <w:gridCol w:w="8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jc w:val="center"/>
              <w:rPr>
                <w:b/>
                <w:color w:val="auto"/>
                <w:u w:val="none"/>
              </w:rPr>
            </w:pPr>
            <w:r>
              <w:rPr>
                <w:rFonts w:hint="eastAsia"/>
                <w:b/>
                <w:color w:val="auto"/>
                <w:u w:val="none"/>
              </w:rPr>
              <w:t>序号</w:t>
            </w:r>
          </w:p>
        </w:tc>
        <w:tc>
          <w:tcPr>
            <w:tcW w:w="642" w:type="dxa"/>
            <w:noWrap w:val="0"/>
            <w:vAlign w:val="center"/>
          </w:tcPr>
          <w:p>
            <w:pPr>
              <w:jc w:val="center"/>
              <w:rPr>
                <w:b/>
                <w:color w:val="auto"/>
                <w:u w:val="none"/>
              </w:rPr>
            </w:pPr>
            <w:r>
              <w:rPr>
                <w:rFonts w:hint="eastAsia"/>
                <w:b/>
                <w:color w:val="auto"/>
                <w:u w:val="none"/>
              </w:rPr>
              <w:t>分类</w:t>
            </w:r>
          </w:p>
        </w:tc>
        <w:tc>
          <w:tcPr>
            <w:tcW w:w="2967" w:type="dxa"/>
            <w:noWrap w:val="0"/>
            <w:vAlign w:val="center"/>
          </w:tcPr>
          <w:p>
            <w:pPr>
              <w:jc w:val="center"/>
              <w:rPr>
                <w:b/>
                <w:color w:val="auto"/>
                <w:u w:val="none"/>
              </w:rPr>
            </w:pPr>
            <w:r>
              <w:rPr>
                <w:rFonts w:hint="eastAsia"/>
                <w:b/>
                <w:color w:val="auto"/>
                <w:u w:val="none"/>
              </w:rPr>
              <w:t>指标</w:t>
            </w:r>
          </w:p>
        </w:tc>
        <w:tc>
          <w:tcPr>
            <w:tcW w:w="899" w:type="dxa"/>
            <w:noWrap w:val="0"/>
            <w:vAlign w:val="center"/>
          </w:tcPr>
          <w:p>
            <w:pPr>
              <w:jc w:val="center"/>
              <w:rPr>
                <w:b/>
                <w:color w:val="auto"/>
                <w:u w:val="none"/>
              </w:rPr>
            </w:pPr>
            <w:r>
              <w:rPr>
                <w:rFonts w:hint="default" w:ascii="Times New Roman" w:hAnsi="Times New Roman"/>
                <w:b/>
                <w:color w:val="auto"/>
                <w:u w:val="none"/>
              </w:rPr>
              <w:t>2020</w:t>
            </w:r>
            <w:r>
              <w:rPr>
                <w:rFonts w:hint="eastAsia"/>
                <w:b/>
                <w:color w:val="auto"/>
                <w:u w:val="none"/>
              </w:rPr>
              <w:t>年预计数</w:t>
            </w:r>
          </w:p>
        </w:tc>
        <w:tc>
          <w:tcPr>
            <w:tcW w:w="771" w:type="dxa"/>
            <w:noWrap w:val="0"/>
            <w:vAlign w:val="center"/>
          </w:tcPr>
          <w:p>
            <w:pPr>
              <w:jc w:val="center"/>
              <w:rPr>
                <w:b/>
                <w:color w:val="auto"/>
                <w:u w:val="none"/>
              </w:rPr>
            </w:pPr>
            <w:r>
              <w:rPr>
                <w:rFonts w:hint="default" w:ascii="Times New Roman" w:hAnsi="Times New Roman"/>
                <w:b/>
                <w:color w:val="auto"/>
                <w:u w:val="none"/>
              </w:rPr>
              <w:t>2025</w:t>
            </w:r>
            <w:r>
              <w:rPr>
                <w:rFonts w:hint="eastAsia"/>
                <w:b/>
                <w:color w:val="auto"/>
                <w:u w:val="none"/>
              </w:rPr>
              <w:t>年目标</w:t>
            </w:r>
          </w:p>
        </w:tc>
        <w:tc>
          <w:tcPr>
            <w:tcW w:w="889" w:type="dxa"/>
            <w:noWrap w:val="0"/>
            <w:vAlign w:val="center"/>
          </w:tcPr>
          <w:p>
            <w:pPr>
              <w:jc w:val="center"/>
              <w:rPr>
                <w:rFonts w:hint="eastAsia" w:ascii="宋体" w:hAnsi="宋体"/>
                <w:b/>
                <w:color w:val="auto"/>
                <w:u w:val="none"/>
              </w:rPr>
            </w:pPr>
            <w:r>
              <w:rPr>
                <w:rFonts w:hint="eastAsia" w:ascii="宋体" w:hAnsi="宋体"/>
                <w:b/>
                <w:color w:val="auto"/>
                <w:u w:val="none"/>
              </w:rPr>
              <w:t>年均</w:t>
            </w:r>
          </w:p>
          <w:p>
            <w:pPr>
              <w:jc w:val="center"/>
              <w:rPr>
                <w:b/>
                <w:color w:val="auto"/>
                <w:u w:val="none"/>
              </w:rPr>
            </w:pPr>
            <w:r>
              <w:rPr>
                <w:rFonts w:hint="eastAsia" w:ascii="宋体" w:hAnsi="宋体"/>
                <w:b/>
                <w:color w:val="auto"/>
                <w:u w:val="none"/>
              </w:rPr>
              <w:t>增速</w:t>
            </w:r>
          </w:p>
        </w:tc>
        <w:tc>
          <w:tcPr>
            <w:tcW w:w="1036" w:type="dxa"/>
            <w:noWrap w:val="0"/>
            <w:vAlign w:val="center"/>
          </w:tcPr>
          <w:p>
            <w:pPr>
              <w:jc w:val="center"/>
              <w:rPr>
                <w:rFonts w:hint="eastAsia"/>
                <w:b/>
                <w:color w:val="auto"/>
                <w:u w:val="none"/>
                <w:lang w:eastAsia="zh-CN"/>
              </w:rPr>
            </w:pPr>
            <w:r>
              <w:rPr>
                <w:rFonts w:hint="eastAsia"/>
                <w:b/>
                <w:color w:val="auto"/>
                <w:u w:val="none"/>
                <w:lang w:eastAsia="zh-CN"/>
              </w:rPr>
              <w:t>五年</w:t>
            </w:r>
          </w:p>
          <w:p>
            <w:pPr>
              <w:jc w:val="center"/>
              <w:rPr>
                <w:rFonts w:hint="eastAsia"/>
                <w:b/>
                <w:color w:val="auto"/>
                <w:u w:val="none"/>
                <w:lang w:eastAsia="zh-CN"/>
              </w:rPr>
            </w:pPr>
            <w:r>
              <w:rPr>
                <w:rFonts w:hint="eastAsia"/>
                <w:b/>
                <w:color w:val="auto"/>
                <w:u w:val="none"/>
                <w:lang w:eastAsia="zh-CN"/>
              </w:rPr>
              <w:t>累计</w:t>
            </w:r>
          </w:p>
          <w:p>
            <w:pPr>
              <w:jc w:val="center"/>
              <w:rPr>
                <w:rFonts w:hint="eastAsia" w:eastAsia="宋体"/>
                <w:b/>
                <w:color w:val="auto"/>
                <w:u w:val="none"/>
                <w:lang w:eastAsia="zh-CN"/>
              </w:rPr>
            </w:pPr>
          </w:p>
        </w:tc>
        <w:tc>
          <w:tcPr>
            <w:tcW w:w="803" w:type="dxa"/>
            <w:noWrap w:val="0"/>
            <w:vAlign w:val="center"/>
          </w:tcPr>
          <w:p>
            <w:pPr>
              <w:jc w:val="center"/>
              <w:rPr>
                <w:b/>
                <w:color w:val="auto"/>
                <w:u w:val="none"/>
              </w:rPr>
            </w:pPr>
            <w:r>
              <w:rPr>
                <w:rFonts w:hint="eastAsia"/>
                <w:b/>
                <w:color w:val="auto"/>
                <w:u w:val="none"/>
              </w:rPr>
              <w:t>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1</w:t>
            </w:r>
          </w:p>
        </w:tc>
        <w:tc>
          <w:tcPr>
            <w:tcW w:w="642" w:type="dxa"/>
            <w:vMerge w:val="restart"/>
            <w:noWrap w:val="0"/>
            <w:vAlign w:val="center"/>
          </w:tcPr>
          <w:p>
            <w:pPr>
              <w:spacing w:line="300" w:lineRule="exact"/>
              <w:jc w:val="center"/>
              <w:rPr>
                <w:rFonts w:hint="default" w:ascii="Times New Roman" w:hAnsi="Times New Roman" w:eastAsia="方正仿宋_GBK"/>
                <w:b/>
                <w:color w:val="auto"/>
                <w:u w:val="none"/>
              </w:rPr>
            </w:pPr>
            <w:r>
              <w:rPr>
                <w:rFonts w:hint="default" w:ascii="Times New Roman" w:hAnsi="Times New Roman" w:eastAsia="方正仿宋_GBK"/>
                <w:b/>
                <w:color w:val="auto"/>
                <w:u w:val="none"/>
              </w:rPr>
              <w:t>经济发展</w:t>
            </w: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地区生产总值（亿元）</w:t>
            </w:r>
          </w:p>
        </w:tc>
        <w:tc>
          <w:tcPr>
            <w:tcW w:w="899"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rPr>
              <w:t>14</w:t>
            </w:r>
            <w:r>
              <w:rPr>
                <w:rFonts w:hint="default" w:ascii="Times New Roman" w:hAnsi="Times New Roman" w:eastAsia="方正仿宋_GBK"/>
                <w:color w:val="000000"/>
                <w:u w:val="none"/>
                <w:lang w:val="en-US" w:eastAsia="zh-CN"/>
              </w:rPr>
              <w:t>6</w:t>
            </w:r>
            <w:r>
              <w:rPr>
                <w:rFonts w:hint="eastAsia" w:ascii="Times New Roman" w:hAnsi="Times New Roman" w:eastAsia="方正仿宋_GBK"/>
                <w:color w:val="000000"/>
                <w:u w:val="none"/>
                <w:lang w:val="en-US" w:eastAsia="zh-CN"/>
              </w:rPr>
              <w:t>.7</w:t>
            </w:r>
          </w:p>
        </w:tc>
        <w:tc>
          <w:tcPr>
            <w:tcW w:w="771"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230</w:t>
            </w:r>
          </w:p>
        </w:tc>
        <w:tc>
          <w:tcPr>
            <w:tcW w:w="889"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8%</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val="en-US" w:eastAsia="zh-CN"/>
              </w:rPr>
            </w:pPr>
            <w:r>
              <w:rPr>
                <w:rFonts w:hint="default" w:ascii="Times New Roman" w:hAnsi="Times New Roman" w:eastAsia="方正仿宋_GBK" w:cs="Times New Roman"/>
                <w:color w:val="auto"/>
                <w:sz w:val="18"/>
                <w:szCs w:val="18"/>
                <w:u w:val="none"/>
                <w:lang w:val="en-US" w:eastAsia="zh-CN"/>
              </w:rPr>
              <w:t>—</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612" w:type="dxa"/>
            <w:noWrap w:val="0"/>
            <w:vAlign w:val="center"/>
          </w:tcPr>
          <w:p>
            <w:pPr>
              <w:spacing w:line="300" w:lineRule="exact"/>
              <w:jc w:val="center"/>
              <w:rPr>
                <w:rFonts w:hint="default" w:ascii="Times New Roman" w:hAnsi="Times New Roman" w:eastAsia="方正仿宋_GBK"/>
                <w:color w:val="auto"/>
                <w:u w:val="none"/>
                <w:lang w:eastAsia="zh-CN"/>
              </w:rPr>
            </w:pPr>
            <w:r>
              <w:rPr>
                <w:rFonts w:hint="default" w:ascii="Times New Roman" w:hAnsi="Times New Roman" w:eastAsia="方正仿宋_GBK"/>
                <w:color w:val="auto"/>
                <w:u w:val="none"/>
                <w:lang w:val="en-US" w:eastAsia="zh-CN"/>
              </w:rPr>
              <w:t>2</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全员劳动生产率（万元/人）</w:t>
            </w:r>
          </w:p>
        </w:tc>
        <w:tc>
          <w:tcPr>
            <w:tcW w:w="899"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9</w:t>
            </w:r>
          </w:p>
        </w:tc>
        <w:tc>
          <w:tcPr>
            <w:tcW w:w="771"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14</w:t>
            </w:r>
          </w:p>
        </w:tc>
        <w:tc>
          <w:tcPr>
            <w:tcW w:w="889" w:type="dxa"/>
            <w:noWrap w:val="0"/>
            <w:vAlign w:val="center"/>
          </w:tcPr>
          <w:p>
            <w:pPr>
              <w:spacing w:line="300" w:lineRule="exact"/>
              <w:jc w:val="center"/>
              <w:rPr>
                <w:rFonts w:hint="default" w:ascii="Times New Roman" w:hAnsi="Times New Roman" w:eastAsia="方正仿宋_GBK"/>
                <w:color w:val="000000"/>
                <w:u w:val="none"/>
                <w:lang w:eastAsia="zh-CN"/>
              </w:rPr>
            </w:pPr>
            <w:r>
              <w:rPr>
                <w:rFonts w:hint="default" w:ascii="Times New Roman" w:hAnsi="Times New Roman" w:eastAsia="方正仿宋_GBK"/>
                <w:color w:val="000000"/>
                <w:u w:val="none"/>
                <w:lang w:eastAsia="zh-CN"/>
              </w:rPr>
              <w:t>——</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val="en-US" w:eastAsia="zh-CN"/>
              </w:rPr>
            </w:pPr>
            <w:r>
              <w:rPr>
                <w:rFonts w:hint="default" w:ascii="Times New Roman" w:hAnsi="Times New Roman" w:eastAsia="方正仿宋_GBK" w:cs="Times New Roman"/>
                <w:color w:val="auto"/>
                <w:sz w:val="18"/>
                <w:szCs w:val="18"/>
                <w:u w:val="none"/>
                <w:lang w:val="en-US" w:eastAsia="zh-CN"/>
              </w:rPr>
              <w:t>增加5万元/人</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eastAsia="zh-CN"/>
              </w:rPr>
            </w:pPr>
            <w:r>
              <w:rPr>
                <w:rFonts w:hint="default" w:ascii="Times New Roman" w:hAnsi="Times New Roman" w:eastAsia="方正仿宋_GBK"/>
                <w:color w:val="auto"/>
                <w:u w:val="none"/>
                <w:lang w:val="en-US" w:eastAsia="zh-CN"/>
              </w:rPr>
              <w:t>3</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地方公共财政预算收入（亿元）</w:t>
            </w:r>
          </w:p>
        </w:tc>
        <w:tc>
          <w:tcPr>
            <w:tcW w:w="899"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rPr>
              <w:t>5.6</w:t>
            </w:r>
            <w:r>
              <w:rPr>
                <w:rFonts w:hint="default" w:ascii="Times New Roman" w:hAnsi="Times New Roman" w:eastAsia="方正仿宋_GBK"/>
                <w:color w:val="000000"/>
                <w:u w:val="none"/>
                <w:lang w:val="en-US" w:eastAsia="zh-CN"/>
              </w:rPr>
              <w:t>7</w:t>
            </w:r>
          </w:p>
        </w:tc>
        <w:tc>
          <w:tcPr>
            <w:tcW w:w="771" w:type="dxa"/>
            <w:noWrap w:val="0"/>
            <w:vAlign w:val="center"/>
          </w:tcPr>
          <w:p>
            <w:pPr>
              <w:spacing w:line="300" w:lineRule="exact"/>
              <w:jc w:val="center"/>
              <w:rPr>
                <w:rFonts w:hint="default" w:ascii="Times New Roman" w:hAnsi="Times New Roman" w:eastAsia="方正仿宋_GBK"/>
                <w:color w:val="000000"/>
                <w:u w:val="none"/>
              </w:rPr>
            </w:pPr>
            <w:r>
              <w:rPr>
                <w:rFonts w:hint="default" w:ascii="Times New Roman" w:hAnsi="Times New Roman" w:eastAsia="方正仿宋_GBK"/>
                <w:color w:val="000000"/>
                <w:u w:val="none"/>
                <w:lang w:val="en-US" w:eastAsia="zh-CN"/>
              </w:rPr>
              <w:t>7.44</w:t>
            </w:r>
          </w:p>
        </w:tc>
        <w:tc>
          <w:tcPr>
            <w:tcW w:w="889" w:type="dxa"/>
            <w:noWrap w:val="0"/>
            <w:vAlign w:val="center"/>
          </w:tcPr>
          <w:p>
            <w:pPr>
              <w:spacing w:line="300" w:lineRule="exact"/>
              <w:jc w:val="center"/>
              <w:rPr>
                <w:rFonts w:hint="default" w:ascii="Times New Roman" w:hAnsi="Times New Roman" w:eastAsia="方正仿宋_GBK"/>
                <w:color w:val="000000"/>
                <w:u w:val="none"/>
                <w:lang w:val="en-US"/>
              </w:rPr>
            </w:pPr>
            <w:r>
              <w:rPr>
                <w:rFonts w:hint="default" w:ascii="Times New Roman" w:hAnsi="Times New Roman" w:eastAsia="方正仿宋_GBK"/>
                <w:color w:val="000000"/>
                <w:u w:val="none"/>
                <w:lang w:val="en-US" w:eastAsia="zh-CN"/>
              </w:rPr>
              <w:t>5.6%</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val="en-US" w:eastAsia="zh-CN"/>
              </w:rPr>
            </w:pPr>
            <w:r>
              <w:rPr>
                <w:rFonts w:hint="default" w:ascii="Times New Roman" w:hAnsi="Times New Roman" w:eastAsia="方正仿宋_GBK" w:cs="Times New Roman"/>
                <w:color w:val="auto"/>
                <w:sz w:val="18"/>
                <w:szCs w:val="18"/>
                <w:u w:val="none"/>
                <w:lang w:val="en-US" w:eastAsia="zh-CN"/>
              </w:rPr>
              <w:t>—</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6" w:hRule="atLeast"/>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4</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500万元以上固定资产投资（亿元）</w:t>
            </w:r>
          </w:p>
        </w:tc>
        <w:tc>
          <w:tcPr>
            <w:tcW w:w="899" w:type="dxa"/>
            <w:noWrap w:val="0"/>
            <w:vAlign w:val="center"/>
          </w:tcPr>
          <w:p>
            <w:pPr>
              <w:spacing w:line="300" w:lineRule="exact"/>
              <w:jc w:val="center"/>
              <w:rPr>
                <w:rFonts w:hint="default" w:ascii="Times New Roman" w:hAnsi="Times New Roman" w:eastAsia="方正仿宋_GBK"/>
                <w:color w:val="000000"/>
                <w:u w:val="none"/>
                <w:lang w:val="en-US"/>
              </w:rPr>
            </w:pPr>
            <w:r>
              <w:rPr>
                <w:rFonts w:hint="default" w:ascii="Times New Roman" w:hAnsi="Times New Roman" w:eastAsia="方正仿宋_GBK"/>
                <w:color w:val="000000"/>
                <w:u w:val="none"/>
                <w:lang w:val="en-US" w:eastAsia="zh-CN"/>
              </w:rPr>
              <w:t>58</w:t>
            </w:r>
            <w:r>
              <w:rPr>
                <w:rFonts w:hint="eastAsia" w:ascii="Times New Roman" w:hAnsi="Times New Roman" w:eastAsia="方正仿宋_GBK"/>
                <w:color w:val="000000"/>
                <w:u w:val="none"/>
                <w:lang w:val="en-US" w:eastAsia="zh-CN"/>
              </w:rPr>
              <w:t>.1</w:t>
            </w:r>
          </w:p>
        </w:tc>
        <w:tc>
          <w:tcPr>
            <w:tcW w:w="771" w:type="dxa"/>
            <w:noWrap w:val="0"/>
            <w:vAlign w:val="center"/>
          </w:tcPr>
          <w:p>
            <w:pPr>
              <w:spacing w:line="300" w:lineRule="exact"/>
              <w:jc w:val="center"/>
              <w:rPr>
                <w:rFonts w:hint="default" w:ascii="Times New Roman" w:hAnsi="Times New Roman" w:eastAsia="方正仿宋_GBK"/>
                <w:color w:val="000000"/>
                <w:u w:val="none"/>
                <w:lang w:val="en-US"/>
              </w:rPr>
            </w:pPr>
            <w:r>
              <w:rPr>
                <w:rFonts w:hint="default" w:ascii="Times New Roman" w:hAnsi="Times New Roman" w:eastAsia="方正仿宋_GBK"/>
                <w:color w:val="000000"/>
                <w:u w:val="none"/>
                <w:lang w:val="en-US" w:eastAsia="zh-CN"/>
              </w:rPr>
              <w:t>93.4</w:t>
            </w:r>
          </w:p>
        </w:tc>
        <w:tc>
          <w:tcPr>
            <w:tcW w:w="889" w:type="dxa"/>
            <w:noWrap w:val="0"/>
            <w:vAlign w:val="center"/>
          </w:tcPr>
          <w:p>
            <w:pPr>
              <w:spacing w:line="300" w:lineRule="exact"/>
              <w:jc w:val="center"/>
              <w:rPr>
                <w:rFonts w:hint="default" w:ascii="Times New Roman" w:hAnsi="Times New Roman" w:eastAsia="方正仿宋_GBK"/>
                <w:color w:val="000000"/>
                <w:u w:val="none"/>
              </w:rPr>
            </w:pPr>
            <w:r>
              <w:rPr>
                <w:rFonts w:hint="default" w:ascii="Times New Roman" w:hAnsi="Times New Roman" w:eastAsia="方正仿宋_GBK"/>
                <w:color w:val="000000"/>
                <w:u w:val="none"/>
                <w:lang w:val="en-US" w:eastAsia="zh-CN"/>
              </w:rPr>
              <w:t>10%</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val="en-US" w:eastAsia="zh-CN"/>
              </w:rPr>
            </w:pPr>
            <w:r>
              <w:rPr>
                <w:rFonts w:hint="default" w:ascii="Times New Roman" w:hAnsi="Times New Roman" w:eastAsia="方正仿宋_GBK" w:cs="Times New Roman"/>
                <w:color w:val="auto"/>
                <w:sz w:val="18"/>
                <w:szCs w:val="18"/>
                <w:highlight w:val="none"/>
                <w:u w:val="none"/>
                <w:lang w:eastAsia="zh-CN"/>
              </w:rPr>
              <w:t>五年完成固定资产投资</w:t>
            </w:r>
            <w:r>
              <w:rPr>
                <w:rFonts w:hint="default" w:ascii="Times New Roman" w:hAnsi="Times New Roman" w:eastAsia="方正仿宋_GBK" w:cs="Times New Roman"/>
                <w:color w:val="auto"/>
                <w:sz w:val="18"/>
                <w:szCs w:val="18"/>
                <w:highlight w:val="none"/>
                <w:u w:val="none"/>
                <w:lang w:val="en-US" w:eastAsia="zh-CN"/>
              </w:rPr>
              <w:t>400亿元</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5</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社会消费品零售总额（亿元）</w:t>
            </w:r>
          </w:p>
        </w:tc>
        <w:tc>
          <w:tcPr>
            <w:tcW w:w="899" w:type="dxa"/>
            <w:noWrap w:val="0"/>
            <w:vAlign w:val="center"/>
          </w:tcPr>
          <w:p>
            <w:pPr>
              <w:spacing w:line="300" w:lineRule="exact"/>
              <w:jc w:val="center"/>
              <w:rPr>
                <w:rFonts w:hint="default" w:ascii="Times New Roman" w:hAnsi="Times New Roman" w:eastAsia="方正仿宋_GBK"/>
                <w:color w:val="000000"/>
                <w:u w:val="none"/>
                <w:lang w:val="en-US"/>
              </w:rPr>
            </w:pPr>
            <w:r>
              <w:rPr>
                <w:rFonts w:hint="eastAsia" w:ascii="Times New Roman" w:hAnsi="Times New Roman" w:eastAsia="方正仿宋_GBK"/>
                <w:color w:val="000000"/>
                <w:u w:val="none"/>
                <w:lang w:val="en-US" w:eastAsia="zh-CN"/>
              </w:rPr>
              <w:t>64.6</w:t>
            </w:r>
          </w:p>
        </w:tc>
        <w:tc>
          <w:tcPr>
            <w:tcW w:w="771" w:type="dxa"/>
            <w:noWrap w:val="0"/>
            <w:vAlign w:val="center"/>
          </w:tcPr>
          <w:p>
            <w:pPr>
              <w:spacing w:line="300" w:lineRule="exact"/>
              <w:jc w:val="center"/>
              <w:rPr>
                <w:rFonts w:hint="default" w:ascii="Times New Roman" w:hAnsi="Times New Roman" w:eastAsia="方正仿宋_GBK"/>
                <w:color w:val="000000"/>
                <w:u w:val="none"/>
                <w:lang w:val="en-US"/>
              </w:rPr>
            </w:pPr>
            <w:r>
              <w:rPr>
                <w:rFonts w:hint="default" w:ascii="Times New Roman" w:hAnsi="Times New Roman" w:eastAsia="方正仿宋_GBK"/>
                <w:color w:val="000000"/>
                <w:u w:val="none"/>
                <w:lang w:val="en-US" w:eastAsia="zh-CN"/>
              </w:rPr>
              <w:t>95.8</w:t>
            </w:r>
          </w:p>
        </w:tc>
        <w:tc>
          <w:tcPr>
            <w:tcW w:w="889" w:type="dxa"/>
            <w:noWrap w:val="0"/>
            <w:vAlign w:val="center"/>
          </w:tcPr>
          <w:p>
            <w:pPr>
              <w:spacing w:line="300" w:lineRule="exact"/>
              <w:jc w:val="center"/>
              <w:rPr>
                <w:rFonts w:hint="default" w:ascii="Times New Roman" w:hAnsi="Times New Roman" w:eastAsia="方正仿宋_GBK"/>
                <w:color w:val="000000"/>
                <w:u w:val="none"/>
              </w:rPr>
            </w:pPr>
            <w:r>
              <w:rPr>
                <w:rFonts w:hint="default" w:ascii="Times New Roman" w:hAnsi="Times New Roman" w:eastAsia="方正仿宋_GBK"/>
                <w:color w:val="000000"/>
                <w:u w:val="none"/>
                <w:lang w:val="en-US" w:eastAsia="zh-CN"/>
              </w:rPr>
              <w:t>8%</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eastAsia="zh-CN"/>
              </w:rPr>
            </w:pPr>
            <w:r>
              <w:rPr>
                <w:rFonts w:hint="default" w:ascii="Times New Roman" w:hAnsi="Times New Roman" w:eastAsia="方正仿宋_GBK" w:cs="Times New Roman"/>
                <w:color w:val="auto"/>
                <w:sz w:val="18"/>
                <w:szCs w:val="18"/>
                <w:u w:val="none"/>
                <w:lang w:eastAsia="zh-CN"/>
              </w:rPr>
              <w:t>—</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6</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highlight w:val="none"/>
                <w:u w:val="none"/>
                <w:lang w:eastAsia="zh-CN"/>
              </w:rPr>
            </w:pPr>
            <w:r>
              <w:rPr>
                <w:rFonts w:hint="default" w:ascii="Times New Roman" w:hAnsi="Times New Roman" w:eastAsia="方正仿宋_GBK"/>
                <w:color w:val="auto"/>
                <w:highlight w:val="none"/>
                <w:u w:val="none"/>
              </w:rPr>
              <w:t>农产品</w:t>
            </w:r>
            <w:r>
              <w:rPr>
                <w:rFonts w:hint="default" w:ascii="Times New Roman" w:hAnsi="Times New Roman" w:eastAsia="方正仿宋_GBK"/>
                <w:color w:val="auto"/>
                <w:highlight w:val="none"/>
                <w:u w:val="none"/>
                <w:lang w:eastAsia="zh-CN"/>
              </w:rPr>
              <w:t>加工产值与农产品总产值比</w:t>
            </w:r>
          </w:p>
        </w:tc>
        <w:tc>
          <w:tcPr>
            <w:tcW w:w="899" w:type="dxa"/>
            <w:noWrap w:val="0"/>
            <w:vAlign w:val="center"/>
          </w:tcPr>
          <w:p>
            <w:pPr>
              <w:spacing w:line="300" w:lineRule="exact"/>
              <w:jc w:val="center"/>
              <w:rPr>
                <w:rFonts w:hint="default" w:ascii="Times New Roman" w:hAnsi="Times New Roman" w:eastAsia="方正仿宋_GBK"/>
                <w:color w:val="000000"/>
                <w:u w:val="none"/>
              </w:rPr>
            </w:pPr>
            <w:r>
              <w:rPr>
                <w:rFonts w:hint="default" w:ascii="Times New Roman" w:hAnsi="Times New Roman" w:eastAsia="方正仿宋_GBK"/>
                <w:color w:val="000000"/>
                <w:u w:val="none"/>
                <w:lang w:val="en-US" w:eastAsia="zh-CN"/>
              </w:rPr>
              <w:t>1.66:1</w:t>
            </w:r>
          </w:p>
        </w:tc>
        <w:tc>
          <w:tcPr>
            <w:tcW w:w="771" w:type="dxa"/>
            <w:noWrap w:val="0"/>
            <w:vAlign w:val="center"/>
          </w:tcPr>
          <w:p>
            <w:pPr>
              <w:spacing w:line="300" w:lineRule="exact"/>
              <w:jc w:val="center"/>
              <w:rPr>
                <w:rFonts w:hint="default" w:ascii="Times New Roman" w:hAnsi="Times New Roman" w:eastAsia="方正仿宋_GBK"/>
                <w:color w:val="000000"/>
                <w:u w:val="none"/>
              </w:rPr>
            </w:pPr>
            <w:r>
              <w:rPr>
                <w:rFonts w:hint="default" w:ascii="Times New Roman" w:hAnsi="Times New Roman" w:eastAsia="方正仿宋_GBK"/>
                <w:color w:val="000000"/>
                <w:u w:val="none"/>
                <w:lang w:val="en-US" w:eastAsia="zh-CN"/>
              </w:rPr>
              <w:t>2:1</w:t>
            </w:r>
          </w:p>
        </w:tc>
        <w:tc>
          <w:tcPr>
            <w:tcW w:w="889"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eastAsia="zh-CN"/>
              </w:rPr>
            </w:pPr>
            <w:r>
              <w:rPr>
                <w:rFonts w:hint="default" w:ascii="Times New Roman" w:hAnsi="Times New Roman" w:eastAsia="方正仿宋_GBK" w:cs="Times New Roman"/>
                <w:color w:val="auto"/>
                <w:sz w:val="18"/>
                <w:szCs w:val="18"/>
                <w:u w:val="none"/>
                <w:lang w:eastAsia="zh-CN"/>
              </w:rPr>
              <w:t>—</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7</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常住人口城镇化率（%）</w:t>
            </w:r>
          </w:p>
        </w:tc>
        <w:tc>
          <w:tcPr>
            <w:tcW w:w="899" w:type="dxa"/>
            <w:noWrap w:val="0"/>
            <w:vAlign w:val="center"/>
          </w:tcPr>
          <w:p>
            <w:pPr>
              <w:spacing w:line="300" w:lineRule="exact"/>
              <w:jc w:val="center"/>
              <w:rPr>
                <w:rFonts w:hint="default" w:ascii="Times New Roman" w:hAnsi="Times New Roman" w:eastAsia="方正仿宋_GBK"/>
                <w:color w:val="000000"/>
                <w:u w:val="none"/>
              </w:rPr>
            </w:pPr>
            <w:r>
              <w:rPr>
                <w:rFonts w:hint="default" w:ascii="Times New Roman" w:hAnsi="Times New Roman" w:eastAsia="方正仿宋_GBK"/>
                <w:color w:val="000000"/>
                <w:u w:val="none"/>
                <w:lang w:val="en-US" w:eastAsia="zh-CN"/>
              </w:rPr>
              <w:t>46</w:t>
            </w:r>
          </w:p>
        </w:tc>
        <w:tc>
          <w:tcPr>
            <w:tcW w:w="771" w:type="dxa"/>
            <w:noWrap w:val="0"/>
            <w:vAlign w:val="center"/>
          </w:tcPr>
          <w:p>
            <w:pPr>
              <w:spacing w:line="300" w:lineRule="exact"/>
              <w:jc w:val="center"/>
              <w:rPr>
                <w:rFonts w:hint="default" w:ascii="Times New Roman" w:hAnsi="Times New Roman" w:eastAsia="方正仿宋_GBK"/>
                <w:color w:val="000000"/>
                <w:u w:val="none"/>
              </w:rPr>
            </w:pPr>
            <w:r>
              <w:rPr>
                <w:rFonts w:hint="default" w:ascii="Times New Roman" w:hAnsi="Times New Roman" w:eastAsia="方正仿宋_GBK"/>
                <w:color w:val="000000"/>
                <w:u w:val="none"/>
              </w:rPr>
              <w:t>60</w:t>
            </w:r>
          </w:p>
        </w:tc>
        <w:tc>
          <w:tcPr>
            <w:tcW w:w="889"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rPr>
            </w:pPr>
            <w:r>
              <w:rPr>
                <w:rFonts w:hint="default" w:ascii="Times New Roman" w:hAnsi="Times New Roman" w:eastAsia="方正仿宋_GBK" w:cs="Times New Roman"/>
                <w:color w:val="000000"/>
                <w:sz w:val="18"/>
                <w:szCs w:val="18"/>
                <w:u w:val="none"/>
                <w:lang w:val="en-US" w:eastAsia="zh-CN"/>
              </w:rPr>
              <w:t>提高14个百分点</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8</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eastAsia="zh-CN"/>
              </w:rPr>
              <w:t>工业增加值占</w:t>
            </w:r>
            <w:r>
              <w:rPr>
                <w:rFonts w:hint="default" w:ascii="Times New Roman" w:hAnsi="Times New Roman" w:eastAsia="方正仿宋_GBK"/>
                <w:color w:val="auto"/>
                <w:u w:val="none"/>
                <w:lang w:val="en-US" w:eastAsia="zh-CN"/>
              </w:rPr>
              <w:t>GDP比重（%）</w:t>
            </w:r>
          </w:p>
        </w:tc>
        <w:tc>
          <w:tcPr>
            <w:tcW w:w="899" w:type="dxa"/>
            <w:noWrap w:val="0"/>
            <w:vAlign w:val="center"/>
          </w:tcPr>
          <w:p>
            <w:pPr>
              <w:spacing w:line="300" w:lineRule="exact"/>
              <w:jc w:val="center"/>
              <w:rPr>
                <w:rFonts w:hint="default" w:ascii="Times New Roman" w:hAnsi="Times New Roman" w:eastAsia="方正仿宋_GBK"/>
                <w:color w:val="000000"/>
                <w:u w:val="none"/>
                <w:lang w:val="en-US"/>
              </w:rPr>
            </w:pPr>
            <w:r>
              <w:rPr>
                <w:rFonts w:hint="default" w:ascii="Times New Roman" w:hAnsi="Times New Roman" w:eastAsia="方正仿宋_GBK"/>
                <w:color w:val="000000"/>
                <w:u w:val="none"/>
                <w:lang w:val="en-US" w:eastAsia="zh-CN"/>
              </w:rPr>
              <w:t>18.</w:t>
            </w:r>
            <w:r>
              <w:rPr>
                <w:rFonts w:hint="eastAsia" w:ascii="Times New Roman" w:hAnsi="Times New Roman" w:eastAsia="方正仿宋_GBK"/>
                <w:color w:val="000000"/>
                <w:u w:val="none"/>
                <w:lang w:val="en-US" w:eastAsia="zh-CN"/>
              </w:rPr>
              <w:t>8</w:t>
            </w:r>
          </w:p>
        </w:tc>
        <w:tc>
          <w:tcPr>
            <w:tcW w:w="771" w:type="dxa"/>
            <w:noWrap w:val="0"/>
            <w:vAlign w:val="center"/>
          </w:tcPr>
          <w:p>
            <w:pPr>
              <w:spacing w:line="300" w:lineRule="exact"/>
              <w:jc w:val="center"/>
              <w:rPr>
                <w:rFonts w:hint="default" w:ascii="Times New Roman" w:hAnsi="Times New Roman" w:eastAsia="方正仿宋_GBK"/>
                <w:color w:val="000000"/>
                <w:u w:val="none"/>
                <w:lang w:val="en-US"/>
              </w:rPr>
            </w:pPr>
            <w:r>
              <w:rPr>
                <w:rFonts w:hint="default" w:ascii="Times New Roman" w:hAnsi="Times New Roman" w:eastAsia="方正仿宋_GBK"/>
                <w:color w:val="000000"/>
                <w:u w:val="none"/>
                <w:lang w:val="en-US" w:eastAsia="zh-CN"/>
              </w:rPr>
              <w:t>20</w:t>
            </w:r>
          </w:p>
        </w:tc>
        <w:tc>
          <w:tcPr>
            <w:tcW w:w="889"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val="en-US" w:eastAsia="zh-CN"/>
              </w:rPr>
            </w:pPr>
            <w:r>
              <w:rPr>
                <w:rFonts w:hint="default" w:ascii="Times New Roman" w:hAnsi="Times New Roman" w:eastAsia="方正仿宋_GBK" w:cs="Times New Roman"/>
                <w:color w:val="auto"/>
                <w:sz w:val="18"/>
                <w:szCs w:val="18"/>
                <w:u w:val="none"/>
                <w:lang w:eastAsia="zh-CN"/>
              </w:rPr>
              <w:t>提高</w:t>
            </w:r>
            <w:r>
              <w:rPr>
                <w:rFonts w:hint="default" w:ascii="Times New Roman" w:hAnsi="Times New Roman" w:eastAsia="方正仿宋_GBK" w:cs="Times New Roman"/>
                <w:color w:val="auto"/>
                <w:sz w:val="18"/>
                <w:szCs w:val="18"/>
                <w:u w:val="none"/>
                <w:lang w:val="en-US" w:eastAsia="zh-CN"/>
              </w:rPr>
              <w:t>1.4个百分点</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lang w:eastAsia="zh-CN"/>
              </w:rPr>
            </w:pPr>
            <w:r>
              <w:rPr>
                <w:rFonts w:hint="default" w:ascii="Times New Roman" w:hAnsi="Times New Roman" w:eastAsia="方正仿宋_GBK"/>
                <w:color w:val="auto"/>
                <w:sz w:val="18"/>
                <w:szCs w:val="18"/>
                <w:u w:val="none"/>
                <w:lang w:eastAsia="zh-CN"/>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9</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制造业增加值占GDP比重（%）</w:t>
            </w:r>
          </w:p>
        </w:tc>
        <w:tc>
          <w:tcPr>
            <w:tcW w:w="899" w:type="dxa"/>
            <w:noWrap w:val="0"/>
            <w:vAlign w:val="center"/>
          </w:tcPr>
          <w:p>
            <w:pPr>
              <w:spacing w:line="300" w:lineRule="exact"/>
              <w:jc w:val="center"/>
              <w:rPr>
                <w:rFonts w:hint="default" w:ascii="Times New Roman" w:hAnsi="Times New Roman" w:eastAsia="方正仿宋_GBK"/>
                <w:color w:val="000000"/>
                <w:u w:val="none"/>
                <w:lang w:val="en-US"/>
              </w:rPr>
            </w:pPr>
            <w:r>
              <w:rPr>
                <w:rFonts w:hint="default" w:ascii="Times New Roman" w:hAnsi="Times New Roman" w:eastAsia="方正仿宋_GBK"/>
                <w:color w:val="000000"/>
                <w:u w:val="none"/>
                <w:lang w:val="en-US" w:eastAsia="zh-CN"/>
              </w:rPr>
              <w:t>16.6</w:t>
            </w:r>
          </w:p>
        </w:tc>
        <w:tc>
          <w:tcPr>
            <w:tcW w:w="771" w:type="dxa"/>
            <w:noWrap w:val="0"/>
            <w:vAlign w:val="center"/>
          </w:tcPr>
          <w:p>
            <w:pPr>
              <w:spacing w:line="300" w:lineRule="exact"/>
              <w:jc w:val="center"/>
              <w:rPr>
                <w:rFonts w:hint="default" w:ascii="Times New Roman" w:hAnsi="Times New Roman" w:eastAsia="方正仿宋_GBK"/>
                <w:color w:val="000000"/>
                <w:u w:val="none"/>
                <w:lang w:val="en-US"/>
              </w:rPr>
            </w:pPr>
            <w:r>
              <w:rPr>
                <w:rFonts w:hint="default" w:ascii="Times New Roman" w:hAnsi="Times New Roman" w:eastAsia="方正仿宋_GBK"/>
                <w:color w:val="000000"/>
                <w:u w:val="none"/>
                <w:lang w:val="en-US" w:eastAsia="zh-CN"/>
              </w:rPr>
              <w:t>18.8</w:t>
            </w:r>
          </w:p>
        </w:tc>
        <w:tc>
          <w:tcPr>
            <w:tcW w:w="889"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rPr>
            </w:pPr>
            <w:r>
              <w:rPr>
                <w:rFonts w:hint="default" w:ascii="Times New Roman" w:hAnsi="Times New Roman" w:eastAsia="方正仿宋_GBK" w:cs="Times New Roman"/>
                <w:color w:val="000000"/>
                <w:sz w:val="18"/>
                <w:szCs w:val="18"/>
                <w:u w:val="none"/>
                <w:lang w:val="en-US" w:eastAsia="zh-CN"/>
              </w:rPr>
              <w:t>提高2.2百分点</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10</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进出口贸易总额（亿美元）</w:t>
            </w:r>
          </w:p>
        </w:tc>
        <w:tc>
          <w:tcPr>
            <w:tcW w:w="899" w:type="dxa"/>
            <w:noWrap w:val="0"/>
            <w:vAlign w:val="center"/>
          </w:tcPr>
          <w:p>
            <w:pPr>
              <w:spacing w:line="300" w:lineRule="exact"/>
              <w:jc w:val="center"/>
              <w:rPr>
                <w:rFonts w:hint="default" w:ascii="Times New Roman" w:hAnsi="Times New Roman" w:eastAsia="方正仿宋_GBK"/>
                <w:color w:val="000000"/>
                <w:u w:val="none"/>
              </w:rPr>
            </w:pPr>
            <w:r>
              <w:rPr>
                <w:rFonts w:hint="default" w:ascii="Times New Roman" w:hAnsi="Times New Roman" w:eastAsia="方正仿宋_GBK"/>
                <w:color w:val="000000"/>
                <w:u w:val="none"/>
              </w:rPr>
              <w:t>0.4</w:t>
            </w:r>
          </w:p>
        </w:tc>
        <w:tc>
          <w:tcPr>
            <w:tcW w:w="771" w:type="dxa"/>
            <w:noWrap w:val="0"/>
            <w:vAlign w:val="center"/>
          </w:tcPr>
          <w:p>
            <w:pPr>
              <w:spacing w:line="300" w:lineRule="exact"/>
              <w:jc w:val="center"/>
              <w:rPr>
                <w:rFonts w:hint="default" w:ascii="Times New Roman" w:hAnsi="Times New Roman" w:eastAsia="方正仿宋_GBK"/>
                <w:color w:val="000000"/>
                <w:u w:val="none"/>
              </w:rPr>
            </w:pPr>
            <w:r>
              <w:rPr>
                <w:rFonts w:hint="default" w:ascii="Times New Roman" w:hAnsi="Times New Roman" w:eastAsia="方正仿宋_GBK"/>
                <w:color w:val="000000"/>
                <w:u w:val="none"/>
                <w:lang w:val="en-US" w:eastAsia="zh-CN"/>
              </w:rPr>
              <w:t>0.64</w:t>
            </w:r>
          </w:p>
        </w:tc>
        <w:tc>
          <w:tcPr>
            <w:tcW w:w="889" w:type="dxa"/>
            <w:noWrap w:val="0"/>
            <w:vAlign w:val="center"/>
          </w:tcPr>
          <w:p>
            <w:pPr>
              <w:spacing w:line="300" w:lineRule="exact"/>
              <w:jc w:val="center"/>
              <w:rPr>
                <w:rFonts w:hint="default" w:ascii="Times New Roman" w:hAnsi="Times New Roman" w:eastAsia="方正仿宋_GBK"/>
                <w:color w:val="000000"/>
                <w:u w:val="none"/>
              </w:rPr>
            </w:pPr>
            <w:r>
              <w:rPr>
                <w:rFonts w:hint="default" w:ascii="Times New Roman" w:hAnsi="Times New Roman" w:eastAsia="方正仿宋_GBK"/>
                <w:color w:val="000000"/>
                <w:u w:val="none"/>
                <w:lang w:val="en-US" w:eastAsia="zh-CN"/>
              </w:rPr>
              <w:t>10%</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val="en-US" w:eastAsia="zh-CN"/>
              </w:rPr>
            </w:pPr>
            <w:r>
              <w:rPr>
                <w:rFonts w:hint="default" w:ascii="Times New Roman" w:hAnsi="Times New Roman" w:eastAsia="方正仿宋_GBK" w:cs="Times New Roman"/>
                <w:color w:val="auto"/>
                <w:sz w:val="18"/>
                <w:szCs w:val="18"/>
                <w:u w:val="none"/>
                <w:lang w:val="en-US" w:eastAsia="zh-CN"/>
              </w:rPr>
              <w:t>—</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11</w:t>
            </w:r>
          </w:p>
        </w:tc>
        <w:tc>
          <w:tcPr>
            <w:tcW w:w="642" w:type="dxa"/>
            <w:vMerge w:val="restart"/>
            <w:noWrap w:val="0"/>
            <w:vAlign w:val="center"/>
          </w:tcPr>
          <w:p>
            <w:pPr>
              <w:spacing w:line="300" w:lineRule="exact"/>
              <w:jc w:val="center"/>
              <w:rPr>
                <w:rFonts w:hint="default" w:ascii="Times New Roman" w:hAnsi="Times New Roman" w:eastAsia="方正仿宋_GBK"/>
                <w:b/>
                <w:color w:val="auto"/>
                <w:u w:val="none"/>
              </w:rPr>
            </w:pPr>
            <w:r>
              <w:rPr>
                <w:rFonts w:hint="default" w:ascii="Times New Roman" w:hAnsi="Times New Roman" w:eastAsia="方正仿宋_GBK"/>
                <w:b/>
                <w:color w:val="auto"/>
                <w:u w:val="none"/>
              </w:rPr>
              <w:t>创新驱动</w:t>
            </w:r>
          </w:p>
        </w:tc>
        <w:tc>
          <w:tcPr>
            <w:tcW w:w="2967" w:type="dxa"/>
            <w:noWrap w:val="0"/>
            <w:vAlign w:val="center"/>
          </w:tcPr>
          <w:p>
            <w:pPr>
              <w:spacing w:line="300" w:lineRule="exact"/>
              <w:jc w:val="center"/>
              <w:rPr>
                <w:rFonts w:hint="default" w:ascii="Times New Roman" w:hAnsi="Times New Roman" w:eastAsia="方正仿宋_GBK"/>
                <w:color w:val="auto"/>
                <w:u w:val="none"/>
                <w:lang w:eastAsia="zh-CN"/>
              </w:rPr>
            </w:pPr>
            <w:r>
              <w:rPr>
                <w:rFonts w:hint="default" w:ascii="Times New Roman" w:hAnsi="Times New Roman" w:eastAsia="方正仿宋_GBK"/>
                <w:color w:val="auto"/>
                <w:highlight w:val="none"/>
                <w:u w:val="none"/>
              </w:rPr>
              <w:t>研发经费投入强度</w:t>
            </w:r>
            <w:r>
              <w:rPr>
                <w:rFonts w:hint="default" w:ascii="Times New Roman" w:hAnsi="Times New Roman" w:eastAsia="方正仿宋_GBK"/>
                <w:color w:val="auto"/>
                <w:highlight w:val="none"/>
                <w:u w:val="none"/>
                <w:lang w:eastAsia="zh-CN"/>
              </w:rPr>
              <w:t>（</w:t>
            </w:r>
            <w:r>
              <w:rPr>
                <w:rFonts w:hint="default" w:ascii="Times New Roman" w:hAnsi="Times New Roman" w:eastAsia="方正仿宋_GBK"/>
                <w:color w:val="auto"/>
                <w:highlight w:val="none"/>
                <w:u w:val="none"/>
                <w:lang w:val="en-US" w:eastAsia="zh-CN"/>
              </w:rPr>
              <w:t>%</w:t>
            </w:r>
            <w:r>
              <w:rPr>
                <w:rFonts w:hint="default" w:ascii="Times New Roman" w:hAnsi="Times New Roman" w:eastAsia="方正仿宋_GBK"/>
                <w:color w:val="auto"/>
                <w:highlight w:val="none"/>
                <w:u w:val="none"/>
                <w:lang w:eastAsia="zh-CN"/>
              </w:rPr>
              <w:t>）</w:t>
            </w:r>
          </w:p>
        </w:tc>
        <w:tc>
          <w:tcPr>
            <w:tcW w:w="899" w:type="dxa"/>
            <w:noWrap w:val="0"/>
            <w:vAlign w:val="center"/>
          </w:tcPr>
          <w:p>
            <w:pPr>
              <w:spacing w:line="300" w:lineRule="exact"/>
              <w:jc w:val="center"/>
              <w:rPr>
                <w:rFonts w:hint="default" w:ascii="Times New Roman" w:hAnsi="Times New Roman" w:eastAsia="方正仿宋_GBK"/>
                <w:color w:val="000000"/>
                <w:highlight w:val="none"/>
                <w:u w:val="none"/>
                <w:lang w:val="en-US" w:eastAsia="zh-CN"/>
              </w:rPr>
            </w:pPr>
            <w:r>
              <w:rPr>
                <w:rFonts w:hint="eastAsia" w:ascii="Times New Roman" w:hAnsi="Times New Roman" w:eastAsia="方正仿宋_GBK"/>
                <w:color w:val="000000"/>
                <w:highlight w:val="none"/>
                <w:u w:val="none"/>
                <w:lang w:val="en-US" w:eastAsia="zh-CN"/>
              </w:rPr>
              <w:t>1.04</w:t>
            </w:r>
          </w:p>
        </w:tc>
        <w:tc>
          <w:tcPr>
            <w:tcW w:w="771" w:type="dxa"/>
            <w:noWrap w:val="0"/>
            <w:vAlign w:val="center"/>
          </w:tcPr>
          <w:p>
            <w:pPr>
              <w:spacing w:line="300" w:lineRule="exact"/>
              <w:jc w:val="center"/>
              <w:rPr>
                <w:rFonts w:hint="default" w:ascii="Times New Roman" w:hAnsi="Times New Roman" w:eastAsia="方正仿宋_GBK"/>
                <w:color w:val="000000"/>
                <w:highlight w:val="none"/>
                <w:u w:val="none"/>
                <w:lang w:val="en-US" w:eastAsia="zh-CN"/>
              </w:rPr>
            </w:pPr>
            <w:r>
              <w:rPr>
                <w:rFonts w:hint="default" w:ascii="Times New Roman" w:hAnsi="Times New Roman" w:eastAsia="方正仿宋_GBK"/>
                <w:color w:val="000000"/>
                <w:highlight w:val="none"/>
                <w:u w:val="none"/>
                <w:lang w:val="en-US" w:eastAsia="zh-CN"/>
              </w:rPr>
              <w:t>1.5</w:t>
            </w:r>
          </w:p>
        </w:tc>
        <w:tc>
          <w:tcPr>
            <w:tcW w:w="889" w:type="dxa"/>
            <w:noWrap w:val="0"/>
            <w:vAlign w:val="center"/>
          </w:tcPr>
          <w:p>
            <w:pPr>
              <w:spacing w:line="300" w:lineRule="exact"/>
              <w:jc w:val="center"/>
              <w:rPr>
                <w:rFonts w:hint="default" w:ascii="Times New Roman" w:hAnsi="Times New Roman" w:eastAsia="方正仿宋_GBK"/>
                <w:color w:val="000000"/>
                <w:highlight w:val="none"/>
                <w:u w:val="none"/>
                <w:lang w:eastAsia="zh-CN"/>
              </w:rPr>
            </w:pPr>
            <w:r>
              <w:rPr>
                <w:rFonts w:hint="default" w:ascii="Times New Roman" w:hAnsi="Times New Roman" w:eastAsia="方正仿宋_GBK"/>
                <w:color w:val="000000"/>
                <w:highlight w:val="none"/>
                <w:u w:val="none"/>
                <w:lang w:eastAsia="zh-CN"/>
              </w:rPr>
              <w:t>—</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val="en-US" w:eastAsia="zh-CN"/>
              </w:rPr>
            </w:pPr>
            <w:r>
              <w:rPr>
                <w:rFonts w:hint="default" w:ascii="Times New Roman" w:hAnsi="Times New Roman" w:eastAsia="方正仿宋_GBK" w:cs="Times New Roman"/>
                <w:color w:val="auto"/>
                <w:sz w:val="18"/>
                <w:szCs w:val="18"/>
                <w:u w:val="none"/>
                <w:lang w:eastAsia="zh-CN"/>
              </w:rPr>
              <w:t>提高</w:t>
            </w:r>
            <w:r>
              <w:rPr>
                <w:rFonts w:hint="default" w:ascii="Times New Roman" w:hAnsi="Times New Roman" w:eastAsia="方正仿宋_GBK" w:cs="Times New Roman"/>
                <w:color w:val="auto"/>
                <w:sz w:val="18"/>
                <w:szCs w:val="18"/>
                <w:u w:val="none"/>
                <w:lang w:val="en-US" w:eastAsia="zh-CN"/>
              </w:rPr>
              <w:t>0.4</w:t>
            </w:r>
            <w:r>
              <w:rPr>
                <w:rFonts w:hint="eastAsia" w:ascii="Times New Roman" w:hAnsi="Times New Roman" w:eastAsia="方正仿宋_GBK" w:cs="Times New Roman"/>
                <w:color w:val="auto"/>
                <w:sz w:val="18"/>
                <w:szCs w:val="18"/>
                <w:u w:val="none"/>
                <w:lang w:val="en-US" w:eastAsia="zh-CN"/>
              </w:rPr>
              <w:t>6</w:t>
            </w:r>
            <w:r>
              <w:rPr>
                <w:rFonts w:hint="default" w:ascii="Times New Roman" w:hAnsi="Times New Roman" w:eastAsia="方正仿宋_GBK" w:cs="Times New Roman"/>
                <w:color w:val="auto"/>
                <w:sz w:val="18"/>
                <w:szCs w:val="18"/>
                <w:u w:val="none"/>
                <w:lang w:val="en-US" w:eastAsia="zh-CN"/>
              </w:rPr>
              <w:t>个百分点</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12</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每万人口发明专利拥有量（件）</w:t>
            </w:r>
          </w:p>
        </w:tc>
        <w:tc>
          <w:tcPr>
            <w:tcW w:w="899" w:type="dxa"/>
            <w:noWrap w:val="0"/>
            <w:vAlign w:val="center"/>
          </w:tcPr>
          <w:p>
            <w:pPr>
              <w:spacing w:line="300" w:lineRule="exact"/>
              <w:jc w:val="center"/>
              <w:rPr>
                <w:rFonts w:hint="default" w:ascii="Times New Roman" w:hAnsi="Times New Roman" w:eastAsia="方正仿宋_GBK"/>
                <w:color w:val="000000"/>
                <w:highlight w:val="none"/>
                <w:u w:val="none"/>
                <w:lang w:val="en-US" w:eastAsia="zh-CN"/>
              </w:rPr>
            </w:pPr>
            <w:r>
              <w:rPr>
                <w:rFonts w:hint="default" w:ascii="Times New Roman" w:hAnsi="Times New Roman" w:eastAsia="方正仿宋_GBK"/>
                <w:color w:val="000000"/>
                <w:highlight w:val="none"/>
                <w:u w:val="none"/>
                <w:lang w:val="en-US" w:eastAsia="zh-CN"/>
              </w:rPr>
              <w:t>1.1</w:t>
            </w:r>
          </w:p>
        </w:tc>
        <w:tc>
          <w:tcPr>
            <w:tcW w:w="771" w:type="dxa"/>
            <w:noWrap w:val="0"/>
            <w:vAlign w:val="center"/>
          </w:tcPr>
          <w:p>
            <w:pPr>
              <w:spacing w:line="300" w:lineRule="exact"/>
              <w:jc w:val="center"/>
              <w:rPr>
                <w:rFonts w:hint="default" w:ascii="Times New Roman" w:hAnsi="Times New Roman" w:eastAsia="方正仿宋_GBK"/>
                <w:color w:val="000000"/>
                <w:highlight w:val="none"/>
                <w:u w:val="none"/>
                <w:lang w:val="en-US" w:eastAsia="zh-CN"/>
              </w:rPr>
            </w:pPr>
            <w:r>
              <w:rPr>
                <w:rFonts w:hint="default" w:ascii="Times New Roman" w:hAnsi="Times New Roman" w:eastAsia="方正仿宋_GBK"/>
                <w:color w:val="000000"/>
                <w:highlight w:val="none"/>
                <w:u w:val="none"/>
                <w:lang w:val="en-US" w:eastAsia="zh-CN"/>
              </w:rPr>
              <w:t>1.5</w:t>
            </w:r>
          </w:p>
        </w:tc>
        <w:tc>
          <w:tcPr>
            <w:tcW w:w="889" w:type="dxa"/>
            <w:noWrap w:val="0"/>
            <w:vAlign w:val="center"/>
          </w:tcPr>
          <w:p>
            <w:pPr>
              <w:spacing w:line="300" w:lineRule="exact"/>
              <w:jc w:val="center"/>
              <w:rPr>
                <w:rFonts w:hint="default" w:ascii="Times New Roman" w:hAnsi="Times New Roman" w:eastAsia="方正仿宋_GBK"/>
                <w:color w:val="000000"/>
                <w:highlight w:val="none"/>
                <w:u w:val="none"/>
                <w:lang w:val="en-US" w:eastAsia="zh-CN"/>
              </w:rPr>
            </w:pPr>
            <w:r>
              <w:rPr>
                <w:rFonts w:hint="default" w:ascii="Times New Roman" w:hAnsi="Times New Roman" w:eastAsia="方正仿宋_GBK"/>
                <w:color w:val="000000"/>
                <w:highlight w:val="none"/>
                <w:u w:val="none"/>
                <w:lang w:val="en-US" w:eastAsia="zh-CN"/>
              </w:rPr>
              <w:t>—</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val="en-US" w:eastAsia="zh-CN"/>
              </w:rPr>
            </w:pPr>
            <w:r>
              <w:rPr>
                <w:rFonts w:hint="default" w:ascii="Times New Roman" w:hAnsi="Times New Roman" w:eastAsia="方正仿宋_GBK" w:cs="Times New Roman"/>
                <w:color w:val="auto"/>
                <w:sz w:val="18"/>
                <w:szCs w:val="18"/>
                <w:u w:val="none"/>
                <w:lang w:eastAsia="zh-CN"/>
              </w:rPr>
              <w:t>增加</w:t>
            </w:r>
            <w:r>
              <w:rPr>
                <w:rFonts w:hint="default" w:ascii="Times New Roman" w:hAnsi="Times New Roman" w:eastAsia="方正仿宋_GBK" w:cs="Times New Roman"/>
                <w:color w:val="auto"/>
                <w:sz w:val="18"/>
                <w:szCs w:val="18"/>
                <w:u w:val="none"/>
                <w:lang w:val="en-US" w:eastAsia="zh-CN"/>
              </w:rPr>
              <w:t>0.4件/万人</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13</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lang w:eastAsia="zh-CN"/>
              </w:rPr>
              <w:t>高新技术企业数量</w:t>
            </w:r>
          </w:p>
        </w:tc>
        <w:tc>
          <w:tcPr>
            <w:tcW w:w="899"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11</w:t>
            </w:r>
          </w:p>
        </w:tc>
        <w:tc>
          <w:tcPr>
            <w:tcW w:w="771"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16</w:t>
            </w:r>
          </w:p>
        </w:tc>
        <w:tc>
          <w:tcPr>
            <w:tcW w:w="889"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highlight w:val="none"/>
                <w:u w:val="none"/>
                <w:lang w:eastAsia="zh-CN"/>
              </w:rPr>
              <w:t>—</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val="en-US" w:eastAsia="zh-CN"/>
              </w:rPr>
            </w:pPr>
            <w:r>
              <w:rPr>
                <w:rFonts w:hint="default" w:ascii="Times New Roman" w:hAnsi="Times New Roman" w:eastAsia="方正仿宋_GBK" w:cs="Times New Roman"/>
                <w:color w:val="auto"/>
                <w:sz w:val="18"/>
                <w:szCs w:val="18"/>
                <w:u w:val="none"/>
                <w:lang w:eastAsia="zh-CN"/>
              </w:rPr>
              <w:t>增加</w:t>
            </w:r>
            <w:r>
              <w:rPr>
                <w:rFonts w:hint="default" w:ascii="Times New Roman" w:hAnsi="Times New Roman" w:eastAsia="方正仿宋_GBK" w:cs="Times New Roman"/>
                <w:color w:val="auto"/>
                <w:sz w:val="18"/>
                <w:szCs w:val="18"/>
                <w:u w:val="none"/>
                <w:lang w:val="en-US" w:eastAsia="zh-CN"/>
              </w:rPr>
              <w:t>5户以上</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lang w:eastAsia="zh-CN"/>
              </w:rPr>
            </w:pPr>
            <w:r>
              <w:rPr>
                <w:rFonts w:hint="default" w:ascii="Times New Roman" w:hAnsi="Times New Roman" w:eastAsia="方正仿宋_GBK"/>
                <w:color w:val="auto"/>
                <w:sz w:val="18"/>
                <w:szCs w:val="18"/>
                <w:u w:val="none"/>
                <w:lang w:eastAsia="zh-CN"/>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14</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城镇常住居民可支配收入（元）</w:t>
            </w:r>
          </w:p>
        </w:tc>
        <w:tc>
          <w:tcPr>
            <w:tcW w:w="899"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41158</w:t>
            </w:r>
          </w:p>
        </w:tc>
        <w:tc>
          <w:tcPr>
            <w:tcW w:w="771"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55070</w:t>
            </w:r>
          </w:p>
        </w:tc>
        <w:tc>
          <w:tcPr>
            <w:tcW w:w="889"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6%</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val="en-US" w:eastAsia="zh-CN"/>
              </w:rPr>
            </w:pPr>
            <w:r>
              <w:rPr>
                <w:rFonts w:hint="default" w:ascii="Times New Roman" w:hAnsi="Times New Roman" w:eastAsia="方正仿宋_GBK" w:cs="Times New Roman"/>
                <w:color w:val="auto"/>
                <w:sz w:val="18"/>
                <w:szCs w:val="18"/>
                <w:u w:val="none"/>
                <w:lang w:val="en-US" w:eastAsia="zh-CN"/>
              </w:rPr>
              <w:t>—</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15</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农村常住居民可支配收入（元）</w:t>
            </w:r>
          </w:p>
        </w:tc>
        <w:tc>
          <w:tcPr>
            <w:tcW w:w="899"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157</w:t>
            </w:r>
            <w:r>
              <w:rPr>
                <w:rFonts w:hint="eastAsia" w:ascii="Times New Roman" w:hAnsi="Times New Roman" w:eastAsia="方正仿宋_GBK"/>
                <w:color w:val="000000"/>
                <w:u w:val="none"/>
                <w:lang w:val="en-US" w:eastAsia="zh-CN"/>
              </w:rPr>
              <w:t>01</w:t>
            </w:r>
          </w:p>
        </w:tc>
        <w:tc>
          <w:tcPr>
            <w:tcW w:w="771"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23200</w:t>
            </w:r>
          </w:p>
        </w:tc>
        <w:tc>
          <w:tcPr>
            <w:tcW w:w="889"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8%</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eastAsia="zh-CN"/>
              </w:rPr>
            </w:pPr>
            <w:r>
              <w:rPr>
                <w:rFonts w:hint="default" w:ascii="Times New Roman" w:hAnsi="Times New Roman" w:eastAsia="方正仿宋_GBK" w:cs="Times New Roman"/>
                <w:color w:val="auto"/>
                <w:sz w:val="18"/>
                <w:szCs w:val="18"/>
                <w:u w:val="none"/>
                <w:lang w:eastAsia="zh-CN"/>
              </w:rPr>
              <w:t>—</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16</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人均预期寿命（岁）</w:t>
            </w:r>
          </w:p>
        </w:tc>
        <w:tc>
          <w:tcPr>
            <w:tcW w:w="899" w:type="dxa"/>
            <w:noWrap w:val="0"/>
            <w:vAlign w:val="center"/>
          </w:tcPr>
          <w:p>
            <w:pPr>
              <w:spacing w:line="300" w:lineRule="exact"/>
              <w:jc w:val="center"/>
              <w:rPr>
                <w:rFonts w:hint="default" w:ascii="Times New Roman" w:hAnsi="Times New Roman" w:eastAsia="方正仿宋_GBK"/>
                <w:color w:val="000000"/>
                <w:highlight w:val="none"/>
                <w:u w:val="none"/>
                <w:lang w:val="en-US" w:eastAsia="zh-CN"/>
              </w:rPr>
            </w:pPr>
            <w:r>
              <w:rPr>
                <w:rFonts w:hint="default" w:ascii="Times New Roman" w:hAnsi="Times New Roman" w:eastAsia="方正仿宋_GBK"/>
                <w:color w:val="000000"/>
                <w:highlight w:val="none"/>
                <w:u w:val="none"/>
                <w:lang w:val="en-US" w:eastAsia="zh-CN"/>
              </w:rPr>
              <w:t>77.3</w:t>
            </w:r>
          </w:p>
        </w:tc>
        <w:tc>
          <w:tcPr>
            <w:tcW w:w="771" w:type="dxa"/>
            <w:noWrap w:val="0"/>
            <w:vAlign w:val="center"/>
          </w:tcPr>
          <w:p>
            <w:pPr>
              <w:spacing w:line="300" w:lineRule="exact"/>
              <w:jc w:val="center"/>
              <w:rPr>
                <w:rFonts w:hint="default" w:ascii="Times New Roman" w:hAnsi="Times New Roman" w:eastAsia="方正仿宋_GBK"/>
                <w:color w:val="000000"/>
                <w:highlight w:val="none"/>
                <w:u w:val="none"/>
                <w:lang w:val="en-US" w:eastAsia="zh-CN"/>
              </w:rPr>
            </w:pPr>
            <w:r>
              <w:rPr>
                <w:rFonts w:hint="default" w:ascii="Times New Roman" w:hAnsi="Times New Roman" w:eastAsia="方正仿宋_GBK"/>
                <w:color w:val="000000"/>
                <w:highlight w:val="none"/>
                <w:u w:val="none"/>
                <w:lang w:val="en-US" w:eastAsia="zh-CN"/>
              </w:rPr>
              <w:t>78</w:t>
            </w:r>
          </w:p>
        </w:tc>
        <w:tc>
          <w:tcPr>
            <w:tcW w:w="889" w:type="dxa"/>
            <w:noWrap w:val="0"/>
            <w:vAlign w:val="center"/>
          </w:tcPr>
          <w:p>
            <w:pPr>
              <w:spacing w:line="300" w:lineRule="exact"/>
              <w:jc w:val="center"/>
              <w:rPr>
                <w:rFonts w:hint="default" w:ascii="Times New Roman" w:hAnsi="Times New Roman" w:eastAsia="方正仿宋_GBK"/>
                <w:color w:val="000000"/>
                <w:highlight w:val="none"/>
                <w:u w:val="none"/>
                <w:lang w:val="en-US" w:eastAsia="zh-CN"/>
              </w:rPr>
            </w:pPr>
            <w:r>
              <w:rPr>
                <w:rFonts w:hint="default" w:ascii="Times New Roman" w:hAnsi="Times New Roman" w:eastAsia="方正仿宋_GBK"/>
                <w:color w:val="000000"/>
                <w:highlight w:val="none"/>
                <w:u w:val="none"/>
                <w:lang w:val="en-US" w:eastAsia="zh-CN"/>
              </w:rPr>
              <w:t>—</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rPr>
            </w:pPr>
            <w:r>
              <w:rPr>
                <w:rFonts w:hint="default" w:ascii="Times New Roman" w:hAnsi="Times New Roman" w:eastAsia="方正仿宋_GBK" w:cs="Times New Roman"/>
                <w:color w:val="000000"/>
                <w:sz w:val="18"/>
                <w:szCs w:val="18"/>
                <w:highlight w:val="none"/>
                <w:u w:val="none"/>
                <w:lang w:val="en-US" w:eastAsia="zh-CN"/>
              </w:rPr>
              <w:t>0.7岁</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shd w:val="clear" w:color="auto" w:fill="auto"/>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17</w:t>
            </w:r>
          </w:p>
        </w:tc>
        <w:tc>
          <w:tcPr>
            <w:tcW w:w="642" w:type="dxa"/>
            <w:vMerge w:val="continue"/>
            <w:shd w:val="clear" w:color="auto" w:fill="auto"/>
            <w:noWrap w:val="0"/>
            <w:vAlign w:val="center"/>
          </w:tcPr>
          <w:p>
            <w:pPr>
              <w:spacing w:line="300" w:lineRule="exact"/>
              <w:jc w:val="center"/>
              <w:rPr>
                <w:rFonts w:hint="default" w:ascii="Times New Roman" w:hAnsi="Times New Roman" w:eastAsia="方正仿宋_GBK"/>
                <w:b/>
                <w:color w:val="auto"/>
                <w:u w:val="none"/>
              </w:rPr>
            </w:pPr>
          </w:p>
        </w:tc>
        <w:tc>
          <w:tcPr>
            <w:tcW w:w="2967" w:type="dxa"/>
            <w:shd w:val="clear" w:color="auto" w:fill="auto"/>
            <w:noWrap w:val="0"/>
            <w:vAlign w:val="center"/>
          </w:tcPr>
          <w:p>
            <w:pPr>
              <w:spacing w:line="300" w:lineRule="exact"/>
              <w:jc w:val="center"/>
              <w:rPr>
                <w:rFonts w:hint="default" w:ascii="Times New Roman" w:hAnsi="Times New Roman" w:eastAsia="方正仿宋_GBK"/>
                <w:color w:val="000000"/>
                <w:u w:val="none"/>
              </w:rPr>
            </w:pPr>
            <w:r>
              <w:rPr>
                <w:rFonts w:hint="default" w:ascii="Times New Roman" w:hAnsi="Times New Roman" w:eastAsia="方正仿宋_GBK"/>
                <w:color w:val="000000"/>
                <w:u w:val="none"/>
              </w:rPr>
              <w:t>城镇</w:t>
            </w:r>
            <w:r>
              <w:rPr>
                <w:rFonts w:hint="default" w:ascii="Times New Roman" w:hAnsi="Times New Roman" w:eastAsia="方正仿宋_GBK"/>
                <w:color w:val="000000"/>
                <w:u w:val="none"/>
                <w:lang w:eastAsia="zh-CN"/>
              </w:rPr>
              <w:t>登记</w:t>
            </w:r>
            <w:r>
              <w:rPr>
                <w:rFonts w:hint="default" w:ascii="Times New Roman" w:hAnsi="Times New Roman" w:eastAsia="方正仿宋_GBK"/>
                <w:color w:val="000000"/>
                <w:u w:val="none"/>
              </w:rPr>
              <w:t>失业率（%）</w:t>
            </w:r>
          </w:p>
        </w:tc>
        <w:tc>
          <w:tcPr>
            <w:tcW w:w="899" w:type="dxa"/>
            <w:shd w:val="clear" w:color="auto" w:fill="auto"/>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rPr>
              <w:t>3.4</w:t>
            </w:r>
            <w:r>
              <w:rPr>
                <w:rFonts w:hint="default" w:ascii="Times New Roman" w:hAnsi="Times New Roman" w:eastAsia="方正仿宋_GBK"/>
                <w:color w:val="000000"/>
                <w:u w:val="none"/>
                <w:lang w:val="en-US" w:eastAsia="zh-CN"/>
              </w:rPr>
              <w:t>0</w:t>
            </w:r>
          </w:p>
        </w:tc>
        <w:tc>
          <w:tcPr>
            <w:tcW w:w="2696" w:type="dxa"/>
            <w:gridSpan w:val="3"/>
            <w:shd w:val="clear" w:color="auto" w:fill="auto"/>
            <w:noWrap w:val="0"/>
            <w:vAlign w:val="center"/>
          </w:tcPr>
          <w:p>
            <w:pPr>
              <w:spacing w:line="300" w:lineRule="exact"/>
              <w:jc w:val="both"/>
              <w:rPr>
                <w:rFonts w:hint="default" w:ascii="Times New Roman" w:hAnsi="Times New Roman" w:eastAsia="方正仿宋_GBK" w:cs="Times New Roman"/>
                <w:color w:val="auto"/>
                <w:sz w:val="18"/>
                <w:szCs w:val="18"/>
                <w:u w:val="none"/>
                <w:lang w:val="en-US" w:eastAsia="zh-CN"/>
              </w:rPr>
            </w:pPr>
            <w:r>
              <w:rPr>
                <w:rFonts w:hint="default" w:ascii="Times New Roman" w:hAnsi="Times New Roman" w:eastAsia="方正仿宋_GBK" w:cs="Times New Roman"/>
                <w:color w:val="auto"/>
                <w:sz w:val="18"/>
                <w:szCs w:val="18"/>
                <w:u w:val="none"/>
                <w:lang w:eastAsia="zh-CN"/>
              </w:rPr>
              <w:t>控制在</w:t>
            </w:r>
            <w:r>
              <w:rPr>
                <w:rFonts w:hint="default" w:ascii="Times New Roman" w:hAnsi="Times New Roman" w:eastAsia="方正仿宋_GBK" w:cs="Times New Roman"/>
                <w:color w:val="auto"/>
                <w:sz w:val="18"/>
                <w:szCs w:val="18"/>
                <w:u w:val="none"/>
                <w:lang w:val="en-US" w:eastAsia="zh-CN"/>
              </w:rPr>
              <w:t>5.5%以内</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18</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新增劳动力平均受教育年限（年）</w:t>
            </w:r>
          </w:p>
        </w:tc>
        <w:tc>
          <w:tcPr>
            <w:tcW w:w="899" w:type="dxa"/>
            <w:noWrap w:val="0"/>
            <w:vAlign w:val="center"/>
          </w:tcPr>
          <w:p>
            <w:pPr>
              <w:spacing w:line="300" w:lineRule="exact"/>
              <w:jc w:val="center"/>
              <w:rPr>
                <w:rFonts w:hint="default" w:ascii="Times New Roman" w:hAnsi="Times New Roman" w:eastAsia="方正仿宋_GBK"/>
                <w:color w:val="000000"/>
                <w:u w:val="none"/>
              </w:rPr>
            </w:pPr>
            <w:r>
              <w:rPr>
                <w:rFonts w:hint="default" w:ascii="Times New Roman" w:hAnsi="Times New Roman" w:eastAsia="方正仿宋_GBK"/>
                <w:color w:val="000000"/>
                <w:u w:val="none"/>
              </w:rPr>
              <w:t>10.93</w:t>
            </w:r>
          </w:p>
        </w:tc>
        <w:tc>
          <w:tcPr>
            <w:tcW w:w="771" w:type="dxa"/>
            <w:noWrap w:val="0"/>
            <w:vAlign w:val="center"/>
          </w:tcPr>
          <w:p>
            <w:pPr>
              <w:spacing w:line="300" w:lineRule="exact"/>
              <w:jc w:val="center"/>
              <w:rPr>
                <w:rFonts w:hint="default" w:ascii="Times New Roman" w:hAnsi="Times New Roman" w:eastAsia="方正仿宋_GBK"/>
                <w:color w:val="000000"/>
                <w:u w:val="none"/>
              </w:rPr>
            </w:pPr>
            <w:r>
              <w:rPr>
                <w:rFonts w:hint="default" w:ascii="Times New Roman" w:hAnsi="Times New Roman" w:eastAsia="方正仿宋_GBK"/>
                <w:color w:val="000000"/>
                <w:u w:val="none"/>
                <w:lang w:val="en-US" w:eastAsia="zh-CN"/>
              </w:rPr>
              <w:t>14</w:t>
            </w:r>
          </w:p>
        </w:tc>
        <w:tc>
          <w:tcPr>
            <w:tcW w:w="889" w:type="dxa"/>
            <w:noWrap w:val="0"/>
            <w:vAlign w:val="center"/>
          </w:tcPr>
          <w:p>
            <w:pPr>
              <w:spacing w:line="300" w:lineRule="exact"/>
              <w:jc w:val="center"/>
              <w:rPr>
                <w:rFonts w:hint="default" w:ascii="Times New Roman" w:hAnsi="Times New Roman" w:eastAsia="方正仿宋_GBK"/>
                <w:color w:val="FF0000"/>
                <w:u w:val="none"/>
                <w:lang w:val="en-US" w:eastAsia="zh-CN"/>
              </w:rPr>
            </w:pPr>
            <w:r>
              <w:rPr>
                <w:rFonts w:hint="default" w:ascii="Times New Roman" w:hAnsi="Times New Roman" w:eastAsia="方正仿宋_GBK"/>
                <w:color w:val="000000"/>
                <w:u w:val="none"/>
                <w:lang w:val="en-US" w:eastAsia="zh-CN"/>
              </w:rPr>
              <w:t>—</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rPr>
            </w:pPr>
            <w:r>
              <w:rPr>
                <w:rFonts w:hint="default" w:ascii="Times New Roman" w:hAnsi="Times New Roman" w:eastAsia="方正仿宋_GBK" w:cs="Times New Roman"/>
                <w:color w:val="000000"/>
                <w:sz w:val="18"/>
                <w:szCs w:val="18"/>
                <w:u w:val="none"/>
                <w:lang w:val="en-US" w:eastAsia="zh-CN"/>
              </w:rPr>
              <w:t>增加3.07年</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19</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每千人口拥有执业（助理）医师数（人）</w:t>
            </w:r>
          </w:p>
        </w:tc>
        <w:tc>
          <w:tcPr>
            <w:tcW w:w="899"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2.23</w:t>
            </w:r>
          </w:p>
        </w:tc>
        <w:tc>
          <w:tcPr>
            <w:tcW w:w="771"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2.77</w:t>
            </w:r>
          </w:p>
        </w:tc>
        <w:tc>
          <w:tcPr>
            <w:tcW w:w="889" w:type="dxa"/>
            <w:noWrap w:val="0"/>
            <w:vAlign w:val="center"/>
          </w:tcPr>
          <w:p>
            <w:pPr>
              <w:spacing w:line="300" w:lineRule="exact"/>
              <w:jc w:val="center"/>
              <w:rPr>
                <w:rFonts w:hint="default" w:ascii="Times New Roman" w:hAnsi="Times New Roman" w:eastAsia="方正仿宋_GBK"/>
                <w:color w:val="auto"/>
                <w:u w:val="none"/>
                <w:lang w:eastAsia="zh-CN"/>
              </w:rPr>
            </w:pPr>
            <w:r>
              <w:rPr>
                <w:rFonts w:hint="default" w:ascii="Times New Roman" w:hAnsi="Times New Roman" w:eastAsia="方正仿宋_GBK"/>
                <w:color w:val="auto"/>
                <w:u w:val="none"/>
                <w:lang w:eastAsia="zh-CN"/>
              </w:rPr>
              <w:t>—</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val="en-US" w:eastAsia="zh-CN"/>
              </w:rPr>
            </w:pPr>
            <w:r>
              <w:rPr>
                <w:rFonts w:hint="default" w:ascii="Times New Roman" w:hAnsi="Times New Roman" w:eastAsia="方正仿宋_GBK" w:cs="Times New Roman"/>
                <w:color w:val="auto"/>
                <w:sz w:val="18"/>
                <w:szCs w:val="18"/>
                <w:u w:val="none"/>
                <w:lang w:eastAsia="zh-CN"/>
              </w:rPr>
              <w:t>增加</w:t>
            </w:r>
            <w:r>
              <w:rPr>
                <w:rFonts w:hint="default" w:ascii="Times New Roman" w:hAnsi="Times New Roman" w:eastAsia="方正仿宋_GBK" w:cs="Times New Roman"/>
                <w:color w:val="auto"/>
                <w:sz w:val="18"/>
                <w:szCs w:val="18"/>
                <w:u w:val="none"/>
                <w:lang w:val="en-US" w:eastAsia="zh-CN"/>
              </w:rPr>
              <w:t>0.54名/千人</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20</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基本养老保险参保率（%）</w:t>
            </w:r>
          </w:p>
        </w:tc>
        <w:tc>
          <w:tcPr>
            <w:tcW w:w="899"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92%</w:t>
            </w:r>
          </w:p>
        </w:tc>
        <w:tc>
          <w:tcPr>
            <w:tcW w:w="771"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95%</w:t>
            </w:r>
          </w:p>
        </w:tc>
        <w:tc>
          <w:tcPr>
            <w:tcW w:w="889" w:type="dxa"/>
            <w:noWrap w:val="0"/>
            <w:vAlign w:val="center"/>
          </w:tcPr>
          <w:p>
            <w:pPr>
              <w:spacing w:line="300" w:lineRule="exact"/>
              <w:jc w:val="center"/>
              <w:rPr>
                <w:rFonts w:hint="default" w:ascii="Times New Roman" w:hAnsi="Times New Roman" w:eastAsia="方正仿宋_GBK"/>
                <w:color w:val="auto"/>
                <w:u w:val="none"/>
                <w:lang w:eastAsia="zh-CN"/>
              </w:rPr>
            </w:pPr>
            <w:r>
              <w:rPr>
                <w:rFonts w:hint="default" w:ascii="Times New Roman" w:hAnsi="Times New Roman" w:eastAsia="方正仿宋_GBK"/>
                <w:color w:val="auto"/>
                <w:u w:val="none"/>
                <w:lang w:eastAsia="zh-CN"/>
              </w:rPr>
              <w:t>—</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val="en-US" w:eastAsia="zh-CN"/>
              </w:rPr>
            </w:pPr>
            <w:r>
              <w:rPr>
                <w:rFonts w:hint="default" w:ascii="Times New Roman" w:hAnsi="Times New Roman" w:eastAsia="方正仿宋_GBK" w:cs="Times New Roman"/>
                <w:color w:val="auto"/>
                <w:sz w:val="18"/>
                <w:szCs w:val="18"/>
                <w:u w:val="none"/>
                <w:lang w:eastAsia="zh-CN"/>
              </w:rPr>
              <w:t>提高</w:t>
            </w:r>
            <w:r>
              <w:rPr>
                <w:rFonts w:hint="default" w:ascii="Times New Roman" w:hAnsi="Times New Roman" w:eastAsia="方正仿宋_GBK" w:cs="Times New Roman"/>
                <w:color w:val="auto"/>
                <w:sz w:val="18"/>
                <w:szCs w:val="18"/>
                <w:u w:val="none"/>
                <w:lang w:val="en-US" w:eastAsia="zh-CN"/>
              </w:rPr>
              <w:t>3个百分点</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21</w:t>
            </w:r>
          </w:p>
        </w:tc>
        <w:tc>
          <w:tcPr>
            <w:tcW w:w="642" w:type="dxa"/>
            <w:vMerge w:val="restart"/>
            <w:noWrap w:val="0"/>
            <w:vAlign w:val="center"/>
          </w:tcPr>
          <w:p>
            <w:pPr>
              <w:spacing w:line="300" w:lineRule="exact"/>
              <w:jc w:val="center"/>
              <w:rPr>
                <w:rFonts w:hint="default" w:ascii="Times New Roman" w:hAnsi="Times New Roman" w:eastAsia="方正仿宋_GBK"/>
                <w:b/>
                <w:color w:val="auto"/>
                <w:u w:val="none"/>
              </w:rPr>
            </w:pPr>
            <w:r>
              <w:rPr>
                <w:rFonts w:hint="default" w:ascii="Times New Roman" w:hAnsi="Times New Roman" w:eastAsia="方正仿宋_GBK"/>
                <w:b/>
                <w:color w:val="auto"/>
                <w:u w:val="none"/>
              </w:rPr>
              <w:t>生态环境</w:t>
            </w: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单位GDP能源消耗降幅（%）</w:t>
            </w:r>
          </w:p>
        </w:tc>
        <w:tc>
          <w:tcPr>
            <w:tcW w:w="899" w:type="dxa"/>
            <w:noWrap w:val="0"/>
            <w:vAlign w:val="center"/>
          </w:tcPr>
          <w:p>
            <w:pPr>
              <w:spacing w:line="300" w:lineRule="exact"/>
              <w:jc w:val="center"/>
              <w:rPr>
                <w:rFonts w:hint="default" w:ascii="Times New Roman" w:hAnsi="Times New Roman" w:eastAsia="方正仿宋_GBK"/>
                <w:color w:val="000000"/>
                <w:u w:val="none"/>
              </w:rPr>
            </w:pPr>
            <w:r>
              <w:rPr>
                <w:rFonts w:hint="default" w:ascii="Times New Roman" w:hAnsi="Times New Roman" w:eastAsia="方正仿宋_GBK"/>
                <w:color w:val="000000"/>
                <w:sz w:val="16"/>
                <w:szCs w:val="18"/>
                <w:u w:val="none"/>
                <w:lang w:val="en-US" w:eastAsia="zh-CN"/>
              </w:rPr>
              <w:t>上升5</w:t>
            </w:r>
            <w:r>
              <w:rPr>
                <w:rFonts w:hint="default" w:ascii="Times New Roman" w:hAnsi="Times New Roman" w:eastAsia="方正仿宋_GBK"/>
                <w:color w:val="000000"/>
                <w:u w:val="none"/>
                <w:lang w:val="en-US" w:eastAsia="zh-CN"/>
              </w:rPr>
              <w:t>%</w:t>
            </w:r>
          </w:p>
        </w:tc>
        <w:tc>
          <w:tcPr>
            <w:tcW w:w="2696" w:type="dxa"/>
            <w:gridSpan w:val="3"/>
            <w:noWrap w:val="0"/>
            <w:vAlign w:val="center"/>
          </w:tcPr>
          <w:p>
            <w:pPr>
              <w:spacing w:line="300" w:lineRule="exact"/>
              <w:jc w:val="center"/>
              <w:rPr>
                <w:rFonts w:hint="default" w:ascii="Times New Roman" w:hAnsi="Times New Roman" w:eastAsia="方正仿宋_GBK" w:cs="Times New Roman"/>
                <w:color w:val="auto"/>
                <w:sz w:val="18"/>
                <w:szCs w:val="18"/>
                <w:u w:val="none"/>
                <w:lang w:eastAsia="zh-CN"/>
              </w:rPr>
            </w:pPr>
            <w:r>
              <w:rPr>
                <w:rFonts w:hint="default" w:ascii="Times New Roman" w:hAnsi="Times New Roman" w:eastAsia="方正仿宋_GBK"/>
                <w:color w:val="000000"/>
                <w:sz w:val="15"/>
                <w:szCs w:val="15"/>
                <w:u w:val="none"/>
                <w:lang w:eastAsia="zh-CN"/>
              </w:rPr>
              <w:t>完成市级下达的目标任务</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lang w:eastAsia="zh-CN"/>
              </w:rPr>
            </w:pPr>
            <w:r>
              <w:rPr>
                <w:rFonts w:hint="default" w:ascii="Times New Roman" w:hAnsi="Times New Roman" w:eastAsia="方正仿宋_GBK"/>
                <w:color w:val="auto"/>
                <w:sz w:val="18"/>
                <w:szCs w:val="18"/>
                <w:u w:val="none"/>
                <w:lang w:eastAsia="zh-CN"/>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22</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单位GDP二氧化碳排放降幅（%）</w:t>
            </w:r>
          </w:p>
        </w:tc>
        <w:tc>
          <w:tcPr>
            <w:tcW w:w="899"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000000"/>
                <w:u w:val="none"/>
              </w:rPr>
              <w:t>1%</w:t>
            </w:r>
          </w:p>
        </w:tc>
        <w:tc>
          <w:tcPr>
            <w:tcW w:w="2696" w:type="dxa"/>
            <w:gridSpan w:val="3"/>
            <w:noWrap w:val="0"/>
            <w:vAlign w:val="center"/>
          </w:tcPr>
          <w:p>
            <w:pPr>
              <w:spacing w:line="300" w:lineRule="exact"/>
              <w:jc w:val="center"/>
              <w:rPr>
                <w:rFonts w:hint="default" w:ascii="Times New Roman" w:hAnsi="Times New Roman" w:eastAsia="方正仿宋_GBK" w:cs="Times New Roman"/>
                <w:color w:val="auto"/>
                <w:sz w:val="18"/>
                <w:szCs w:val="18"/>
                <w:u w:val="none"/>
              </w:rPr>
            </w:pPr>
            <w:r>
              <w:rPr>
                <w:rFonts w:hint="default" w:ascii="Times New Roman" w:hAnsi="Times New Roman" w:eastAsia="方正仿宋_GBK"/>
                <w:color w:val="auto"/>
                <w:sz w:val="15"/>
                <w:szCs w:val="15"/>
                <w:u w:val="none"/>
              </w:rPr>
              <w:t>控制在国家下达指标内</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23</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中心城区及县城空气质量优良率（%）</w:t>
            </w:r>
          </w:p>
        </w:tc>
        <w:tc>
          <w:tcPr>
            <w:tcW w:w="899" w:type="dxa"/>
            <w:noWrap w:val="0"/>
            <w:vAlign w:val="center"/>
          </w:tcPr>
          <w:p>
            <w:pPr>
              <w:spacing w:line="300" w:lineRule="exact"/>
              <w:jc w:val="center"/>
              <w:rPr>
                <w:rFonts w:hint="default" w:ascii="Times New Roman" w:hAnsi="Times New Roman" w:eastAsia="方正仿宋_GBK"/>
                <w:color w:val="000000"/>
                <w:u w:val="none"/>
              </w:rPr>
            </w:pPr>
            <w:r>
              <w:rPr>
                <w:rFonts w:hint="default" w:ascii="Times New Roman" w:hAnsi="Times New Roman" w:eastAsia="方正仿宋_GBK"/>
                <w:color w:val="000000"/>
                <w:u w:val="none"/>
              </w:rPr>
              <w:t>99.72%</w:t>
            </w:r>
          </w:p>
        </w:tc>
        <w:tc>
          <w:tcPr>
            <w:tcW w:w="2696" w:type="dxa"/>
            <w:gridSpan w:val="3"/>
            <w:noWrap w:val="0"/>
            <w:vAlign w:val="center"/>
          </w:tcPr>
          <w:p>
            <w:pPr>
              <w:spacing w:line="300" w:lineRule="exact"/>
              <w:jc w:val="center"/>
              <w:rPr>
                <w:rFonts w:hint="default" w:ascii="Times New Roman" w:hAnsi="Times New Roman" w:eastAsia="方正仿宋_GBK" w:cs="Times New Roman"/>
                <w:color w:val="000000"/>
                <w:sz w:val="18"/>
                <w:szCs w:val="18"/>
                <w:u w:val="none"/>
              </w:rPr>
            </w:pPr>
            <w:r>
              <w:rPr>
                <w:rFonts w:hint="default" w:ascii="Times New Roman" w:hAnsi="Times New Roman" w:eastAsia="方正仿宋_GBK"/>
                <w:color w:val="000000"/>
                <w:sz w:val="15"/>
                <w:szCs w:val="15"/>
                <w:u w:val="none"/>
              </w:rPr>
              <w:t>预期性控制在国家下达指标内</w:t>
            </w:r>
          </w:p>
        </w:tc>
        <w:tc>
          <w:tcPr>
            <w:tcW w:w="803" w:type="dxa"/>
            <w:noWrap w:val="0"/>
            <w:vAlign w:val="center"/>
          </w:tcPr>
          <w:p>
            <w:pPr>
              <w:spacing w:line="300" w:lineRule="exact"/>
              <w:jc w:val="center"/>
              <w:rPr>
                <w:rFonts w:hint="default" w:ascii="Times New Roman" w:hAnsi="Times New Roman" w:eastAsia="方正仿宋_GBK"/>
                <w:color w:val="000000"/>
                <w:sz w:val="18"/>
                <w:szCs w:val="18"/>
                <w:u w:val="none"/>
              </w:rPr>
            </w:pPr>
            <w:r>
              <w:rPr>
                <w:rFonts w:hint="default" w:ascii="Times New Roman" w:hAnsi="Times New Roman" w:eastAsia="方正仿宋_GBK"/>
                <w:color w:val="000000"/>
                <w:sz w:val="18"/>
                <w:szCs w:val="18"/>
                <w:u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highlight w:val="yellow"/>
                <w:u w:val="none"/>
                <w:lang w:val="en-US" w:eastAsia="zh-CN"/>
              </w:rPr>
            </w:pPr>
            <w:r>
              <w:rPr>
                <w:rFonts w:hint="default" w:ascii="Times New Roman" w:hAnsi="Times New Roman" w:eastAsia="方正仿宋_GBK"/>
                <w:color w:val="auto"/>
                <w:u w:val="none"/>
              </w:rPr>
              <w:t>2</w:t>
            </w:r>
            <w:r>
              <w:rPr>
                <w:rFonts w:hint="default" w:ascii="Times New Roman" w:hAnsi="Times New Roman" w:eastAsia="方正仿宋_GBK"/>
                <w:color w:val="auto"/>
                <w:u w:val="none"/>
                <w:lang w:val="en-US" w:eastAsia="zh-CN"/>
              </w:rPr>
              <w:t>4</w:t>
            </w:r>
          </w:p>
        </w:tc>
        <w:tc>
          <w:tcPr>
            <w:tcW w:w="642" w:type="dxa"/>
            <w:vMerge w:val="continue"/>
            <w:noWrap w:val="0"/>
            <w:vAlign w:val="center"/>
          </w:tcPr>
          <w:p>
            <w:pPr>
              <w:spacing w:line="300" w:lineRule="exact"/>
              <w:jc w:val="center"/>
              <w:rPr>
                <w:rFonts w:hint="default" w:ascii="Times New Roman" w:hAnsi="Times New Roman" w:eastAsia="方正仿宋_GBK"/>
                <w:b/>
                <w:color w:val="auto"/>
                <w:highlight w:val="yellow"/>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城市污水集中处理率（%）</w:t>
            </w:r>
          </w:p>
        </w:tc>
        <w:tc>
          <w:tcPr>
            <w:tcW w:w="899" w:type="dxa"/>
            <w:noWrap w:val="0"/>
            <w:vAlign w:val="center"/>
          </w:tcPr>
          <w:p>
            <w:pPr>
              <w:spacing w:line="300" w:lineRule="exact"/>
              <w:jc w:val="center"/>
              <w:rPr>
                <w:rFonts w:hint="default" w:ascii="Times New Roman" w:hAnsi="Times New Roman" w:eastAsia="方正仿宋_GBK"/>
                <w:color w:val="000000"/>
                <w:highlight w:val="none"/>
                <w:u w:val="none"/>
                <w:lang w:val="en-US" w:eastAsia="zh-CN"/>
              </w:rPr>
            </w:pPr>
            <w:r>
              <w:rPr>
                <w:rFonts w:hint="default" w:ascii="Times New Roman" w:hAnsi="Times New Roman" w:eastAsia="方正仿宋_GBK"/>
                <w:color w:val="000000"/>
                <w:highlight w:val="none"/>
                <w:u w:val="none"/>
                <w:lang w:val="en-US" w:eastAsia="zh-CN"/>
              </w:rPr>
              <w:t>96.59</w:t>
            </w:r>
          </w:p>
        </w:tc>
        <w:tc>
          <w:tcPr>
            <w:tcW w:w="771" w:type="dxa"/>
            <w:noWrap w:val="0"/>
            <w:vAlign w:val="center"/>
          </w:tcPr>
          <w:p>
            <w:pPr>
              <w:spacing w:line="300" w:lineRule="exact"/>
              <w:jc w:val="center"/>
              <w:rPr>
                <w:rFonts w:hint="default" w:ascii="Times New Roman" w:hAnsi="Times New Roman" w:eastAsia="方正仿宋_GBK"/>
                <w:color w:val="000000"/>
                <w:highlight w:val="none"/>
                <w:u w:val="none"/>
                <w:lang w:val="en-US" w:eastAsia="zh-CN"/>
              </w:rPr>
            </w:pPr>
            <w:r>
              <w:rPr>
                <w:rFonts w:hint="default" w:ascii="Times New Roman" w:hAnsi="Times New Roman" w:eastAsia="方正仿宋_GBK"/>
                <w:color w:val="000000"/>
                <w:highlight w:val="none"/>
                <w:u w:val="none"/>
                <w:lang w:val="en-US" w:eastAsia="zh-CN"/>
              </w:rPr>
              <w:t>97</w:t>
            </w:r>
          </w:p>
        </w:tc>
        <w:tc>
          <w:tcPr>
            <w:tcW w:w="889" w:type="dxa"/>
            <w:noWrap w:val="0"/>
            <w:vAlign w:val="center"/>
          </w:tcPr>
          <w:p>
            <w:pPr>
              <w:spacing w:line="300" w:lineRule="exact"/>
              <w:jc w:val="center"/>
              <w:rPr>
                <w:rFonts w:hint="default" w:ascii="Times New Roman" w:hAnsi="Times New Roman" w:eastAsia="方正仿宋_GBK"/>
                <w:color w:val="000000"/>
                <w:highlight w:val="none"/>
                <w:u w:val="none"/>
                <w:lang w:val="en-US" w:eastAsia="zh-CN"/>
              </w:rPr>
            </w:pPr>
            <w:r>
              <w:rPr>
                <w:rFonts w:hint="default" w:ascii="Times New Roman" w:hAnsi="Times New Roman" w:eastAsia="方正仿宋_GBK"/>
                <w:color w:val="000000"/>
                <w:highlight w:val="none"/>
                <w:u w:val="none"/>
                <w:lang w:val="en-US" w:eastAsia="zh-CN"/>
              </w:rPr>
              <w:t>—</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rPr>
            </w:pPr>
            <w:r>
              <w:rPr>
                <w:rFonts w:hint="default" w:ascii="Times New Roman" w:hAnsi="Times New Roman" w:eastAsia="方正仿宋_GBK" w:cs="Times New Roman"/>
                <w:color w:val="000000"/>
                <w:sz w:val="18"/>
                <w:szCs w:val="18"/>
                <w:highlight w:val="none"/>
                <w:u w:val="none"/>
                <w:lang w:val="en-US" w:eastAsia="zh-CN"/>
              </w:rPr>
              <w:t>提高0.4个百分点</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rPr>
              <w:t>2</w:t>
            </w:r>
            <w:r>
              <w:rPr>
                <w:rFonts w:hint="default" w:ascii="Times New Roman" w:hAnsi="Times New Roman" w:eastAsia="方正仿宋_GBK"/>
                <w:color w:val="auto"/>
                <w:u w:val="none"/>
                <w:lang w:val="en-US" w:eastAsia="zh-CN"/>
              </w:rPr>
              <w:t>5</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城镇生活垃圾无害化处理率（%）</w:t>
            </w:r>
          </w:p>
        </w:tc>
        <w:tc>
          <w:tcPr>
            <w:tcW w:w="899"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100</w:t>
            </w:r>
          </w:p>
        </w:tc>
        <w:tc>
          <w:tcPr>
            <w:tcW w:w="771"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100</w:t>
            </w:r>
          </w:p>
        </w:tc>
        <w:tc>
          <w:tcPr>
            <w:tcW w:w="889"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eastAsia="zh-CN"/>
              </w:rPr>
            </w:pPr>
            <w:r>
              <w:rPr>
                <w:rFonts w:hint="default" w:ascii="Times New Roman" w:hAnsi="Times New Roman" w:eastAsia="方正仿宋_GBK" w:cs="Times New Roman"/>
                <w:color w:val="auto"/>
                <w:sz w:val="18"/>
                <w:szCs w:val="18"/>
                <w:u w:val="none"/>
                <w:lang w:eastAsia="zh-CN"/>
              </w:rPr>
              <w:t>——</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rPr>
              <w:t>2</w:t>
            </w:r>
            <w:r>
              <w:rPr>
                <w:rFonts w:hint="default" w:ascii="Times New Roman" w:hAnsi="Times New Roman" w:eastAsia="方正仿宋_GBK"/>
                <w:color w:val="auto"/>
                <w:u w:val="none"/>
                <w:lang w:val="en-US" w:eastAsia="zh-CN"/>
              </w:rPr>
              <w:t>6</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森林覆盖率（%）</w:t>
            </w:r>
          </w:p>
        </w:tc>
        <w:tc>
          <w:tcPr>
            <w:tcW w:w="899" w:type="dxa"/>
            <w:noWrap w:val="0"/>
            <w:vAlign w:val="center"/>
          </w:tcPr>
          <w:p>
            <w:pPr>
              <w:spacing w:line="300" w:lineRule="exact"/>
              <w:jc w:val="center"/>
              <w:rPr>
                <w:rFonts w:hint="default" w:ascii="Times New Roman" w:hAnsi="Times New Roman" w:eastAsia="方正仿宋_GBK"/>
                <w:color w:val="000000"/>
                <w:u w:val="none"/>
              </w:rPr>
            </w:pPr>
            <w:r>
              <w:rPr>
                <w:rFonts w:hint="default" w:ascii="Times New Roman" w:hAnsi="Times New Roman" w:eastAsia="方正仿宋_GBK"/>
                <w:color w:val="000000"/>
                <w:u w:val="none"/>
                <w:lang w:val="en-US" w:eastAsia="zh-CN"/>
              </w:rPr>
              <w:t>46.86</w:t>
            </w:r>
          </w:p>
        </w:tc>
        <w:tc>
          <w:tcPr>
            <w:tcW w:w="771" w:type="dxa"/>
            <w:noWrap w:val="0"/>
            <w:vAlign w:val="center"/>
          </w:tcPr>
          <w:p>
            <w:pPr>
              <w:spacing w:line="300" w:lineRule="exact"/>
              <w:jc w:val="center"/>
              <w:rPr>
                <w:rFonts w:hint="default" w:ascii="Times New Roman" w:hAnsi="Times New Roman" w:eastAsia="方正仿宋_GBK"/>
                <w:color w:val="000000"/>
                <w:u w:val="none"/>
              </w:rPr>
            </w:pPr>
            <w:r>
              <w:rPr>
                <w:rFonts w:hint="default" w:ascii="Times New Roman" w:hAnsi="Times New Roman" w:eastAsia="方正仿宋_GBK"/>
                <w:color w:val="000000"/>
                <w:u w:val="none"/>
                <w:lang w:val="en-US" w:eastAsia="zh-CN"/>
              </w:rPr>
              <w:t>46.86以上</w:t>
            </w:r>
          </w:p>
        </w:tc>
        <w:tc>
          <w:tcPr>
            <w:tcW w:w="889" w:type="dxa"/>
            <w:noWrap w:val="0"/>
            <w:vAlign w:val="center"/>
          </w:tcPr>
          <w:p>
            <w:pPr>
              <w:spacing w:line="300" w:lineRule="exact"/>
              <w:jc w:val="center"/>
              <w:rPr>
                <w:rFonts w:hint="default" w:ascii="Times New Roman" w:hAnsi="Times New Roman" w:eastAsia="方正仿宋_GBK"/>
                <w:color w:val="000000"/>
                <w:u w:val="none"/>
                <w:lang w:eastAsia="zh-CN"/>
              </w:rPr>
            </w:pPr>
            <w:r>
              <w:rPr>
                <w:rFonts w:hint="default" w:ascii="Times New Roman" w:hAnsi="Times New Roman" w:eastAsia="方正仿宋_GBK"/>
                <w:color w:val="000000"/>
                <w:u w:val="none"/>
                <w:lang w:eastAsia="zh-CN"/>
              </w:rPr>
              <w:t>—</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eastAsia="zh-CN"/>
              </w:rPr>
            </w:pPr>
            <w:r>
              <w:rPr>
                <w:rFonts w:hint="default" w:ascii="Times New Roman" w:hAnsi="Times New Roman" w:eastAsia="方正仿宋_GBK" w:cs="Times New Roman"/>
                <w:color w:val="auto"/>
                <w:sz w:val="18"/>
                <w:szCs w:val="18"/>
                <w:u w:val="none"/>
                <w:lang w:eastAsia="zh-CN"/>
              </w:rPr>
              <w:t>—</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27</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水功能区水质达标率（%）</w:t>
            </w:r>
          </w:p>
        </w:tc>
        <w:tc>
          <w:tcPr>
            <w:tcW w:w="899"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57%</w:t>
            </w:r>
          </w:p>
        </w:tc>
        <w:tc>
          <w:tcPr>
            <w:tcW w:w="771"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71%</w:t>
            </w:r>
          </w:p>
        </w:tc>
        <w:tc>
          <w:tcPr>
            <w:tcW w:w="889"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val="en-US" w:eastAsia="zh-CN"/>
              </w:rPr>
            </w:pPr>
            <w:r>
              <w:rPr>
                <w:rFonts w:hint="default" w:ascii="Times New Roman" w:hAnsi="Times New Roman" w:eastAsia="方正仿宋_GBK" w:cs="Times New Roman"/>
                <w:color w:val="auto"/>
                <w:sz w:val="18"/>
                <w:szCs w:val="18"/>
                <w:u w:val="none"/>
                <w:lang w:eastAsia="zh-CN"/>
              </w:rPr>
              <w:t>提高</w:t>
            </w:r>
            <w:r>
              <w:rPr>
                <w:rFonts w:hint="default" w:ascii="Times New Roman" w:hAnsi="Times New Roman" w:eastAsia="方正仿宋_GBK" w:cs="Times New Roman"/>
                <w:color w:val="auto"/>
                <w:sz w:val="18"/>
                <w:szCs w:val="18"/>
                <w:u w:val="none"/>
                <w:lang w:val="en-US" w:eastAsia="zh-CN"/>
              </w:rPr>
              <w:t>14个百分点</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28</w:t>
            </w:r>
          </w:p>
        </w:tc>
        <w:tc>
          <w:tcPr>
            <w:tcW w:w="642" w:type="dxa"/>
            <w:vMerge w:val="continue"/>
            <w:noWrap w:val="0"/>
            <w:vAlign w:val="center"/>
          </w:tcPr>
          <w:p>
            <w:pPr>
              <w:spacing w:line="300" w:lineRule="exact"/>
              <w:jc w:val="center"/>
              <w:rPr>
                <w:rFonts w:hint="default" w:ascii="Times New Roman" w:hAnsi="Times New Roman" w:eastAsia="方正仿宋_GBK"/>
                <w:b/>
                <w:color w:val="auto"/>
                <w:u w:val="none"/>
              </w:rPr>
            </w:pP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星云湖水质（类）</w:t>
            </w:r>
          </w:p>
        </w:tc>
        <w:tc>
          <w:tcPr>
            <w:tcW w:w="899" w:type="dxa"/>
            <w:noWrap w:val="0"/>
            <w:vAlign w:val="center"/>
          </w:tcPr>
          <w:p>
            <w:pPr>
              <w:spacing w:line="300" w:lineRule="exact"/>
              <w:jc w:val="center"/>
              <w:rPr>
                <w:rFonts w:hint="default" w:ascii="Times New Roman" w:hAnsi="Times New Roman" w:eastAsia="方正仿宋_GBK"/>
                <w:color w:val="000000"/>
                <w:szCs w:val="21"/>
                <w:u w:val="none"/>
                <w:lang w:eastAsia="zh-CN"/>
              </w:rPr>
            </w:pPr>
            <w:r>
              <w:rPr>
                <w:rFonts w:hint="default" w:ascii="Times New Roman" w:hAnsi="Times New Roman" w:eastAsia="方正仿宋_GBK"/>
                <w:snapToGrid w:val="0"/>
                <w:szCs w:val="21"/>
                <w:lang w:val="en-US" w:eastAsia="zh-CN"/>
              </w:rPr>
              <w:t>Ⅴ类</w:t>
            </w:r>
          </w:p>
        </w:tc>
        <w:tc>
          <w:tcPr>
            <w:tcW w:w="771" w:type="dxa"/>
            <w:noWrap w:val="0"/>
            <w:vAlign w:val="center"/>
          </w:tcPr>
          <w:p>
            <w:pPr>
              <w:spacing w:line="300" w:lineRule="exact"/>
              <w:jc w:val="center"/>
              <w:rPr>
                <w:rFonts w:hint="default" w:ascii="Times New Roman" w:hAnsi="Times New Roman" w:eastAsia="方正仿宋_GBK"/>
                <w:color w:val="000000"/>
                <w:szCs w:val="21"/>
                <w:u w:val="none"/>
                <w:lang w:eastAsia="zh-CN"/>
              </w:rPr>
            </w:pPr>
            <w:r>
              <w:rPr>
                <w:rFonts w:hint="default" w:ascii="Times New Roman" w:hAnsi="Times New Roman" w:eastAsia="方正仿宋_GBK"/>
                <w:snapToGrid w:val="0"/>
                <w:szCs w:val="21"/>
                <w:lang w:val="en-US" w:eastAsia="zh-CN"/>
              </w:rPr>
              <w:t>Ⅴ类向好</w:t>
            </w:r>
          </w:p>
        </w:tc>
        <w:tc>
          <w:tcPr>
            <w:tcW w:w="889" w:type="dxa"/>
            <w:noWrap w:val="0"/>
            <w:vAlign w:val="center"/>
          </w:tcPr>
          <w:p>
            <w:pPr>
              <w:spacing w:line="300" w:lineRule="exact"/>
              <w:jc w:val="center"/>
              <w:rPr>
                <w:rFonts w:hint="default" w:ascii="Times New Roman" w:hAnsi="Times New Roman" w:eastAsia="方正仿宋_GBK"/>
                <w:color w:val="FF0000"/>
                <w:u w:val="none"/>
                <w:lang w:val="en-US" w:eastAsia="zh-CN"/>
              </w:rPr>
            </w:pPr>
            <w:r>
              <w:rPr>
                <w:rFonts w:hint="default" w:ascii="Times New Roman" w:hAnsi="Times New Roman" w:eastAsia="方正仿宋_GBK"/>
                <w:color w:val="000000"/>
                <w:u w:val="none"/>
                <w:lang w:val="en-US" w:eastAsia="zh-CN"/>
              </w:rPr>
              <w:t>---</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eastAsia="zh-CN"/>
              </w:rPr>
            </w:pPr>
            <w:r>
              <w:rPr>
                <w:rFonts w:hint="default" w:ascii="Times New Roman" w:hAnsi="Times New Roman" w:eastAsia="方正仿宋_GBK" w:cs="Times New Roman"/>
                <w:color w:val="auto"/>
                <w:sz w:val="18"/>
                <w:szCs w:val="18"/>
                <w:u w:val="none"/>
                <w:lang w:eastAsia="zh-CN"/>
              </w:rPr>
              <w:t>—</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2" w:type="dxa"/>
            <w:noWrap w:val="0"/>
            <w:vAlign w:val="center"/>
          </w:tcPr>
          <w:p>
            <w:pPr>
              <w:spacing w:line="300" w:lineRule="exact"/>
              <w:jc w:val="center"/>
              <w:rPr>
                <w:rFonts w:hint="default" w:ascii="Times New Roman" w:hAnsi="Times New Roman" w:eastAsia="方正仿宋_GBK"/>
                <w:color w:val="auto"/>
                <w:u w:val="none"/>
                <w:lang w:val="en-US" w:eastAsia="zh-CN"/>
              </w:rPr>
            </w:pPr>
            <w:r>
              <w:rPr>
                <w:rFonts w:hint="default" w:ascii="Times New Roman" w:hAnsi="Times New Roman" w:eastAsia="方正仿宋_GBK"/>
                <w:color w:val="auto"/>
                <w:u w:val="none"/>
                <w:lang w:val="en-US" w:eastAsia="zh-CN"/>
              </w:rPr>
              <w:t>29</w:t>
            </w:r>
          </w:p>
        </w:tc>
        <w:tc>
          <w:tcPr>
            <w:tcW w:w="642" w:type="dxa"/>
            <w:noWrap w:val="0"/>
            <w:vAlign w:val="center"/>
          </w:tcPr>
          <w:p>
            <w:pPr>
              <w:spacing w:line="300" w:lineRule="exact"/>
              <w:jc w:val="center"/>
              <w:rPr>
                <w:rFonts w:hint="default" w:ascii="Times New Roman" w:hAnsi="Times New Roman" w:eastAsia="方正仿宋_GBK"/>
                <w:b/>
                <w:color w:val="auto"/>
                <w:u w:val="none"/>
                <w:lang w:eastAsia="zh-CN"/>
              </w:rPr>
            </w:pPr>
            <w:r>
              <w:rPr>
                <w:rFonts w:hint="default" w:ascii="Times New Roman" w:hAnsi="Times New Roman" w:eastAsia="方正仿宋_GBK"/>
                <w:b/>
                <w:color w:val="auto"/>
                <w:u w:val="none"/>
                <w:lang w:eastAsia="zh-CN"/>
              </w:rPr>
              <w:t>安全保障</w:t>
            </w:r>
          </w:p>
        </w:tc>
        <w:tc>
          <w:tcPr>
            <w:tcW w:w="2967" w:type="dxa"/>
            <w:noWrap w:val="0"/>
            <w:vAlign w:val="center"/>
          </w:tcPr>
          <w:p>
            <w:pPr>
              <w:spacing w:line="300" w:lineRule="exact"/>
              <w:jc w:val="center"/>
              <w:rPr>
                <w:rFonts w:hint="default" w:ascii="Times New Roman" w:hAnsi="Times New Roman" w:eastAsia="方正仿宋_GBK"/>
                <w:color w:val="auto"/>
                <w:u w:val="none"/>
              </w:rPr>
            </w:pPr>
            <w:r>
              <w:rPr>
                <w:rFonts w:hint="default" w:ascii="Times New Roman" w:hAnsi="Times New Roman" w:eastAsia="方正仿宋_GBK"/>
                <w:color w:val="auto"/>
                <w:u w:val="none"/>
              </w:rPr>
              <w:t>粮食总产量（万吨）</w:t>
            </w:r>
          </w:p>
        </w:tc>
        <w:tc>
          <w:tcPr>
            <w:tcW w:w="899" w:type="dxa"/>
            <w:noWrap w:val="0"/>
            <w:vAlign w:val="center"/>
          </w:tcPr>
          <w:p>
            <w:pPr>
              <w:spacing w:line="300" w:lineRule="exact"/>
              <w:jc w:val="center"/>
              <w:rPr>
                <w:rFonts w:hint="default" w:ascii="Times New Roman" w:hAnsi="Times New Roman" w:eastAsia="方正仿宋_GBK"/>
                <w:color w:val="000000"/>
                <w:u w:val="none"/>
                <w:lang w:eastAsia="zh-CN"/>
              </w:rPr>
            </w:pPr>
            <w:r>
              <w:rPr>
                <w:rFonts w:hint="default" w:ascii="Times New Roman" w:hAnsi="Times New Roman" w:eastAsia="方正仿宋_GBK"/>
                <w:color w:val="000000"/>
                <w:u w:val="none"/>
                <w:lang w:val="en-US" w:eastAsia="zh-CN"/>
              </w:rPr>
              <w:t>4.601</w:t>
            </w:r>
          </w:p>
        </w:tc>
        <w:tc>
          <w:tcPr>
            <w:tcW w:w="771" w:type="dxa"/>
            <w:noWrap w:val="0"/>
            <w:vAlign w:val="center"/>
          </w:tcPr>
          <w:p>
            <w:pPr>
              <w:spacing w:line="300" w:lineRule="exact"/>
              <w:jc w:val="center"/>
              <w:rPr>
                <w:rFonts w:hint="default" w:ascii="Times New Roman" w:hAnsi="Times New Roman" w:eastAsia="方正仿宋_GBK"/>
                <w:color w:val="000000"/>
                <w:u w:val="none"/>
                <w:lang w:eastAsia="zh-CN"/>
              </w:rPr>
            </w:pPr>
            <w:r>
              <w:rPr>
                <w:rFonts w:hint="default" w:ascii="Times New Roman" w:hAnsi="Times New Roman" w:eastAsia="方正仿宋_GBK"/>
                <w:color w:val="000000"/>
                <w:u w:val="none"/>
                <w:lang w:val="en-US" w:eastAsia="zh-CN"/>
              </w:rPr>
              <w:t>4.65</w:t>
            </w:r>
          </w:p>
        </w:tc>
        <w:tc>
          <w:tcPr>
            <w:tcW w:w="889" w:type="dxa"/>
            <w:noWrap w:val="0"/>
            <w:vAlign w:val="center"/>
          </w:tcPr>
          <w:p>
            <w:pPr>
              <w:spacing w:line="300" w:lineRule="exact"/>
              <w:jc w:val="center"/>
              <w:rPr>
                <w:rFonts w:hint="default" w:ascii="Times New Roman" w:hAnsi="Times New Roman" w:eastAsia="方正仿宋_GBK"/>
                <w:color w:val="000000"/>
                <w:u w:val="none"/>
                <w:lang w:val="en-US" w:eastAsia="zh-CN"/>
              </w:rPr>
            </w:pPr>
            <w:r>
              <w:rPr>
                <w:rFonts w:hint="default" w:ascii="Times New Roman" w:hAnsi="Times New Roman" w:eastAsia="方正仿宋_GBK"/>
                <w:color w:val="000000"/>
                <w:u w:val="none"/>
                <w:lang w:val="en-US" w:eastAsia="zh-CN"/>
              </w:rPr>
              <w:t>—</w:t>
            </w:r>
          </w:p>
        </w:tc>
        <w:tc>
          <w:tcPr>
            <w:tcW w:w="1036" w:type="dxa"/>
            <w:noWrap w:val="0"/>
            <w:vAlign w:val="center"/>
          </w:tcPr>
          <w:p>
            <w:pPr>
              <w:spacing w:line="300" w:lineRule="exact"/>
              <w:jc w:val="center"/>
              <w:rPr>
                <w:rFonts w:hint="default" w:ascii="Times New Roman" w:hAnsi="Times New Roman" w:eastAsia="方正仿宋_GBK" w:cs="Times New Roman"/>
                <w:color w:val="auto"/>
                <w:sz w:val="18"/>
                <w:szCs w:val="18"/>
                <w:u w:val="none"/>
                <w:lang w:val="en-US" w:eastAsia="zh-CN"/>
              </w:rPr>
            </w:pPr>
            <w:r>
              <w:rPr>
                <w:rFonts w:hint="default" w:ascii="Times New Roman" w:hAnsi="Times New Roman" w:eastAsia="方正仿宋_GBK" w:cs="Times New Roman"/>
                <w:color w:val="auto"/>
                <w:sz w:val="18"/>
                <w:szCs w:val="18"/>
                <w:u w:val="none"/>
                <w:lang w:eastAsia="zh-CN"/>
              </w:rPr>
              <w:t>增加</w:t>
            </w:r>
            <w:r>
              <w:rPr>
                <w:rFonts w:hint="default" w:ascii="Times New Roman" w:hAnsi="Times New Roman" w:eastAsia="方正仿宋_GBK" w:cs="Times New Roman"/>
                <w:color w:val="auto"/>
                <w:sz w:val="18"/>
                <w:szCs w:val="18"/>
                <w:u w:val="none"/>
                <w:lang w:val="en-US" w:eastAsia="zh-CN"/>
              </w:rPr>
              <w:t>0.049万吨</w:t>
            </w:r>
          </w:p>
        </w:tc>
        <w:tc>
          <w:tcPr>
            <w:tcW w:w="803" w:type="dxa"/>
            <w:noWrap w:val="0"/>
            <w:vAlign w:val="center"/>
          </w:tcPr>
          <w:p>
            <w:pPr>
              <w:spacing w:line="300" w:lineRule="exact"/>
              <w:jc w:val="center"/>
              <w:rPr>
                <w:rFonts w:hint="default" w:ascii="Times New Roman" w:hAnsi="Times New Roman" w:eastAsia="方正仿宋_GBK"/>
                <w:color w:val="auto"/>
                <w:sz w:val="18"/>
                <w:szCs w:val="18"/>
                <w:u w:val="none"/>
              </w:rPr>
            </w:pPr>
            <w:r>
              <w:rPr>
                <w:rFonts w:hint="default" w:ascii="Times New Roman" w:hAnsi="Times New Roman" w:eastAsia="方正仿宋_GBK"/>
                <w:color w:val="auto"/>
                <w:sz w:val="18"/>
                <w:szCs w:val="18"/>
                <w:u w:val="none"/>
              </w:rPr>
              <w:t>约束性</w:t>
            </w:r>
          </w:p>
        </w:tc>
      </w:tr>
    </w:tbl>
    <w:p>
      <w:pPr>
        <w:pStyle w:val="3"/>
        <w:jc w:val="center"/>
        <w:rPr>
          <w:rFonts w:eastAsia="方正小标宋简体"/>
          <w:b w:val="0"/>
          <w:bCs w:val="0"/>
          <w:color w:val="auto"/>
          <w:sz w:val="40"/>
        </w:rPr>
      </w:pPr>
      <w:bookmarkStart w:id="48" w:name="_Toc446364464"/>
      <w:bookmarkStart w:id="49" w:name="_Toc16955"/>
      <w:bookmarkStart w:id="50" w:name="_Toc23936"/>
      <w:bookmarkStart w:id="51" w:name="_Toc10413"/>
      <w:r>
        <w:rPr>
          <w:rFonts w:hint="eastAsia" w:eastAsia="方正小标宋简体"/>
          <w:b w:val="0"/>
          <w:bCs w:val="0"/>
          <w:color w:val="auto"/>
          <w:sz w:val="40"/>
        </w:rPr>
        <w:t>第三篇　优化空间布局</w:t>
      </w:r>
      <w:bookmarkEnd w:id="48"/>
      <w:bookmarkEnd w:id="49"/>
      <w:bookmarkEnd w:id="50"/>
      <w:bookmarkEnd w:id="51"/>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按照区域主体功能定位，以资源环境承载能力为基础，遵循自然规律、经济规律和社会规律，着眼经济社会协调发展的全局和长远，</w:t>
      </w:r>
      <w:r>
        <w:rPr>
          <w:rFonts w:hint="eastAsia" w:ascii="Times New Roman" w:hAnsi="Times New Roman" w:eastAsia="方正仿宋_GBK"/>
          <w:color w:val="auto"/>
          <w:sz w:val="32"/>
          <w:szCs w:val="32"/>
        </w:rPr>
        <w:t>围绕全市“一核三带”生产力布局，</w:t>
      </w:r>
      <w:r>
        <w:rPr>
          <w:rFonts w:ascii="Times New Roman" w:hAnsi="Times New Roman" w:eastAsia="方正仿宋_GBK"/>
          <w:color w:val="auto"/>
          <w:sz w:val="32"/>
          <w:szCs w:val="32"/>
        </w:rPr>
        <w:t>结合江川发展实际，加快构建优势互补、良性互动、特色突出、协调发展的“1136”空间发展新格局，即：一核、一圈、三带、六园。</w:t>
      </w:r>
    </w:p>
    <w:p>
      <w:pPr>
        <w:pStyle w:val="4"/>
        <w:rPr>
          <w:b w:val="0"/>
          <w:bCs w:val="0"/>
          <w:color w:val="auto"/>
          <w:sz w:val="36"/>
        </w:rPr>
      </w:pPr>
      <w:bookmarkStart w:id="52" w:name="_Toc6586"/>
      <w:bookmarkStart w:id="53" w:name="_Toc446364465"/>
      <w:bookmarkStart w:id="54" w:name="_Toc14444"/>
      <w:bookmarkStart w:id="55" w:name="_Toc25857"/>
      <w:r>
        <w:rPr>
          <w:rFonts w:hint="eastAsia"/>
          <w:b w:val="0"/>
          <w:bCs w:val="0"/>
          <w:color w:val="auto"/>
          <w:sz w:val="36"/>
        </w:rPr>
        <w:t>第八章　聚力打造中心城区发展核</w:t>
      </w:r>
      <w:bookmarkEnd w:id="52"/>
      <w:bookmarkEnd w:id="53"/>
      <w:bookmarkEnd w:id="54"/>
      <w:bookmarkEnd w:id="55"/>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紧紧围绕</w:t>
      </w:r>
      <w:r>
        <w:rPr>
          <w:rFonts w:hint="eastAsia" w:ascii="Times New Roman" w:hAnsi="Times New Roman" w:eastAsia="方正仿宋_GBK"/>
          <w:color w:val="auto"/>
          <w:sz w:val="32"/>
          <w:szCs w:val="32"/>
        </w:rPr>
        <w:t>全市“加快推进红塔区、江川区、高新区一体化发展，打造引领玉溪发展的核心”的生产力布局要求，</w:t>
      </w:r>
      <w:r>
        <w:rPr>
          <w:rFonts w:ascii="Times New Roman" w:hAnsi="Times New Roman" w:eastAsia="方正仿宋_GBK"/>
          <w:color w:val="auto"/>
          <w:sz w:val="32"/>
          <w:szCs w:val="32"/>
        </w:rPr>
        <w:t>以建设美丽滨湖花园城市为目标，</w:t>
      </w:r>
      <w:r>
        <w:rPr>
          <w:rFonts w:hint="eastAsia" w:ascii="Times New Roman" w:hAnsi="Times New Roman" w:eastAsia="方正仿宋_GBK"/>
          <w:color w:val="auto"/>
          <w:sz w:val="32"/>
          <w:szCs w:val="32"/>
        </w:rPr>
        <w:t>统筹推进</w:t>
      </w:r>
      <w:r>
        <w:rPr>
          <w:rFonts w:hint="eastAsia" w:ascii="Times New Roman" w:hAnsi="Times New Roman" w:eastAsia="方正仿宋_GBK"/>
          <w:color w:val="auto"/>
          <w:sz w:val="32"/>
          <w:szCs w:val="32"/>
          <w:lang w:eastAsia="zh-CN"/>
        </w:rPr>
        <w:t>城</w:t>
      </w:r>
      <w:r>
        <w:rPr>
          <w:rFonts w:hint="eastAsia" w:ascii="Times New Roman" w:hAnsi="Times New Roman" w:eastAsia="方正仿宋_GBK"/>
          <w:color w:val="auto"/>
          <w:sz w:val="32"/>
          <w:szCs w:val="32"/>
        </w:rPr>
        <w:t>市更新，破解城市发展瓶颈、满足人民群众美好生活需要、加快提升产城融合水平、推动新型城镇化高质量发展。</w:t>
      </w:r>
      <w:r>
        <w:rPr>
          <w:rFonts w:ascii="Times New Roman" w:hAnsi="Times New Roman" w:eastAsia="方正仿宋_GBK"/>
          <w:color w:val="auto"/>
          <w:sz w:val="32"/>
          <w:szCs w:val="32"/>
        </w:rPr>
        <w:t>进一步协调好城区绿地、市政基础设施、公共服务设施、城市设计、地下空间和综合管廊的规划建设，持续完善中心城区综合服务功能，做好城市绿化、亮化、美化、净化，加快实施中心城区提质扩容和更新改造工程，高水平建设新规划的14平方公里中心城区，做好老旧小区改造，持续提升城市品</w:t>
      </w:r>
      <w:r>
        <w:rPr>
          <w:rFonts w:hint="eastAsia" w:ascii="Times New Roman" w:hAnsi="Times New Roman" w:eastAsia="方正仿宋_GBK"/>
          <w:color w:val="auto"/>
          <w:sz w:val="32"/>
          <w:szCs w:val="32"/>
          <w:lang w:eastAsia="zh-CN"/>
        </w:rPr>
        <w:t>质</w:t>
      </w:r>
      <w:r>
        <w:rPr>
          <w:rFonts w:ascii="Times New Roman" w:hAnsi="Times New Roman" w:eastAsia="方正仿宋_GBK"/>
          <w:color w:val="auto"/>
          <w:sz w:val="32"/>
          <w:szCs w:val="32"/>
        </w:rPr>
        <w:t>，鼓励农业转移人口市民化，建设好星云湖南岸湿地湖滨带，进一步完善污水、垃圾处理设施，增强城区辐射带动能力。协调好工业发展和环境保护、资源集约节约利用的关系，积极推动农产品加工、纸制品等传统工业转型升级，鼓励工业企业进入园区，依托高新区龙泉片区建设产业新城，大力发展金融、科技、信息、会展、商务等生产性服务业，提升旅游、大健康等服务业品质，打造生产要素聚集、产业链完备的</w:t>
      </w:r>
      <w:r>
        <w:rPr>
          <w:rFonts w:hint="eastAsia" w:ascii="Times New Roman" w:hAnsi="Times New Roman" w:eastAsia="方正仿宋_GBK"/>
          <w:color w:val="auto"/>
          <w:sz w:val="32"/>
          <w:szCs w:val="32"/>
          <w:lang w:eastAsia="zh-CN"/>
        </w:rPr>
        <w:t>中心城区发展核</w:t>
      </w:r>
      <w:r>
        <w:rPr>
          <w:rFonts w:ascii="Times New Roman" w:hAnsi="Times New Roman" w:eastAsia="方正仿宋_GBK"/>
          <w:color w:val="auto"/>
          <w:sz w:val="32"/>
          <w:szCs w:val="32"/>
        </w:rPr>
        <w:t>。</w:t>
      </w:r>
    </w:p>
    <w:p>
      <w:pPr>
        <w:pStyle w:val="4"/>
        <w:rPr>
          <w:b w:val="0"/>
          <w:bCs w:val="0"/>
          <w:color w:val="auto"/>
          <w:sz w:val="36"/>
        </w:rPr>
      </w:pPr>
      <w:bookmarkStart w:id="56" w:name="_Toc11225"/>
      <w:bookmarkStart w:id="57" w:name="_Toc446364466"/>
      <w:bookmarkStart w:id="58" w:name="_Toc26308"/>
      <w:bookmarkStart w:id="59" w:name="_Toc3229"/>
      <w:r>
        <w:rPr>
          <w:rFonts w:hint="eastAsia"/>
          <w:b w:val="0"/>
          <w:bCs w:val="0"/>
          <w:color w:val="auto"/>
          <w:sz w:val="36"/>
        </w:rPr>
        <w:t>第九章  精心谋划环星云湖生态旅游圈</w:t>
      </w:r>
      <w:bookmarkEnd w:id="56"/>
      <w:bookmarkEnd w:id="57"/>
      <w:bookmarkEnd w:id="58"/>
      <w:bookmarkEnd w:id="59"/>
    </w:p>
    <w:p>
      <w:pPr>
        <w:spacing w:line="560" w:lineRule="exact"/>
        <w:ind w:firstLine="640" w:firstLineChars="200"/>
        <w:rPr>
          <w:rFonts w:hint="eastAsia" w:ascii="Times New Roman" w:hAnsi="Times New Roman" w:eastAsia="方正仿宋_GBK"/>
          <w:color w:val="auto"/>
          <w:sz w:val="32"/>
          <w:szCs w:val="32"/>
        </w:rPr>
      </w:pPr>
      <w:r>
        <w:rPr>
          <w:rFonts w:ascii="Times New Roman" w:hAnsi="Times New Roman" w:eastAsia="方正仿宋_GBK"/>
          <w:color w:val="auto"/>
          <w:sz w:val="32"/>
          <w:szCs w:val="32"/>
        </w:rPr>
        <w:t>主动融入玉溪</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三湖</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绿色发展带，坚持山水林田湖草系统治理，加大星云湖保护治理力度</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坚决落实“四个彻底转变”，认真贯彻执行《云南省星云湖保护条例》，以最严格举措抓好星云湖保护治理，着力构建污染防控、健康水循环、绿色低碳发展、监控管理四大体系。突出水污染防治和水生态修复，深入实施湖滨缓冲带生态修复、水质提升、污水和垃圾收集处理、入湖河道生态治理、调水补水、水库清淤扩容等项目，加快形成环湖湿地生态圈。全面推进全域旅游发展，依托古滇文化、青铜文化、渔文化、乡土美食资源等优势，积极开发和宣传生态休闲、主题农庄、精品民宿、文化体验、文化创意、乡土美食、主题节庆、体育赛事等一批形式多样、特色鲜明的精品旅游产品，建设“湖滨湿地+青铜文化+康体休闲”</w:t>
      </w:r>
      <w:r>
        <w:rPr>
          <w:rFonts w:hint="eastAsia" w:ascii="Times New Roman" w:hAnsi="Times New Roman" w:eastAsia="方正仿宋_GBK"/>
          <w:color w:val="auto"/>
          <w:sz w:val="32"/>
          <w:szCs w:val="32"/>
          <w:lang w:eastAsia="zh-CN"/>
        </w:rPr>
        <w:t>的</w:t>
      </w:r>
      <w:r>
        <w:rPr>
          <w:rFonts w:ascii="Times New Roman" w:hAnsi="Times New Roman" w:eastAsia="方正仿宋_GBK"/>
          <w:color w:val="auto"/>
          <w:sz w:val="32"/>
          <w:szCs w:val="32"/>
        </w:rPr>
        <w:t>环星云湖生态旅游圈</w:t>
      </w:r>
      <w:r>
        <w:rPr>
          <w:rFonts w:hint="eastAsia" w:ascii="Times New Roman" w:hAnsi="Times New Roman" w:eastAsia="方正仿宋_GBK"/>
          <w:color w:val="auto"/>
          <w:sz w:val="32"/>
          <w:szCs w:val="32"/>
          <w:lang w:eastAsia="zh-CN"/>
        </w:rPr>
        <w:t>。</w:t>
      </w:r>
    </w:p>
    <w:p>
      <w:pPr>
        <w:pStyle w:val="4"/>
        <w:rPr>
          <w:b w:val="0"/>
          <w:bCs w:val="0"/>
          <w:color w:val="auto"/>
          <w:sz w:val="36"/>
        </w:rPr>
      </w:pPr>
      <w:bookmarkStart w:id="60" w:name="_Toc10452"/>
      <w:bookmarkStart w:id="61" w:name="_Toc446364467"/>
      <w:bookmarkStart w:id="62" w:name="_Toc31124"/>
      <w:bookmarkStart w:id="63" w:name="_Toc17260"/>
      <w:r>
        <w:rPr>
          <w:rFonts w:hint="eastAsia"/>
          <w:b w:val="0"/>
          <w:bCs w:val="0"/>
          <w:color w:val="auto"/>
          <w:sz w:val="36"/>
        </w:rPr>
        <w:t>第十章  着力构建三条经济带</w:t>
      </w:r>
      <w:bookmarkEnd w:id="60"/>
      <w:bookmarkEnd w:id="61"/>
      <w:bookmarkEnd w:id="62"/>
      <w:bookmarkEnd w:id="63"/>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优化产业布局，打造以二、三产业聚集发展</w:t>
      </w:r>
      <w:r>
        <w:rPr>
          <w:rFonts w:hint="eastAsia" w:ascii="Times New Roman" w:hAnsi="Times New Roman" w:eastAsia="方正仿宋_GBK"/>
          <w:color w:val="auto"/>
          <w:sz w:val="32"/>
          <w:szCs w:val="32"/>
        </w:rPr>
        <w:t>为</w:t>
      </w:r>
      <w:r>
        <w:rPr>
          <w:rFonts w:ascii="Times New Roman" w:hAnsi="Times New Roman" w:eastAsia="方正仿宋_GBK"/>
          <w:color w:val="auto"/>
          <w:sz w:val="32"/>
          <w:szCs w:val="32"/>
        </w:rPr>
        <w:t>特色的江川</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红塔一体化发展带</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以</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两湖资源</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为核心的大街</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江城文旅康养经济带</w:t>
      </w:r>
      <w:r>
        <w:rPr>
          <w:rFonts w:hint="eastAsia" w:ascii="Times New Roman" w:hAnsi="Times New Roman" w:eastAsia="方正仿宋_GBK"/>
          <w:color w:val="auto"/>
          <w:sz w:val="32"/>
          <w:szCs w:val="32"/>
        </w:rPr>
        <w:t>；以</w:t>
      </w:r>
      <w:r>
        <w:rPr>
          <w:rFonts w:ascii="Times New Roman" w:hAnsi="Times New Roman" w:eastAsia="方正仿宋_GBK"/>
          <w:color w:val="auto"/>
          <w:sz w:val="32"/>
          <w:szCs w:val="32"/>
        </w:rPr>
        <w:t>雄关农产品加工</w:t>
      </w:r>
      <w:r>
        <w:rPr>
          <w:rFonts w:hint="eastAsia" w:ascii="Times New Roman" w:hAnsi="Times New Roman" w:eastAsia="方正仿宋_GBK"/>
          <w:color w:val="auto"/>
          <w:sz w:val="32"/>
          <w:szCs w:val="32"/>
        </w:rPr>
        <w:t>及</w:t>
      </w:r>
      <w:r>
        <w:rPr>
          <w:rFonts w:ascii="Times New Roman" w:hAnsi="Times New Roman" w:eastAsia="方正仿宋_GBK"/>
          <w:color w:val="auto"/>
          <w:sz w:val="32"/>
          <w:szCs w:val="32"/>
        </w:rPr>
        <w:t>物流产业园区为依托的大街</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雄关高原特色农业产业带。</w:t>
      </w:r>
    </w:p>
    <w:p>
      <w:pPr>
        <w:spacing w:line="560" w:lineRule="exact"/>
        <w:ind w:firstLine="643" w:firstLineChars="200"/>
        <w:rPr>
          <w:rFonts w:ascii="Times New Roman" w:hAnsi="Times New Roman" w:eastAsia="方正仿宋_GBK"/>
          <w:color w:val="auto"/>
          <w:sz w:val="32"/>
          <w:szCs w:val="32"/>
        </w:rPr>
      </w:pPr>
      <w:r>
        <w:rPr>
          <w:rFonts w:ascii="Times New Roman" w:hAnsi="Times New Roman" w:eastAsia="方正仿宋_GBK"/>
          <w:b/>
          <w:color w:val="auto"/>
          <w:sz w:val="32"/>
          <w:szCs w:val="32"/>
        </w:rPr>
        <w:t>江川—红塔一体化发展带。</w:t>
      </w:r>
      <w:r>
        <w:rPr>
          <w:rFonts w:ascii="Times New Roman" w:hAnsi="Times New Roman" w:eastAsia="方正仿宋_GBK"/>
          <w:color w:val="auto"/>
          <w:sz w:val="32"/>
          <w:szCs w:val="32"/>
        </w:rPr>
        <w:t>以玉江大道为轴线，以建设高新区龙泉片区、九溪安化生态组团为重点，以产业、城镇发展为载体，推进玉溪主城区与江川区之间实现融合，推进大街与前卫联动发展，加强高新技术产业园区、红塔中心城区、江川区之间各要素对接，构建二、三产业聚集的江川—红塔一体化发展带。</w:t>
      </w:r>
    </w:p>
    <w:p>
      <w:pPr>
        <w:spacing w:line="560" w:lineRule="exact"/>
        <w:ind w:firstLine="643" w:firstLineChars="200"/>
        <w:rPr>
          <w:rFonts w:ascii="Times New Roman" w:hAnsi="Times New Roman" w:eastAsia="方正仿宋_GBK"/>
          <w:color w:val="auto"/>
          <w:sz w:val="32"/>
          <w:szCs w:val="32"/>
        </w:rPr>
      </w:pPr>
      <w:r>
        <w:rPr>
          <w:rFonts w:ascii="Times New Roman" w:hAnsi="Times New Roman" w:eastAsia="方正仿宋_GBK"/>
          <w:b/>
          <w:color w:val="auto"/>
          <w:sz w:val="32"/>
          <w:szCs w:val="32"/>
        </w:rPr>
        <w:t>大街</w:t>
      </w:r>
      <w:r>
        <w:rPr>
          <w:rFonts w:hint="eastAsia" w:ascii="Times New Roman" w:hAnsi="Times New Roman" w:eastAsia="方正仿宋_GBK"/>
          <w:b/>
          <w:color w:val="auto"/>
          <w:sz w:val="32"/>
          <w:szCs w:val="32"/>
        </w:rPr>
        <w:t>—</w:t>
      </w:r>
      <w:r>
        <w:rPr>
          <w:rFonts w:ascii="Times New Roman" w:hAnsi="Times New Roman" w:eastAsia="方正仿宋_GBK"/>
          <w:b/>
          <w:color w:val="auto"/>
          <w:sz w:val="32"/>
          <w:szCs w:val="32"/>
        </w:rPr>
        <w:t>江城文旅康养经济带。</w:t>
      </w:r>
      <w:r>
        <w:rPr>
          <w:rFonts w:ascii="Times New Roman" w:hAnsi="Times New Roman" w:eastAsia="方正仿宋_GBK"/>
          <w:color w:val="auto"/>
          <w:sz w:val="32"/>
          <w:szCs w:val="32"/>
        </w:rPr>
        <w:t>依托“两湖资源”，充分发挥江川古滇文化、青铜文化、渔</w:t>
      </w:r>
      <w:r>
        <w:rPr>
          <w:rFonts w:hint="eastAsia" w:ascii="Times New Roman" w:hAnsi="Times New Roman" w:eastAsia="方正仿宋_GBK"/>
          <w:color w:val="auto"/>
          <w:sz w:val="32"/>
          <w:szCs w:val="32"/>
        </w:rPr>
        <w:t>耕</w:t>
      </w:r>
      <w:r>
        <w:rPr>
          <w:rFonts w:ascii="Times New Roman" w:hAnsi="Times New Roman" w:eastAsia="方正仿宋_GBK"/>
          <w:color w:val="auto"/>
          <w:sz w:val="32"/>
          <w:szCs w:val="32"/>
        </w:rPr>
        <w:t>文化</w:t>
      </w:r>
      <w:r>
        <w:rPr>
          <w:rFonts w:hint="eastAsia" w:ascii="Times New Roman" w:hAnsi="Times New Roman" w:eastAsia="方正仿宋_GBK"/>
          <w:color w:val="auto"/>
          <w:sz w:val="32"/>
          <w:szCs w:val="32"/>
        </w:rPr>
        <w:t>、白药文化</w:t>
      </w:r>
      <w:r>
        <w:rPr>
          <w:rFonts w:ascii="Times New Roman" w:hAnsi="Times New Roman" w:eastAsia="方正仿宋_GBK"/>
          <w:color w:val="auto"/>
          <w:sz w:val="32"/>
          <w:szCs w:val="32"/>
        </w:rPr>
        <w:t>等文化优势，加快涉旅项目建设，全面推进星云湖南岸乡村振兴示范区及前卫古滇铜街建设，以前卫青铜创业产业园为基础打造古滇青铜特色小镇；有序推进江城棚户区改造，高标准完成江城片区10平方公里用地规划建设任务，逐步配套完善“吃、住、行、游、购、娱”六大旅游功能，打造江城星抚文旅康养特色小镇，注重“田园综合体”项目的规划和落地，加强与澄江在旅游线路互联、生态环境保护等方面的合作，开展沿线道路整体提升工程，将翠大线打造成文旅大道，构建三产优势较为明显的大街—江城文旅康养经济带。</w:t>
      </w:r>
    </w:p>
    <w:p>
      <w:pPr>
        <w:spacing w:line="560" w:lineRule="exact"/>
        <w:ind w:firstLine="643" w:firstLineChars="200"/>
        <w:rPr>
          <w:rFonts w:ascii="Times New Roman" w:hAnsi="Times New Roman" w:eastAsia="方正仿宋_GBK"/>
          <w:color w:val="auto"/>
          <w:sz w:val="32"/>
          <w:szCs w:val="32"/>
        </w:rPr>
      </w:pPr>
      <w:r>
        <w:rPr>
          <w:rFonts w:ascii="Times New Roman" w:hAnsi="Times New Roman" w:eastAsia="方正仿宋_GBK"/>
          <w:b/>
          <w:color w:val="auto"/>
          <w:sz w:val="32"/>
          <w:szCs w:val="32"/>
        </w:rPr>
        <w:t>大街—雄关高原特色农业产业带。</w:t>
      </w:r>
      <w:r>
        <w:rPr>
          <w:rFonts w:ascii="Times New Roman" w:hAnsi="Times New Roman" w:eastAsia="方正仿宋_GBK"/>
          <w:color w:val="auto"/>
          <w:sz w:val="32"/>
          <w:szCs w:val="32"/>
        </w:rPr>
        <w:t>倾力打造雄关农产品加工及物流产业园区，鼓励支持云菜集团滇中智慧农业产业园做大做强，将产业园建设成为集智慧仓储、智慧冷链物流、农产品深加工为一体的综合性园区，扩大辐射半径，带动沿线高原特色农业现代化，构建大街—雄关高原特色农业产业带。</w:t>
      </w:r>
    </w:p>
    <w:p>
      <w:pPr>
        <w:pStyle w:val="4"/>
        <w:rPr>
          <w:b w:val="0"/>
          <w:bCs w:val="0"/>
          <w:color w:val="auto"/>
          <w:sz w:val="36"/>
        </w:rPr>
      </w:pPr>
      <w:bookmarkStart w:id="64" w:name="_Toc24653"/>
      <w:bookmarkStart w:id="65" w:name="_Toc5643"/>
      <w:bookmarkStart w:id="66" w:name="_Toc446364468"/>
      <w:bookmarkStart w:id="67" w:name="_Toc3019"/>
      <w:r>
        <w:rPr>
          <w:rFonts w:hint="eastAsia"/>
          <w:b w:val="0"/>
          <w:bCs w:val="0"/>
          <w:color w:val="auto"/>
          <w:sz w:val="36"/>
        </w:rPr>
        <w:t>第十一章  倾力建设六大产业园区</w:t>
      </w:r>
      <w:bookmarkEnd w:id="64"/>
      <w:bookmarkEnd w:id="65"/>
      <w:bookmarkEnd w:id="66"/>
      <w:bookmarkEnd w:id="67"/>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突出产业集群聚集效应，围绕我区产业体系，强基补链，促进产业集聚发展，按照“培育初创企业为主，提高企业承载量为主，以发展新型经济为主”的建园思路，建设空间边界清晰、产业定位明确、基础设施完善、管理服务精准的新型产业园。</w:t>
      </w:r>
    </w:p>
    <w:p>
      <w:pPr>
        <w:spacing w:line="560" w:lineRule="exact"/>
        <w:ind w:firstLine="643" w:firstLineChars="200"/>
        <w:rPr>
          <w:rFonts w:ascii="Times New Roman" w:hAnsi="Times New Roman" w:eastAsia="方正仿宋_GBK"/>
          <w:color w:val="auto"/>
          <w:sz w:val="32"/>
          <w:szCs w:val="32"/>
        </w:rPr>
      </w:pPr>
      <w:r>
        <w:rPr>
          <w:rFonts w:ascii="Times New Roman" w:hAnsi="Times New Roman" w:eastAsia="方正仿宋_GBK"/>
          <w:b/>
          <w:color w:val="auto"/>
          <w:sz w:val="32"/>
          <w:szCs w:val="32"/>
        </w:rPr>
        <w:t>高新技术及临空产业园</w:t>
      </w:r>
      <w:r>
        <w:rPr>
          <w:rFonts w:hint="eastAsia" w:ascii="Times New Roman" w:hAnsi="Times New Roman" w:eastAsia="方正仿宋_GBK"/>
          <w:b/>
          <w:color w:val="auto"/>
          <w:sz w:val="32"/>
          <w:szCs w:val="32"/>
        </w:rPr>
        <w:t>。</w:t>
      </w:r>
      <w:r>
        <w:rPr>
          <w:rFonts w:ascii="Times New Roman" w:hAnsi="Times New Roman" w:eastAsia="方正仿宋_GBK"/>
          <w:color w:val="auto"/>
          <w:sz w:val="32"/>
          <w:szCs w:val="32"/>
        </w:rPr>
        <w:t>充分发挥高新区龙泉片区的区位、政策、服务等优势，贯彻落实中国制造“2025”玉溪行动计划，在</w:t>
      </w:r>
      <w:r>
        <w:rPr>
          <w:rFonts w:hint="eastAsia" w:ascii="Times New Roman" w:hAnsi="Times New Roman" w:eastAsia="方正仿宋_GBK"/>
          <w:color w:val="auto"/>
          <w:sz w:val="32"/>
          <w:szCs w:val="32"/>
          <w:lang w:eastAsia="zh-CN"/>
        </w:rPr>
        <w:t>高新技术及临</w:t>
      </w:r>
      <w:r>
        <w:rPr>
          <w:rFonts w:ascii="Times New Roman" w:hAnsi="Times New Roman" w:eastAsia="方正仿宋_GBK"/>
          <w:color w:val="auto"/>
          <w:sz w:val="32"/>
          <w:szCs w:val="32"/>
        </w:rPr>
        <w:t>空产业园规划建设过程中，围绕</w:t>
      </w:r>
      <w:r>
        <w:rPr>
          <w:rFonts w:hint="eastAsia" w:ascii="Times New Roman" w:hAnsi="Times New Roman" w:eastAsia="方正仿宋_GBK"/>
          <w:color w:val="auto"/>
          <w:sz w:val="32"/>
          <w:szCs w:val="32"/>
          <w:lang w:eastAsia="zh-CN"/>
        </w:rPr>
        <w:t>智能制造、</w:t>
      </w:r>
      <w:r>
        <w:rPr>
          <w:rFonts w:ascii="Times New Roman" w:hAnsi="Times New Roman" w:eastAsia="方正仿宋_GBK"/>
          <w:color w:val="auto"/>
          <w:sz w:val="32"/>
          <w:szCs w:val="32"/>
        </w:rPr>
        <w:t>新能源、工程农业机械、精密基础件、电子信息</w:t>
      </w:r>
      <w:r>
        <w:rPr>
          <w:rFonts w:hint="eastAsia" w:ascii="Times New Roman" w:hAnsi="Times New Roman" w:eastAsia="方正仿宋_GBK"/>
          <w:color w:val="auto"/>
          <w:sz w:val="32"/>
          <w:szCs w:val="32"/>
          <w:lang w:eastAsia="zh-CN"/>
        </w:rPr>
        <w:t>、</w:t>
      </w:r>
      <w:r>
        <w:rPr>
          <w:rFonts w:ascii="Times New Roman" w:hAnsi="Times New Roman" w:eastAsia="方正仿宋_GBK"/>
          <w:color w:val="auto"/>
          <w:sz w:val="32"/>
          <w:szCs w:val="32"/>
        </w:rPr>
        <w:t>航空装备、中高端数控机床、电力装备、高端铸件、节能环保设备等领域，重点发展新能源新材料、光电子产业、生物医药及食品、先进装备制造业，全力推进产业集聚发展，着力提升高端机型设计、产品寿命与可靠性、核心部件与控制系统等创新水平，打造新的经济增长点。充分利用我区民用运输机场项目已获得中国民用航空局《民航局关于云南玉溪机场场址的批复》（民航函〔2019〕189号）的优势，加快推进项目前期工作，争取尽快开工建设。积极争取国家、省、市支持，确保规划建设的16平方公里航空产业园项目落地建成，打造空港科技创新示范基地和云南省新能源汽车动力电池配套产业集群基地，积极争取国家、省、市支持，确保项目落地建成，吸引航空制造等相关龙头企业落户江川，不断强化江川航空产业集聚效应，有序推进航空产业园规划、建设，不断扩展发展临空经济。</w:t>
      </w:r>
    </w:p>
    <w:p>
      <w:pPr>
        <w:spacing w:line="560" w:lineRule="exact"/>
        <w:ind w:firstLine="643" w:firstLineChars="200"/>
        <w:rPr>
          <w:rFonts w:hint="eastAsia" w:ascii="Times New Roman" w:hAnsi="Times New Roman" w:eastAsia="方正仿宋_GBK"/>
          <w:color w:val="auto"/>
          <w:sz w:val="32"/>
          <w:szCs w:val="32"/>
          <w:lang w:eastAsia="zh-CN"/>
        </w:rPr>
      </w:pPr>
      <w:r>
        <w:rPr>
          <w:rFonts w:ascii="Times New Roman" w:hAnsi="Times New Roman" w:eastAsia="方正仿宋_GBK"/>
          <w:b/>
          <w:bCs/>
          <w:color w:val="auto"/>
          <w:sz w:val="32"/>
          <w:szCs w:val="32"/>
        </w:rPr>
        <w:t>绿色农产品加工及物流产业园</w:t>
      </w:r>
      <w:r>
        <w:rPr>
          <w:rFonts w:hint="eastAsia" w:ascii="Times New Roman" w:hAnsi="Times New Roman" w:eastAsia="方正仿宋_GBK"/>
          <w:b/>
          <w:bCs/>
          <w:color w:val="auto"/>
          <w:sz w:val="32"/>
          <w:szCs w:val="32"/>
        </w:rPr>
        <w:t>。</w:t>
      </w:r>
      <w:r>
        <w:rPr>
          <w:rFonts w:ascii="Times New Roman" w:hAnsi="Times New Roman" w:eastAsia="方正仿宋_GBK"/>
          <w:color w:val="auto"/>
          <w:sz w:val="32"/>
          <w:szCs w:val="32"/>
        </w:rPr>
        <w:t>充分发挥云菜集团滇中智慧农业产业园的辐射带动作用，高品质推进雄关绿色农产品加工及物流产业建设，加快农产品废弃物资源化利用处理示范项目建设，推进雄关花卉科技示范项目、高原特色蔬菜、香料种植科技示范园项目建设，高端农业温室大棚及植物组培室项目建设。发展优质的蔬菜、花卉、猕猴桃等产业，引导葡萄、花卉、核桃、蔬菜等产业向合作社、庄园经济方向转变，全面带动江川特色农产品发展，将江川特色农产品加工产业做精做靓</w:t>
      </w:r>
      <w:r>
        <w:rPr>
          <w:rFonts w:hint="eastAsia" w:ascii="Times New Roman" w:hAnsi="Times New Roman" w:eastAsia="方正仿宋_GBK"/>
          <w:color w:val="auto"/>
          <w:sz w:val="32"/>
          <w:szCs w:val="32"/>
          <w:lang w:eastAsia="zh-CN"/>
        </w:rPr>
        <w:t>。</w:t>
      </w:r>
    </w:p>
    <w:p>
      <w:pPr>
        <w:spacing w:line="560" w:lineRule="exact"/>
        <w:ind w:firstLine="643" w:firstLineChars="200"/>
        <w:rPr>
          <w:rFonts w:ascii="Times New Roman" w:hAnsi="Times New Roman" w:eastAsia="方正仿宋_GBK"/>
          <w:color w:val="auto"/>
          <w:sz w:val="32"/>
          <w:szCs w:val="32"/>
        </w:rPr>
      </w:pPr>
      <w:r>
        <w:rPr>
          <w:rFonts w:ascii="Times New Roman" w:hAnsi="Times New Roman" w:eastAsia="方正仿宋_GBK"/>
          <w:b/>
          <w:color w:val="auto"/>
          <w:sz w:val="32"/>
          <w:szCs w:val="32"/>
        </w:rPr>
        <w:t>古滇青铜文化创业产业园</w:t>
      </w:r>
      <w:r>
        <w:rPr>
          <w:rFonts w:hint="eastAsia" w:ascii="Times New Roman" w:hAnsi="Times New Roman" w:eastAsia="方正仿宋_GBK"/>
          <w:b/>
          <w:color w:val="auto"/>
          <w:sz w:val="32"/>
          <w:szCs w:val="32"/>
        </w:rPr>
        <w:t>。</w:t>
      </w:r>
      <w:r>
        <w:rPr>
          <w:rFonts w:ascii="Times New Roman" w:hAnsi="Times New Roman" w:eastAsia="方正仿宋_GBK"/>
          <w:color w:val="auto"/>
          <w:sz w:val="32"/>
          <w:szCs w:val="32"/>
        </w:rPr>
        <w:t>积极推进“古滇青铜特色小镇”建设，开工建设</w:t>
      </w:r>
      <w:r>
        <w:rPr>
          <w:rFonts w:hint="eastAsia" w:ascii="Times New Roman" w:hAnsi="Times New Roman" w:eastAsia="方正仿宋_GBK"/>
          <w:color w:val="auto"/>
          <w:sz w:val="32"/>
          <w:szCs w:val="32"/>
        </w:rPr>
        <w:t>古滇铜街项目</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以李家山为核心，延伸至前卫、江城，以古滇文化、青铜文化为内涵，以文旅融合发展为重点，发展铜工艺、文创、研学、考古体验等新业态</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积极推进古滇铜街、智慧李家山文旅融合、古滇青铜文化产业园等项目建设。</w:t>
      </w:r>
      <w:r>
        <w:rPr>
          <w:rFonts w:ascii="Times New Roman" w:hAnsi="Times New Roman" w:eastAsia="方正仿宋_GBK"/>
          <w:color w:val="auto"/>
          <w:sz w:val="32"/>
          <w:szCs w:val="32"/>
        </w:rPr>
        <w:t>凸显古滇、青铜、渔</w:t>
      </w:r>
      <w:r>
        <w:rPr>
          <w:rFonts w:hint="eastAsia" w:ascii="Times New Roman" w:hAnsi="Times New Roman" w:eastAsia="方正仿宋_GBK"/>
          <w:color w:val="auto"/>
          <w:sz w:val="32"/>
          <w:szCs w:val="32"/>
        </w:rPr>
        <w:t>耕</w:t>
      </w:r>
      <w:r>
        <w:rPr>
          <w:rFonts w:ascii="Times New Roman" w:hAnsi="Times New Roman" w:eastAsia="方正仿宋_GBK"/>
          <w:color w:val="auto"/>
          <w:sz w:val="32"/>
          <w:szCs w:val="32"/>
        </w:rPr>
        <w:t>文化等高水平传承和发扬的核心要义，挖掘田园观光、休闲度假、自然生态和民俗文化等闪光点，统一规划建设，实现山湖互补、城景共融，打造集“吃、住、行、游、购、娱”为一体的江川旅游集散中心，带动江川文旅康养产业高层次发展。</w:t>
      </w:r>
    </w:p>
    <w:p>
      <w:pPr>
        <w:spacing w:line="560" w:lineRule="exact"/>
        <w:ind w:firstLine="643" w:firstLineChars="200"/>
        <w:rPr>
          <w:rFonts w:ascii="Times New Roman" w:hAnsi="Times New Roman" w:eastAsia="方正仿宋_GBK"/>
          <w:color w:val="auto"/>
          <w:sz w:val="32"/>
          <w:szCs w:val="32"/>
        </w:rPr>
      </w:pPr>
      <w:r>
        <w:rPr>
          <w:rFonts w:ascii="Times New Roman" w:hAnsi="Times New Roman" w:eastAsia="方正仿宋_GBK"/>
          <w:b/>
          <w:color w:val="auto"/>
          <w:sz w:val="32"/>
          <w:szCs w:val="32"/>
        </w:rPr>
        <w:t>江城纸制品产业园</w:t>
      </w:r>
      <w:r>
        <w:rPr>
          <w:rFonts w:hint="eastAsia" w:ascii="Times New Roman" w:hAnsi="Times New Roman" w:eastAsia="方正仿宋_GBK"/>
          <w:b/>
          <w:color w:val="auto"/>
          <w:sz w:val="32"/>
          <w:szCs w:val="32"/>
        </w:rPr>
        <w:t>。</w:t>
      </w:r>
      <w:r>
        <w:rPr>
          <w:rFonts w:ascii="Times New Roman" w:hAnsi="Times New Roman" w:eastAsia="方正仿宋_GBK"/>
          <w:color w:val="auto"/>
          <w:sz w:val="32"/>
          <w:szCs w:val="32"/>
        </w:rPr>
        <w:t>积极争取并用好用活园区建设发展、招商引资、土地、税收等方面优惠政策，加快园区配套基础设施建设，推进入园企业尽快建成投产，大力争取京东生鲜仓储物流园、板扎纸业等项目落地，引导和扶持传统产业继续实施技术革新和升级改造，不断提高彩印包装产品的附加值，增强工业的整体竞争力，切实增强工业支撑作用，加快江城纸制品产业园二期建设发展，促进产业结构优化升级，努力将江城纸制品产业园打造成为覆盖西南地区、辐射东南亚的中高端生活纸品加工基地。</w:t>
      </w:r>
    </w:p>
    <w:p>
      <w:pPr>
        <w:spacing w:line="560" w:lineRule="exact"/>
        <w:ind w:firstLine="643" w:firstLineChars="200"/>
        <w:rPr>
          <w:rFonts w:ascii="Times New Roman" w:hAnsi="Times New Roman" w:eastAsia="方正仿宋_GBK"/>
          <w:color w:val="auto"/>
          <w:sz w:val="32"/>
          <w:szCs w:val="32"/>
        </w:rPr>
      </w:pPr>
      <w:r>
        <w:rPr>
          <w:rFonts w:ascii="Times New Roman" w:hAnsi="Times New Roman" w:eastAsia="方正仿宋_GBK"/>
          <w:b/>
          <w:color w:val="auto"/>
          <w:sz w:val="32"/>
          <w:szCs w:val="32"/>
        </w:rPr>
        <w:t>花卉科创产业园</w:t>
      </w:r>
      <w:r>
        <w:rPr>
          <w:rFonts w:hint="eastAsia" w:ascii="Times New Roman" w:hAnsi="Times New Roman" w:eastAsia="方正仿宋_GBK"/>
          <w:b/>
          <w:color w:val="auto"/>
          <w:sz w:val="32"/>
          <w:szCs w:val="32"/>
        </w:rPr>
        <w:t>。</w:t>
      </w:r>
      <w:r>
        <w:rPr>
          <w:rFonts w:ascii="Times New Roman" w:hAnsi="Times New Roman" w:eastAsia="方正仿宋_GBK"/>
          <w:color w:val="auto"/>
          <w:sz w:val="32"/>
          <w:szCs w:val="32"/>
        </w:rPr>
        <w:t>根据江川得天独厚的气候条件和先进的科创条件，充分发挥九溪花卉科技研发、江城鲜花产业、安化多肉产业的优势，整合全区零散种植的资源，打造全域花卉科创产业园，将江川的花卉产业做大做强，成为农民稳</w:t>
      </w:r>
      <w:r>
        <w:rPr>
          <w:rFonts w:hint="eastAsia" w:ascii="Times New Roman" w:hAnsi="Times New Roman" w:eastAsia="方正仿宋_GBK"/>
          <w:color w:val="auto"/>
          <w:sz w:val="32"/>
          <w:szCs w:val="32"/>
          <w:lang w:eastAsia="zh-CN"/>
        </w:rPr>
        <w:t>产</w:t>
      </w:r>
      <w:r>
        <w:rPr>
          <w:rFonts w:ascii="Times New Roman" w:hAnsi="Times New Roman" w:eastAsia="方正仿宋_GBK"/>
          <w:color w:val="auto"/>
          <w:sz w:val="32"/>
          <w:szCs w:val="32"/>
        </w:rPr>
        <w:t>增收的重要渠道，打造高原特色农业新的增长点。将九溪“亚洲花卉科创谷”打造为全国一流、亚洲知名的国际花卉科创中心，加强对科研技术成果的转化应用，培育花卉新品种，力求从单纯引进国外品种向引育结合转化，重点发展设施栽培型、出口型等高精产品，实现科技兴花。进一步扩大九溪、江城、雄关、前卫鲜花和安化多肉的种植面积，加大科技投入，提升效益，同时通过互联网、物联网等新技术的应用，拓展花卉市场渠道，实现花卉产业线上线下深度融合，推动花卉产业转型升级。积极培育花卉专业合作社、花卉龙头企业、花木经纪人等新型经营主体，提升花卉产业发展源动力，深度挖掘花卉文化，讲好花卉故事，积极推进花卉一二三产深度融合，统筹花卉生产、科研、科普、体验协同发展，大力发展花卉生态游，打造花卉新业态，为乡村振兴拓展新路子。</w:t>
      </w:r>
    </w:p>
    <w:p>
      <w:pPr>
        <w:spacing w:line="560" w:lineRule="exact"/>
        <w:ind w:firstLine="643" w:firstLineChars="200"/>
        <w:rPr>
          <w:rFonts w:ascii="Times New Roman" w:hAnsi="Times New Roman" w:eastAsia="方正仿宋_GBK"/>
          <w:color w:val="auto"/>
          <w:sz w:val="32"/>
          <w:szCs w:val="32"/>
        </w:rPr>
      </w:pPr>
      <w:r>
        <w:rPr>
          <w:rFonts w:ascii="Times New Roman" w:hAnsi="Times New Roman" w:eastAsia="方正仿宋_GBK"/>
          <w:b/>
          <w:color w:val="auto"/>
          <w:sz w:val="32"/>
          <w:szCs w:val="32"/>
        </w:rPr>
        <w:t>小白坡小微企业创业园</w:t>
      </w:r>
      <w:r>
        <w:rPr>
          <w:rFonts w:hint="eastAsia" w:ascii="Times New Roman" w:hAnsi="Times New Roman" w:eastAsia="方正仿宋_GBK"/>
          <w:b/>
          <w:color w:val="auto"/>
          <w:sz w:val="32"/>
          <w:szCs w:val="32"/>
        </w:rPr>
        <w:t>。</w:t>
      </w:r>
      <w:r>
        <w:rPr>
          <w:rFonts w:ascii="Times New Roman" w:hAnsi="Times New Roman" w:eastAsia="方正仿宋_GBK"/>
          <w:color w:val="auto"/>
          <w:sz w:val="32"/>
          <w:szCs w:val="32"/>
        </w:rPr>
        <w:t>着力培育“四新”经济和“专精新特”企业，找准符合区域发展方向的产业，鼓励发展现代物流、信息服务、研发设计、电子商务等生产性服务业。以完善硬件设施为着力点，不断加强小微企业创业园建设，加快小</w:t>
      </w:r>
      <w:r>
        <w:rPr>
          <w:rFonts w:hint="eastAsia" w:ascii="Times New Roman" w:hAnsi="Times New Roman" w:eastAsia="方正仿宋_GBK"/>
          <w:color w:val="auto"/>
          <w:sz w:val="32"/>
          <w:szCs w:val="32"/>
          <w:lang w:eastAsia="zh-CN"/>
        </w:rPr>
        <w:t>微</w:t>
      </w:r>
      <w:r>
        <w:rPr>
          <w:rFonts w:ascii="Times New Roman" w:hAnsi="Times New Roman" w:eastAsia="方正仿宋_GBK"/>
          <w:color w:val="auto"/>
          <w:sz w:val="32"/>
          <w:szCs w:val="32"/>
        </w:rPr>
        <w:t>企业创业基地基础创建。以提升服务质量为着力点，以低租金</w:t>
      </w:r>
      <w:r>
        <w:rPr>
          <w:rFonts w:hint="eastAsia" w:ascii="Times New Roman" w:hAnsi="Times New Roman" w:eastAsia="方正仿宋_GBK"/>
          <w:color w:val="auto"/>
          <w:sz w:val="32"/>
          <w:szCs w:val="32"/>
          <w:lang w:eastAsia="zh-CN"/>
        </w:rPr>
        <w:t>、</w:t>
      </w:r>
      <w:r>
        <w:rPr>
          <w:rFonts w:ascii="Times New Roman" w:hAnsi="Times New Roman" w:eastAsia="方正仿宋_GBK"/>
          <w:color w:val="auto"/>
          <w:sz w:val="32"/>
          <w:szCs w:val="32"/>
        </w:rPr>
        <w:t>低门槛、低成本、低风险</w:t>
      </w:r>
      <w:r>
        <w:rPr>
          <w:rFonts w:hint="eastAsia" w:ascii="Times New Roman" w:hAnsi="Times New Roman" w:eastAsia="方正仿宋_GBK"/>
          <w:color w:val="auto"/>
          <w:sz w:val="32"/>
          <w:szCs w:val="32"/>
          <w:lang w:eastAsia="zh-CN"/>
        </w:rPr>
        <w:t>等</w:t>
      </w:r>
      <w:r>
        <w:rPr>
          <w:rFonts w:ascii="Times New Roman" w:hAnsi="Times New Roman" w:eastAsia="方正仿宋_GBK"/>
          <w:color w:val="auto"/>
          <w:sz w:val="32"/>
          <w:szCs w:val="32"/>
        </w:rPr>
        <w:t>优惠政策，吸引小微企业入驻，帮助小微企业解决初始创业的瓶颈问题，以优质服务助推企业做大做强，确保成功孵化。</w:t>
      </w:r>
    </w:p>
    <w:p>
      <w:pPr>
        <w:spacing w:line="560" w:lineRule="exact"/>
        <w:ind w:firstLine="640" w:firstLineChars="200"/>
        <w:rPr>
          <w:rFonts w:ascii="Times New Roman" w:hAnsi="Times New Roman" w:eastAsia="方正仿宋_GBK"/>
          <w:color w:val="auto"/>
          <w:sz w:val="32"/>
          <w:szCs w:val="32"/>
        </w:rPr>
      </w:pPr>
    </w:p>
    <w:p>
      <w:pPr>
        <w:spacing w:line="240" w:lineRule="auto"/>
        <w:ind w:firstLine="0" w:firstLineChars="0"/>
        <w:rPr>
          <w:rFonts w:eastAsia="方正仿宋_GBK"/>
          <w:color w:val="auto"/>
          <w:sz w:val="32"/>
          <w:szCs w:val="32"/>
        </w:rPr>
      </w:pPr>
      <w:r>
        <w:rPr>
          <w:color w:val="auto"/>
        </w:rPr>
        <w:br w:type="page"/>
      </w:r>
    </w:p>
    <w:p>
      <w:pPr>
        <w:pStyle w:val="3"/>
        <w:rPr>
          <w:rFonts w:eastAsia="方正仿宋_GBK"/>
          <w:bCs w:val="0"/>
          <w:color w:val="auto"/>
          <w:szCs w:val="32"/>
        </w:rPr>
      </w:pPr>
      <w:bookmarkStart w:id="68" w:name="_Toc30372"/>
      <w:bookmarkStart w:id="69" w:name="_Toc5459"/>
      <w:bookmarkStart w:id="70" w:name="_Toc446364469"/>
      <w:bookmarkStart w:id="71" w:name="_Toc19259"/>
      <w:r>
        <w:rPr>
          <w:rFonts w:hint="eastAsia" w:eastAsia="方正小标宋简体"/>
          <w:b w:val="0"/>
          <w:bCs w:val="0"/>
          <w:color w:val="auto"/>
          <w:sz w:val="40"/>
        </w:rPr>
        <w:t>第四篇　全面深化改革扩大开放，服务和融入新发展格局</w:t>
      </w:r>
      <w:bookmarkEnd w:id="68"/>
      <w:bookmarkEnd w:id="69"/>
      <w:bookmarkEnd w:id="70"/>
      <w:bookmarkEnd w:id="71"/>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找准定位，以深化改革激发发展活力，深化供给侧结构性改革，全面服务和融入“大循环、双循环”，持续扩大内需，拓展投资空间，实施更大范围、更宽领域、更深层次的改革开放，推动区域协调发展。 </w:t>
      </w:r>
    </w:p>
    <w:p>
      <w:pPr>
        <w:pStyle w:val="4"/>
        <w:rPr>
          <w:b w:val="0"/>
          <w:bCs w:val="0"/>
          <w:color w:val="auto"/>
          <w:sz w:val="36"/>
        </w:rPr>
      </w:pPr>
      <w:bookmarkStart w:id="72" w:name="_Toc446364470"/>
      <w:bookmarkStart w:id="73" w:name="_Toc21706"/>
      <w:bookmarkStart w:id="74" w:name="_Toc28634"/>
      <w:bookmarkStart w:id="75" w:name="_Toc26223"/>
      <w:bookmarkStart w:id="76" w:name="_Toc59746852"/>
      <w:r>
        <w:rPr>
          <w:rFonts w:hint="eastAsia"/>
          <w:b w:val="0"/>
          <w:bCs w:val="0"/>
          <w:color w:val="auto"/>
          <w:sz w:val="36"/>
        </w:rPr>
        <w:t>第十二章</w:t>
      </w:r>
      <w:r>
        <w:rPr>
          <w:b w:val="0"/>
          <w:bCs w:val="0"/>
          <w:color w:val="auto"/>
          <w:sz w:val="36"/>
        </w:rPr>
        <w:t xml:space="preserve">  </w:t>
      </w:r>
      <w:r>
        <w:rPr>
          <w:rFonts w:hint="eastAsia"/>
          <w:b w:val="0"/>
          <w:bCs w:val="0"/>
          <w:color w:val="auto"/>
          <w:sz w:val="36"/>
        </w:rPr>
        <w:t>主动服务和融入新发展格局</w:t>
      </w:r>
      <w:bookmarkEnd w:id="72"/>
      <w:bookmarkEnd w:id="73"/>
      <w:bookmarkEnd w:id="74"/>
      <w:bookmarkEnd w:id="75"/>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构建新发展格局，是以习近平同志为核心的党中央着眼我国经济中长期发展作出的重大战略部署，是一项全局性战略、系统性举措，必须深刻领会构建新发展格局的丰富内涵和发展特征，在服务和融入新发展格局中有所作为、大有作为。</w:t>
      </w:r>
    </w:p>
    <w:p>
      <w:pPr>
        <w:spacing w:line="560" w:lineRule="exact"/>
        <w:ind w:firstLine="640" w:firstLineChars="200"/>
        <w:rPr>
          <w:rFonts w:ascii="Times New Roman" w:hAnsi="Times New Roman" w:eastAsia="方正仿宋_GBK"/>
          <w:color w:val="auto"/>
          <w:sz w:val="32"/>
          <w:szCs w:val="32"/>
        </w:rPr>
      </w:pPr>
      <w:r>
        <w:rPr>
          <w:rFonts w:hint="eastAsia" w:ascii="黑体" w:hAnsi="黑体" w:eastAsia="黑体"/>
          <w:color w:val="auto"/>
          <w:sz w:val="32"/>
          <w:szCs w:val="32"/>
        </w:rPr>
        <w:t>一、注重要素聚集</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提升政府统筹能力，发挥制度优势，集中力量办大事，消除行政区划对资源优化配置、生产要素合理流动的制约，推动形成强大规模效应，把高端的要素循环到江川来，以畅通要素循环来提升经济竞争力、拓展新空间。</w:t>
      </w:r>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聚集市场主体。</w:t>
      </w:r>
      <w:r>
        <w:rPr>
          <w:rFonts w:hint="eastAsia" w:ascii="Times New Roman" w:hAnsi="Times New Roman" w:eastAsia="方正仿宋_GBK"/>
          <w:color w:val="auto"/>
          <w:sz w:val="32"/>
          <w:szCs w:val="32"/>
        </w:rPr>
        <w:t>抓好循环主体，在培育壮大市场主体上持续深入地下功夫，着力“抓大”“扶小”“稳链”“育新”。大力营造重商重企的良好氛围，构建亲清型政商关系，以实实在在的政策支撑打造有利于集聚更多高端生产要素的营商环境，竭尽所能为企业发展提供支持服务、排忧解难。</w:t>
      </w:r>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聚集技术要素。</w:t>
      </w:r>
      <w:r>
        <w:rPr>
          <w:rFonts w:hint="eastAsia" w:ascii="Times New Roman" w:hAnsi="Times New Roman" w:eastAsia="方正仿宋_GBK"/>
          <w:color w:val="auto"/>
          <w:sz w:val="32"/>
          <w:szCs w:val="32"/>
        </w:rPr>
        <w:t>把优质的技术要素在循环中聚集到江川，发挥我区农业技术创新基础好、工业创新空间大、服务业创新需求多</w:t>
      </w:r>
      <w:r>
        <w:rPr>
          <w:rFonts w:hint="eastAsia" w:ascii="Times New Roman" w:hAnsi="Times New Roman" w:eastAsia="方正仿宋_GBK"/>
          <w:color w:val="auto"/>
          <w:sz w:val="32"/>
          <w:szCs w:val="32"/>
          <w:lang w:eastAsia="zh-CN"/>
        </w:rPr>
        <w:t>等</w:t>
      </w:r>
      <w:r>
        <w:rPr>
          <w:rFonts w:hint="eastAsia" w:ascii="Times New Roman" w:hAnsi="Times New Roman" w:eastAsia="方正仿宋_GBK"/>
          <w:color w:val="auto"/>
          <w:sz w:val="32"/>
          <w:szCs w:val="32"/>
        </w:rPr>
        <w:t>特点，抓住新发展阶段创新驱动发展政策体系基本形成的机遇，着力打造以科技创新为核心、多领域互动、多要素联动的综合创新生态体系，增加高质量科技供给。</w:t>
      </w:r>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聚集产业要素。</w:t>
      </w:r>
      <w:r>
        <w:rPr>
          <w:rFonts w:hint="eastAsia" w:ascii="Times New Roman" w:hAnsi="Times New Roman" w:eastAsia="方正仿宋_GBK"/>
          <w:color w:val="auto"/>
          <w:sz w:val="32"/>
          <w:szCs w:val="32"/>
        </w:rPr>
        <w:t>用好市场这个载体，从注重生产环节向注重流通、中转、集散环节转变提升，充分发挥内引外联作用，推动各环节生产要素集聚，加快从中低端产业为主向中高端产业为主转变，提升竞争力。</w:t>
      </w:r>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聚集资本要素。</w:t>
      </w:r>
      <w:r>
        <w:rPr>
          <w:rFonts w:hint="eastAsia" w:ascii="Times New Roman" w:hAnsi="Times New Roman" w:eastAsia="方正仿宋_GBK"/>
          <w:color w:val="auto"/>
          <w:sz w:val="32"/>
          <w:szCs w:val="32"/>
        </w:rPr>
        <w:t>积极探索多元化融资方式，充分发挥区级财政资金的杠杆作用，撬动大量国家的专项债券和社会资本，以金融体系创新支持实体经济升级。要积极引进各类商业性、政策性银行到江川设立分支机构，支持各类保险机构、证券机构、创业和风险投资机构的发展。要加快融合招商引资和招才引智协同运行机制，形成人才资本高地。</w:t>
      </w:r>
    </w:p>
    <w:p>
      <w:pPr>
        <w:spacing w:line="540" w:lineRule="exact"/>
        <w:ind w:firstLine="640" w:firstLineChars="200"/>
        <w:rPr>
          <w:rFonts w:ascii="黑体" w:hAnsi="黑体" w:eastAsia="黑体"/>
          <w:color w:val="auto"/>
          <w:sz w:val="32"/>
          <w:szCs w:val="32"/>
        </w:rPr>
      </w:pPr>
      <w:r>
        <w:rPr>
          <w:rFonts w:hint="eastAsia" w:ascii="黑体" w:hAnsi="黑体" w:eastAsia="黑体"/>
          <w:color w:val="auto"/>
          <w:sz w:val="32"/>
          <w:szCs w:val="32"/>
        </w:rPr>
        <w:t>二、打通关键环节</w:t>
      </w:r>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坚决破除妨碍要素市场化配置和商品服务流通的体制机制障碍，贯通生产、分配、流通、消费各环节。</w:t>
      </w:r>
    </w:p>
    <w:p>
      <w:pPr>
        <w:spacing w:line="54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打通先进制造环节。</w:t>
      </w:r>
      <w:r>
        <w:rPr>
          <w:rFonts w:hint="eastAsia" w:ascii="Times New Roman" w:hAnsi="Times New Roman" w:eastAsia="方正仿宋_GBK"/>
          <w:color w:val="auto"/>
          <w:sz w:val="32"/>
          <w:szCs w:val="32"/>
        </w:rPr>
        <w:t>要突出精准供给、高端供给，继续推进新材料、新能源、装备制造、纸制品、农产品加工等产业集聚发展，打造具有江川标志的产业链，为市场提供高品质产品，为参与国内大循环夯实基础。</w:t>
      </w:r>
    </w:p>
    <w:p>
      <w:pPr>
        <w:spacing w:line="54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打通现代流通环节。</w:t>
      </w:r>
      <w:r>
        <w:rPr>
          <w:rFonts w:hint="eastAsia" w:ascii="Times New Roman" w:hAnsi="Times New Roman" w:eastAsia="方正仿宋_GBK"/>
          <w:color w:val="auto"/>
          <w:sz w:val="32"/>
          <w:szCs w:val="32"/>
        </w:rPr>
        <w:t>着力建设城乡融合消费网络，优化城乡商业网点布局，加强消费物流基础设施建设，健全现代流通网络体系，有效降低流通成本。充分利用江川地处滇中的区位优势，聚焦要素流通的路网、水网、信息网、物流网等领域加快补齐短板，全力支持宏程物流、润特物流、云南世吉等现代物流企业发展，完善城乡物流体系布局，全面畅通“循环”体系，为畅通大循环提供便捷高效低成本的优质流通服务。</w:t>
      </w:r>
    </w:p>
    <w:p>
      <w:pPr>
        <w:spacing w:line="54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打通消费市场环节。</w:t>
      </w:r>
      <w:r>
        <w:rPr>
          <w:rFonts w:hint="eastAsia" w:ascii="Times New Roman" w:hAnsi="Times New Roman" w:eastAsia="方正仿宋_GBK"/>
          <w:color w:val="auto"/>
          <w:sz w:val="32"/>
          <w:szCs w:val="32"/>
        </w:rPr>
        <w:t>巩固传统消费的同时，顺应居民消费升级趋势，应用大数据、工业互联网等技术，研发适销对路的消费产品。注重创造消费场景，深入研究国内大循环市场特征和消费需求变化，积极发展共享经济、夜间经济、民宿经济等新模式、新业态，大力发展文旅、体育、康养产业，推动消费供给升级，重点推进文旅休闲消费提质升级，丰富特色文化旅游产品，改善旅游与购物环境，创新文化旅游宣传推广模式。把人聚集吸引到江川来，增强消费对经济发展的基础性作用。</w:t>
      </w:r>
    </w:p>
    <w:p>
      <w:pPr>
        <w:spacing w:line="54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打通数字化环节。</w:t>
      </w:r>
      <w:r>
        <w:rPr>
          <w:rFonts w:hint="eastAsia" w:ascii="Times New Roman" w:hAnsi="Times New Roman" w:eastAsia="方正仿宋_GBK"/>
          <w:color w:val="auto"/>
          <w:sz w:val="32"/>
          <w:szCs w:val="32"/>
        </w:rPr>
        <w:t>加快构建“智能+”消费生态体系，鼓励线上线下融合等新消费模式发展，鼓励使用绿色智能产品，大力发展“互联网+社会服务”消费。积极培育数字经济新动能，把数字化转型贯穿于党的领导和经济、政治、文化、社会、生态文明各方面。全面营造放心消费环境，强化市场秩序监管，积极推进消费领域信用体系建设，畅通消费者维权渠道。</w:t>
      </w:r>
    </w:p>
    <w:p>
      <w:pPr>
        <w:spacing w:line="540" w:lineRule="exact"/>
        <w:ind w:firstLine="640" w:firstLineChars="200"/>
        <w:rPr>
          <w:rFonts w:ascii="黑体" w:hAnsi="黑体" w:eastAsia="黑体"/>
          <w:color w:val="auto"/>
          <w:sz w:val="32"/>
          <w:szCs w:val="32"/>
        </w:rPr>
      </w:pPr>
      <w:r>
        <w:rPr>
          <w:rFonts w:hint="eastAsia" w:ascii="黑体" w:hAnsi="黑体" w:eastAsia="黑体"/>
          <w:color w:val="auto"/>
          <w:sz w:val="32"/>
          <w:szCs w:val="32"/>
        </w:rPr>
        <w:t>三、着力扩大内需消费</w:t>
      </w:r>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坚持供给和需求两端发力，把握深化供给侧结构性改革主线，扭住扩大内需战略基点，改善供给质量，提升供给体系适配性，提升商品和服务竞争力。形成需求牵引供给、供给创造需求的高水平动态平衡，更好满足广大人民群众日益增长、不断升级的物质文化需求。做大做强区内市场规模，着力吸引更多本地人民群众消费落地在江川，逐步实现由在外消费向外来消费转变。以打造城市经济为切入点，提升城市消费能级，鼓励消费新模式新业态发展。全面提升传统消费，激活农村家电、汽车、文化、娱乐等消费。稳定和增加居民财产性收入，持续提升居民消费能力。</w:t>
      </w:r>
    </w:p>
    <w:bookmarkEnd w:id="76"/>
    <w:p>
      <w:pPr>
        <w:spacing w:line="540" w:lineRule="exact"/>
        <w:ind w:firstLine="640" w:firstLineChars="200"/>
        <w:rPr>
          <w:rFonts w:ascii="黑体" w:hAnsi="黑体"/>
          <w:color w:val="auto"/>
          <w:sz w:val="32"/>
        </w:rPr>
      </w:pPr>
      <w:bookmarkStart w:id="77" w:name="_Toc59746853"/>
      <w:r>
        <w:rPr>
          <w:rFonts w:hint="eastAsia" w:ascii="黑体" w:hAnsi="黑体" w:eastAsia="黑体"/>
          <w:color w:val="auto"/>
          <w:sz w:val="32"/>
          <w:szCs w:val="32"/>
        </w:rPr>
        <w:t>四、着力拓展投资空间</w:t>
      </w:r>
      <w:bookmarkEnd w:id="77"/>
    </w:p>
    <w:p>
      <w:pPr>
        <w:spacing w:line="54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激发投资活力。</w:t>
      </w:r>
      <w:r>
        <w:rPr>
          <w:rFonts w:hint="eastAsia" w:ascii="Times New Roman" w:hAnsi="Times New Roman" w:eastAsia="方正仿宋_GBK"/>
          <w:color w:val="auto"/>
          <w:sz w:val="32"/>
          <w:szCs w:val="32"/>
        </w:rPr>
        <w:t>围绕补短板、强弱项、增动力，聚焦市政工程、道路交通、农业农村、公共安全、生态环保、公共服务、民生保障等领域补短板。着力保持固定资产投资稳步增长态势，加快推进“两新一重”建设，不断优化投资结构，力争产业投资、工业投资、民间投资稳步增加。落实项目推进责任清单机制，全力强化要素保障，落实工程投资项目审批制度改革，进一步压缩项目审批时限，加大项目用地储备供应力度，加快部分饮用水水源保护区功能调整，努力破解制约因素，保障项目顺利建设。加强项目储备，加快项目前期工作进度，做好中央预算内投资、地方政府专项债券的争取工作，拓宽民间投资渠道，激活民间投资活力，形成多元投融资模式。</w:t>
      </w:r>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加大招商引资引智力度。</w:t>
      </w:r>
      <w:r>
        <w:rPr>
          <w:rFonts w:hint="eastAsia" w:ascii="Times New Roman" w:hAnsi="Times New Roman" w:eastAsia="方正仿宋_GBK"/>
          <w:color w:val="auto"/>
          <w:sz w:val="32"/>
          <w:szCs w:val="32"/>
        </w:rPr>
        <w:t>树立招商引资是经济社会发展“生命线工程”和经济工作“第一抓手”理念，创新招商引资体制机制。以工业园区和重点项目为龙头引领招商引资平台建设，发挥园区的引领和带动作用，着力把园区建设成为带动全区经济发展和实施区域发展战略的重要载体。完善招商方式，按照“强龙头、聚集群、补链条、强弱项”的要求，聚焦高原特色农业、大健康、旅游、商贸服务等产业精准招商，着力引进关联度高、产业链长、带动性强的大型企业和骨干项目，促进结构调整、产业升级和经济转型。充分发挥园区土地承载能力，进一步节约集约使用土地。完善招商项目协调服务机制，继续推行投资项目代办制度，解决项目落地建设“最后一公里”问题，确保招商项目早签约、早开工、早投产，完善招商项目退出机制，及时清退出场不符合要求的企业。积极高效引进外资，创新利用外资方式，鼓励外资企业增资扩股，积极争取多样化、来源广的外资支持。强化招才引智，建立科技人才评价体系，配套建立财税优惠、住房保障、产学研对接等制度，营造更加优质人才环境，构筑人才队伍洼地。</w:t>
      </w:r>
    </w:p>
    <w:p>
      <w:pPr>
        <w:pStyle w:val="4"/>
        <w:rPr>
          <w:b/>
          <w:color w:val="auto"/>
          <w:sz w:val="36"/>
        </w:rPr>
      </w:pPr>
      <w:bookmarkStart w:id="78" w:name="_Toc4010"/>
      <w:bookmarkStart w:id="79" w:name="_Toc5301"/>
      <w:bookmarkStart w:id="80" w:name="_Toc446364471"/>
      <w:bookmarkStart w:id="81" w:name="_Toc24249"/>
      <w:r>
        <w:rPr>
          <w:rFonts w:hint="eastAsia"/>
          <w:b/>
          <w:color w:val="auto"/>
          <w:sz w:val="36"/>
        </w:rPr>
        <w:t>第十三章  全面深化重点领域改革</w:t>
      </w:r>
      <w:bookmarkEnd w:id="78"/>
      <w:bookmarkEnd w:id="79"/>
      <w:bookmarkEnd w:id="80"/>
      <w:bookmarkEnd w:id="81"/>
    </w:p>
    <w:p>
      <w:pPr>
        <w:spacing w:line="560" w:lineRule="exact"/>
        <w:ind w:firstLine="640" w:firstLineChars="200"/>
        <w:rPr>
          <w:rFonts w:ascii="Times New Roman" w:hAnsi="Times New Roman" w:eastAsia="方正仿宋_GBK"/>
          <w:color w:val="auto"/>
          <w:sz w:val="32"/>
          <w:szCs w:val="32"/>
        </w:rPr>
      </w:pPr>
      <w:r>
        <w:rPr>
          <w:rFonts w:hint="eastAsia" w:ascii="方正仿宋_GBK" w:hAnsi="方正仿宋_GBK" w:eastAsia="方正仿宋_GBK" w:cs="方正仿宋_GBK"/>
          <w:color w:val="auto"/>
          <w:sz w:val="32"/>
          <w:szCs w:val="28"/>
        </w:rPr>
        <w:t>坚</w:t>
      </w:r>
      <w:r>
        <w:rPr>
          <w:rFonts w:hint="eastAsia" w:ascii="Times New Roman" w:hAnsi="Times New Roman" w:eastAsia="方正仿宋_GBK"/>
          <w:color w:val="auto"/>
          <w:sz w:val="32"/>
          <w:szCs w:val="32"/>
        </w:rPr>
        <w:t>持和完善社会主义基本经济制度，充分发挥市场在资源配置中的决定性作用，更好发挥政府作用，推动有效市场和有为政府更好结合。</w:t>
      </w:r>
    </w:p>
    <w:p>
      <w:pPr>
        <w:spacing w:line="560" w:lineRule="exact"/>
        <w:ind w:firstLine="640" w:firstLineChars="200"/>
        <w:rPr>
          <w:rFonts w:ascii="黑体" w:hAnsi="黑体" w:eastAsia="黑体"/>
          <w:color w:val="auto"/>
          <w:sz w:val="32"/>
          <w:szCs w:val="32"/>
        </w:rPr>
      </w:pPr>
      <w:r>
        <w:rPr>
          <w:rFonts w:hint="eastAsia" w:ascii="黑体" w:hAnsi="黑体" w:eastAsia="黑体"/>
          <w:color w:val="auto"/>
          <w:sz w:val="32"/>
          <w:szCs w:val="32"/>
        </w:rPr>
        <w:t>一、深化财税体制改革</w:t>
      </w:r>
    </w:p>
    <w:p>
      <w:pPr>
        <w:spacing w:line="540" w:lineRule="exact"/>
        <w:ind w:firstLine="640" w:firstLineChars="200"/>
        <w:rPr>
          <w:rFonts w:hint="eastAsia" w:ascii="Times New Roman" w:hAnsi="Times New Roman" w:eastAsia="方正仿宋_GBK"/>
          <w:color w:val="auto"/>
          <w:sz w:val="32"/>
          <w:szCs w:val="32"/>
        </w:rPr>
      </w:pPr>
      <w:r>
        <w:rPr>
          <w:rFonts w:hint="eastAsia" w:ascii="Times New Roman" w:hAnsi="Times New Roman" w:eastAsia="方正仿宋_GBK"/>
          <w:color w:val="auto"/>
          <w:sz w:val="32"/>
          <w:szCs w:val="32"/>
        </w:rPr>
        <w:t>推进零基预算管理改革，强化收支管理。完善财政收支预算、决算及部门预算、决算制度，强化财政专项资金管理。严格贯彻落实财政预决算信息、“三公”经费、专项资金、政府采购等信息公开公示制度。明确区和乡之间的财政分配关系，划分收支范围，完善转移支付制度。建立以区为主组织运转经费保障机制，规范区和乡之间的财政资金拨付。深化国库管理改革，深入推进政府财务报告制度管理，建立财政资金支出精准、高效的管控机制。建立全方位、全过程、全覆盖的预算绩效管理体系，建立绩效与预算有机衔接的激励约束机制。</w:t>
      </w:r>
    </w:p>
    <w:p>
      <w:pPr>
        <w:spacing w:line="540" w:lineRule="exact"/>
        <w:ind w:firstLine="640" w:firstLineChars="200"/>
        <w:rPr>
          <w:rFonts w:hint="eastAsia" w:ascii="Times New Roman" w:hAnsi="Times New Roman" w:eastAsia="方正仿宋_GBK"/>
          <w:color w:val="auto"/>
          <w:sz w:val="32"/>
          <w:szCs w:val="32"/>
        </w:rPr>
      </w:pPr>
      <w:r>
        <w:rPr>
          <w:rFonts w:hint="eastAsia" w:ascii="Times New Roman" w:hAnsi="Times New Roman" w:eastAsia="方正仿宋_GBK"/>
          <w:color w:val="auto"/>
          <w:sz w:val="32"/>
          <w:szCs w:val="32"/>
        </w:rPr>
        <w:t>提高财政资源配置效率和使用效益，提高预算管理水平和政策实施效果。推动形成权责清晰、财力协调、区域均衡财政关系，加快建立现代财政的制度。持续推进税制改革，严格执行国家税收优惠政策，全面落实国家减税降费各项政策措施，切实减轻企业负担，支持实体经济发展。积极推进增值税、消费税等税收制度改革。</w:t>
      </w:r>
    </w:p>
    <w:p>
      <w:pPr>
        <w:spacing w:line="540" w:lineRule="exact"/>
        <w:ind w:firstLine="640" w:firstLineChars="200"/>
        <w:rPr>
          <w:rFonts w:ascii="Calibri" w:hAnsi="Calibri" w:eastAsia="宋体"/>
          <w:color w:val="auto"/>
          <w:sz w:val="21"/>
          <w:szCs w:val="22"/>
        </w:rPr>
      </w:pPr>
      <w:r>
        <w:rPr>
          <w:rFonts w:hint="eastAsia" w:ascii="Times New Roman" w:hAnsi="Times New Roman" w:eastAsia="方正仿宋_GBK"/>
          <w:color w:val="auto"/>
          <w:sz w:val="32"/>
          <w:szCs w:val="32"/>
        </w:rPr>
        <w:t>深入推进价格机制改革，完善价格管理机制，推动价格管理由直接定价向规范价格行为、服务宏观调控转变，落实价格保障机制，兜住民生价格底线，为经济社会发展提供价格保障。</w:t>
      </w:r>
    </w:p>
    <w:p>
      <w:pPr>
        <w:spacing w:line="540" w:lineRule="exact"/>
        <w:ind w:firstLine="640" w:firstLineChars="200"/>
        <w:rPr>
          <w:rFonts w:ascii="黑体" w:hAnsi="黑体" w:eastAsia="黑体"/>
          <w:color w:val="auto"/>
          <w:sz w:val="32"/>
          <w:szCs w:val="32"/>
        </w:rPr>
      </w:pPr>
      <w:r>
        <w:rPr>
          <w:rFonts w:hint="eastAsia" w:ascii="黑体" w:hAnsi="黑体" w:eastAsia="黑体"/>
          <w:color w:val="auto"/>
          <w:sz w:val="32"/>
          <w:szCs w:val="32"/>
        </w:rPr>
        <w:t>二、深化国资国企改革</w:t>
      </w:r>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优化国有资本布局结构调整，做强农业，做优以康养旅游为主的服务业，布局新能源、新材料、第五代移动通信技术、大数据等新兴产业，促进国有资本进一步向产业链价值链中高端集中、向重点产业园区集中。加强企业战略规划管理，加强企业质量管理体系和标准体系建设。鼓励民营企业参与国有企业混合所有制改革，切实保障各类股东的平等权利，促进企业治理机制完善和经营机制转换。依托国有资本投资、运营公司，开展产业投资、资本运营和资源整合，打造资产管理整合平台，推动企业资产结构优化。坚持加强党的领导和完善公司治理相统一，健全“党组织研究讨论企业重大决策前置”机制。完善企业管理制度，建立标准化流程，推进企业管理信息化建设。大力实施降本增效，促进经营管理向集约化、精细化、标准化转变。完善企业运营全过程风险管控机制。建立企业资产负债率预警线和管控线，优化债务结构，降低负债水平，防范化解债务风险。有序开展金融业务，严禁脱离主业单纯做大金融业务。严控投资风险，健全企业投资监督管理体系，强化投前风险评估、做好投中风险预警处置、防范投后运营风险。严守安全环保底线，健全风险管控与隐患排查治理体系，坚决防止重大安全事故和环保事件发生。</w:t>
      </w:r>
    </w:p>
    <w:p>
      <w:pPr>
        <w:spacing w:line="560" w:lineRule="exact"/>
        <w:ind w:firstLine="640" w:firstLineChars="200"/>
        <w:rPr>
          <w:rFonts w:ascii="黑体" w:hAnsi="黑体" w:eastAsia="黑体"/>
          <w:color w:val="auto"/>
          <w:sz w:val="32"/>
          <w:szCs w:val="32"/>
        </w:rPr>
      </w:pPr>
      <w:r>
        <w:rPr>
          <w:rFonts w:hint="eastAsia" w:ascii="黑体" w:hAnsi="黑体" w:eastAsia="黑体"/>
          <w:color w:val="auto"/>
          <w:sz w:val="32"/>
          <w:szCs w:val="32"/>
        </w:rPr>
        <w:t>三、深化投融资体制改革</w:t>
      </w:r>
    </w:p>
    <w:p>
      <w:pPr>
        <w:spacing w:line="540" w:lineRule="exact"/>
        <w:ind w:firstLine="640" w:firstLineChars="200"/>
        <w:rPr>
          <w:rFonts w:ascii="Times New Roman" w:hAnsi="Times New Roman" w:eastAsia="方正仿宋_GBK"/>
          <w:color w:val="auto"/>
          <w:sz w:val="32"/>
          <w:szCs w:val="32"/>
        </w:rPr>
      </w:pPr>
      <w:r>
        <w:rPr>
          <w:rFonts w:ascii="Times New Roman" w:hAnsi="Times New Roman" w:eastAsia="方正仿宋_GBK"/>
          <w:bCs/>
          <w:color w:val="auto"/>
          <w:sz w:val="32"/>
          <w:szCs w:val="32"/>
        </w:rPr>
        <w:t>深化“放管服”改革，打造市场化、法治化、国际化营商环境</w:t>
      </w:r>
      <w:r>
        <w:rPr>
          <w:rFonts w:hint="eastAsia" w:ascii="Times New Roman" w:hAnsi="Times New Roman" w:eastAsia="方正仿宋_GBK"/>
          <w:color w:val="auto"/>
          <w:sz w:val="32"/>
          <w:szCs w:val="32"/>
        </w:rPr>
        <w:t>。完善政策投资管理体制，加强政府投资事中事后监管，更好发挥政府投资对优化供给</w:t>
      </w:r>
      <w:r>
        <w:rPr>
          <w:rFonts w:hint="eastAsia" w:ascii="Times New Roman" w:hAnsi="Times New Roman" w:eastAsia="方正仿宋_GBK"/>
          <w:color w:val="auto"/>
          <w:sz w:val="32"/>
          <w:szCs w:val="32"/>
          <w:lang w:eastAsia="zh-CN"/>
        </w:rPr>
        <w:t>侧</w:t>
      </w:r>
      <w:r>
        <w:rPr>
          <w:rFonts w:hint="eastAsia" w:ascii="Times New Roman" w:hAnsi="Times New Roman" w:eastAsia="方正仿宋_GBK"/>
          <w:color w:val="auto"/>
          <w:sz w:val="32"/>
          <w:szCs w:val="32"/>
        </w:rPr>
        <w:t>结构的引导带动作用。提高直接融资比重，促进多层次资本市场健康发展，增强金融服务经济能力。完善担保体系建设，探索建立企业融资基金，支持区内中小微贷款。试点成立区级政府融资平台，推进融资的市场化转型。提升金融机构综合服务能力，探索直接融资奖补政策，开展直接融资创新试点。鼓励金融机构、第三方平台公司、社会资本通过合法的方式，参与大项目融资，强化间接融资供给。探索政府性融资担保制度，增强支持小微企业和“三农”融资担保能力。完善金融信用信息基础数据收集整理，探索建立企业征信服务机构，改善小微企业征信服务。推进农村金融改革，建立银行业金融机构服务“三农”的激励机制。加快开展财政支持深化民营和小微企业金融服务综合改革试点。</w:t>
      </w:r>
    </w:p>
    <w:p>
      <w:pPr>
        <w:pStyle w:val="4"/>
        <w:spacing w:line="540" w:lineRule="exact"/>
        <w:rPr>
          <w:b w:val="0"/>
          <w:bCs w:val="0"/>
          <w:color w:val="auto"/>
          <w:sz w:val="36"/>
        </w:rPr>
      </w:pPr>
      <w:bookmarkStart w:id="82" w:name="_Toc30541"/>
      <w:bookmarkStart w:id="83" w:name="_Toc446364472"/>
      <w:bookmarkStart w:id="84" w:name="_Toc3456"/>
      <w:bookmarkStart w:id="85" w:name="_Toc21718"/>
      <w:r>
        <w:rPr>
          <w:rFonts w:hint="eastAsia"/>
          <w:b w:val="0"/>
          <w:bCs w:val="0"/>
          <w:color w:val="auto"/>
          <w:sz w:val="36"/>
        </w:rPr>
        <w:t>第十四章　全面形成开放新格局</w:t>
      </w:r>
      <w:bookmarkEnd w:id="82"/>
      <w:bookmarkEnd w:id="83"/>
      <w:bookmarkEnd w:id="84"/>
      <w:bookmarkEnd w:id="85"/>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正确认识和把握江川在国家、省、市对外开放大局中的地位和作用，主动服务和融入国家、省、市开放发展战略，持续优化营商环境，坚定不移扩大高水平、多领域、全方位对外开放，打造进出口贸易中转站和集散地。</w:t>
      </w:r>
    </w:p>
    <w:p>
      <w:pPr>
        <w:spacing w:line="540" w:lineRule="exact"/>
        <w:ind w:firstLine="640" w:firstLineChars="200"/>
        <w:rPr>
          <w:rFonts w:ascii="黑体" w:hAnsi="黑体" w:eastAsia="黑体"/>
          <w:color w:val="auto"/>
          <w:sz w:val="32"/>
          <w:szCs w:val="32"/>
        </w:rPr>
      </w:pPr>
      <w:r>
        <w:rPr>
          <w:rFonts w:hint="eastAsia" w:ascii="黑体" w:hAnsi="黑体" w:eastAsia="黑体"/>
          <w:color w:val="auto"/>
          <w:sz w:val="32"/>
          <w:szCs w:val="32"/>
        </w:rPr>
        <w:t>一、扩大对外开放</w:t>
      </w:r>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加快外贸转型升级，支持加工贸易转型升级，引导传统出口企业向产业链高端发展，提升产品技术含量和附加值，提高中高端商品的出口比例。落实贸易和投资自由化便利化政策，加快服务外贸的平台和载体建设，积极培育跨境电商等外贸新业态新模式。提升利用外资水平，构建面向全球的招商网络，建设“一站式”外商投资促进服务平台，推动优势产业拓展海外市场。加快对接西部陆海新通道，融入中缅经济走廊建设和中老命运共同体建设。积极参与“一带一路”、西部陆海新通道、云南面向南亚东南亚辐射中心建设，加强江川与滇中城市群的互动，将江川打造成连接中南半岛以及环印度洋地区对外经济廊道的重要节点，形成优势互补、分工协作、内外联动的开放合作新格局。</w:t>
      </w:r>
    </w:p>
    <w:p>
      <w:pPr>
        <w:spacing w:line="540" w:lineRule="exact"/>
        <w:ind w:firstLine="640" w:firstLineChars="200"/>
        <w:rPr>
          <w:rFonts w:ascii="黑体" w:hAnsi="黑体" w:eastAsia="黑体"/>
          <w:color w:val="auto"/>
          <w:sz w:val="32"/>
          <w:szCs w:val="32"/>
        </w:rPr>
      </w:pPr>
      <w:r>
        <w:rPr>
          <w:rFonts w:hint="eastAsia" w:ascii="黑体" w:hAnsi="黑体" w:eastAsia="黑体"/>
          <w:color w:val="auto"/>
          <w:sz w:val="32"/>
          <w:szCs w:val="32"/>
        </w:rPr>
        <w:t>二、大力发展外向型经济</w:t>
      </w:r>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以重点产业、企业</w:t>
      </w:r>
      <w:r>
        <w:rPr>
          <w:rFonts w:hint="eastAsia" w:ascii="Times New Roman" w:hAnsi="Times New Roman" w:eastAsia="方正仿宋_GBK"/>
          <w:color w:val="auto"/>
          <w:sz w:val="32"/>
          <w:szCs w:val="32"/>
          <w:lang w:eastAsia="zh-CN"/>
        </w:rPr>
        <w:t>、</w:t>
      </w:r>
      <w:r>
        <w:rPr>
          <w:rFonts w:hint="eastAsia" w:ascii="Times New Roman" w:hAnsi="Times New Roman" w:eastAsia="方正仿宋_GBK"/>
          <w:color w:val="auto"/>
          <w:sz w:val="32"/>
          <w:szCs w:val="32"/>
        </w:rPr>
        <w:t>产品为</w:t>
      </w:r>
      <w:r>
        <w:rPr>
          <w:rFonts w:hint="eastAsia" w:ascii="Times New Roman" w:hAnsi="Times New Roman" w:eastAsia="方正仿宋_GBK"/>
          <w:color w:val="auto"/>
          <w:sz w:val="32"/>
          <w:szCs w:val="32"/>
          <w:lang w:eastAsia="zh-CN"/>
        </w:rPr>
        <w:t>突破口</w:t>
      </w:r>
      <w:r>
        <w:rPr>
          <w:rFonts w:hint="eastAsia" w:ascii="Times New Roman" w:hAnsi="Times New Roman" w:eastAsia="方正仿宋_GBK"/>
          <w:color w:val="auto"/>
          <w:sz w:val="32"/>
          <w:szCs w:val="32"/>
        </w:rPr>
        <w:t>，大力发展外向型特色产业，加大品牌宣传推介力度，发掘和培育更多具有市场竞争优势的自主出口产品、自主知识产权产品出口，提高出口商品质量。建立并完善外贸出口预警调度分析机制、重点企业的联系机制，帮助企业及时申报补贴和扶持资金，有效解决企业实际困难。大力拓展人文交流合作，加强与国内外的文化、旅游、产业、科技、教育、人文交流合作，积极申办各类国际、国内论坛，积极参与进博会、南博会、农博会、旅交会等会展，打造“开放江川”品牌。做深做实开放合作平台。</w:t>
      </w:r>
    </w:p>
    <w:p>
      <w:pPr>
        <w:spacing w:line="540" w:lineRule="exact"/>
        <w:ind w:firstLine="640" w:firstLineChars="200"/>
        <w:rPr>
          <w:rFonts w:ascii="黑体" w:hAnsi="黑体" w:eastAsia="黑体"/>
          <w:color w:val="auto"/>
          <w:sz w:val="32"/>
          <w:szCs w:val="32"/>
        </w:rPr>
      </w:pPr>
      <w:r>
        <w:rPr>
          <w:rFonts w:hint="eastAsia" w:ascii="黑体" w:hAnsi="黑体" w:eastAsia="黑体"/>
          <w:color w:val="auto"/>
          <w:sz w:val="32"/>
          <w:szCs w:val="32"/>
        </w:rPr>
        <w:t>三、主动融入国内大循环</w:t>
      </w:r>
    </w:p>
    <w:p>
      <w:pPr>
        <w:spacing w:line="540" w:lineRule="exact"/>
        <w:ind w:firstLine="640" w:firstLineChars="200"/>
        <w:rPr>
          <w:rFonts w:ascii="Times New Roman" w:hAnsi="Times New Roman" w:eastAsia="方正仿宋_GBK"/>
          <w:color w:val="auto"/>
          <w:sz w:val="32"/>
          <w:szCs w:val="32"/>
        </w:rPr>
      </w:pPr>
      <w:bookmarkStart w:id="86" w:name="_Toc5168"/>
      <w:bookmarkStart w:id="87" w:name="_Toc31203"/>
      <w:r>
        <w:rPr>
          <w:rFonts w:hint="eastAsia" w:eastAsia="方正仿宋_GBK"/>
          <w:b w:val="0"/>
          <w:color w:val="auto"/>
          <w:sz w:val="32"/>
        </w:rPr>
        <w:t>主动服务和融入</w:t>
      </w:r>
      <w:bookmarkEnd w:id="86"/>
      <w:bookmarkEnd w:id="87"/>
      <w:r>
        <w:rPr>
          <w:rFonts w:hint="eastAsia" w:ascii="Times New Roman" w:hAnsi="Times New Roman" w:eastAsia="方正仿宋_GBK"/>
          <w:color w:val="auto"/>
          <w:sz w:val="32"/>
          <w:szCs w:val="32"/>
        </w:rPr>
        <w:t>长江经济带、成渝双城经济圈建设，牢牢把握扩大内需这个战略基点，依托强大的国内市场，贯通生产、分配、流通、消费各环节，促进供需有效对接、循环畅通高效、产销协同并进。提升江川特色产品和资源优势对国内需求的适配性，注重提升“江川”品牌竞争力，建立完善“江川”产品营销体系，为全省、全国市场提供更加多样、更高品质的供给。主动参与粤港澳大湾区产业分工协作，推进与周边省区的合作交流，加快构建全方位对内开放布局，加强承接东部地区产业转移，努力提升在全市、全省乃至西南地区产业链中的位置和水平。</w:t>
      </w:r>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依托滇中城市群建设，把握滇中一体化、昆玉同城化带来的机遇，发挥产业基础好、空间距离近、生态环境优、用工用地成本低等优势，加强与周边县市区合作交流，实现集聚发展、互补发展、共赢发展。建立跨区域常态协调机制，建立不同层次合作主体之间良好的沟通机制，保证统筹谋划，协调推进。建立信息交流合作和产业合作机制，形成聚合力，构建产业链、供应链和创新链。</w:t>
      </w:r>
    </w:p>
    <w:p>
      <w:pPr>
        <w:widowControl/>
        <w:jc w:val="left"/>
        <w:rPr>
          <w:color w:val="auto"/>
        </w:rPr>
      </w:pPr>
      <w:r>
        <w:rPr>
          <w:color w:val="auto"/>
        </w:rPr>
        <w:br w:type="page"/>
      </w:r>
    </w:p>
    <w:p>
      <w:pPr>
        <w:pStyle w:val="3"/>
        <w:rPr>
          <w:rFonts w:eastAsia="方正小标宋简体"/>
          <w:b/>
          <w:color w:val="auto"/>
          <w:sz w:val="40"/>
        </w:rPr>
      </w:pPr>
      <w:bookmarkStart w:id="88" w:name="_Toc55540768"/>
      <w:bookmarkStart w:id="89" w:name="_Toc18938"/>
      <w:bookmarkStart w:id="90" w:name="_Toc11383"/>
      <w:bookmarkStart w:id="91" w:name="_Toc446364473"/>
      <w:bookmarkStart w:id="92" w:name="_Toc24450"/>
      <w:r>
        <w:rPr>
          <w:rFonts w:hint="eastAsia" w:eastAsia="方正小标宋简体"/>
          <w:b w:val="0"/>
          <w:bCs w:val="0"/>
          <w:color w:val="auto"/>
          <w:sz w:val="40"/>
        </w:rPr>
        <w:t>第五篇</w:t>
      </w:r>
      <w:bookmarkEnd w:id="88"/>
      <w:r>
        <w:rPr>
          <w:rFonts w:hint="eastAsia" w:eastAsia="方正小标宋简体"/>
          <w:b w:val="0"/>
          <w:bCs w:val="0"/>
          <w:color w:val="auto"/>
          <w:sz w:val="40"/>
        </w:rPr>
        <w:t>　加快构建现代产业体系，推动经济结构优化升级</w:t>
      </w:r>
      <w:bookmarkEnd w:id="89"/>
      <w:bookmarkEnd w:id="90"/>
      <w:bookmarkEnd w:id="91"/>
      <w:bookmarkEnd w:id="92"/>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坚持把发展经济着力点放在实体经济上，坚持“两型三化”方向，</w:t>
      </w:r>
      <w:r>
        <w:rPr>
          <w:rFonts w:hint="eastAsia" w:ascii="Times New Roman" w:hAnsi="Times New Roman" w:eastAsia="方正仿宋_GBK"/>
          <w:color w:val="auto"/>
          <w:sz w:val="32"/>
          <w:szCs w:val="32"/>
        </w:rPr>
        <w:t>打造世界一流“三张牌”新优势，深度开发、打造精品、锻造长板，深度融入全球产业链、价值链、创新链，进一步提升世界一流“三张牌”的品牌效应</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把握重塑云南支柱产业新优势的历史性机遇，</w:t>
      </w:r>
      <w:r>
        <w:rPr>
          <w:rFonts w:ascii="Times New Roman" w:hAnsi="Times New Roman" w:eastAsia="方正仿宋_GBK"/>
          <w:color w:val="auto"/>
          <w:sz w:val="32"/>
          <w:szCs w:val="32"/>
        </w:rPr>
        <w:t>强化区域产业分工协作，强化优势产业地位和作用，加快传统产业升级改造，抓紧布局战略性新兴产业、未来产业、内销产品产业，全力实施产业兴区战略，推进产业链、供应链现代化、主要产品高端化，提高经济质量效益和核心竞争力</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强化科技人才支撑作用，全面提高产品技术、工艺装备、能效环保等水平，促进资源优势向经济优势、竞争优势转化，加快构建以高原特色农业、先进装备制造、文旅康养、新能源新材料、现代物流为重点的现代化产业体系，强力推动质量变革、效率变革、动力变革，提升全要素生产率和产业链水平，培育县域经济高质量跨越式发展的核心引领力量，推动产业由中低端向中高端迈进，构筑到2035年实现现代化的核心引领力量。</w:t>
      </w:r>
    </w:p>
    <w:p>
      <w:pPr>
        <w:pStyle w:val="4"/>
        <w:rPr>
          <w:b w:val="0"/>
          <w:bCs w:val="0"/>
          <w:color w:val="auto"/>
          <w:sz w:val="36"/>
        </w:rPr>
      </w:pPr>
      <w:bookmarkStart w:id="93" w:name="_Toc8191"/>
      <w:bookmarkStart w:id="94" w:name="_Toc1314"/>
      <w:bookmarkStart w:id="95" w:name="_Toc446364474"/>
      <w:bookmarkStart w:id="96" w:name="_Toc6821"/>
      <w:r>
        <w:rPr>
          <w:rFonts w:hint="eastAsia"/>
          <w:b w:val="0"/>
          <w:bCs w:val="0"/>
          <w:color w:val="auto"/>
          <w:sz w:val="36"/>
        </w:rPr>
        <w:t>第十五章　</w:t>
      </w:r>
      <w:r>
        <w:rPr>
          <w:b w:val="0"/>
          <w:bCs w:val="0"/>
          <w:color w:val="auto"/>
          <w:sz w:val="36"/>
        </w:rPr>
        <w:t>大力发展高原特色现代农业</w:t>
      </w:r>
      <w:bookmarkEnd w:id="93"/>
      <w:bookmarkEnd w:id="94"/>
      <w:bookmarkEnd w:id="95"/>
      <w:bookmarkEnd w:id="96"/>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坚持农业农村优先发展</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深入实施乡村振兴战略，坚持走高原特色农业发展之路，围绕农业增效、农民增收的目标，扎实推进</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一</w:t>
      </w:r>
      <w:r>
        <w:rPr>
          <w:rFonts w:hint="eastAsia" w:ascii="Times New Roman" w:hAnsi="Times New Roman" w:eastAsia="方正仿宋_GBK"/>
          <w:color w:val="auto"/>
          <w:sz w:val="32"/>
          <w:szCs w:val="32"/>
        </w:rPr>
        <w:t>县</w:t>
      </w:r>
      <w:r>
        <w:rPr>
          <w:rFonts w:ascii="Times New Roman" w:hAnsi="Times New Roman" w:eastAsia="方正仿宋_GBK"/>
          <w:color w:val="auto"/>
          <w:sz w:val="32"/>
          <w:szCs w:val="32"/>
        </w:rPr>
        <w:t>一业”创建，以农业供给侧结构性改革为主线，</w:t>
      </w:r>
      <w:r>
        <w:rPr>
          <w:rFonts w:hint="eastAsia" w:ascii="Times New Roman" w:hAnsi="Times New Roman" w:eastAsia="方正仿宋_GBK"/>
          <w:color w:val="auto"/>
          <w:sz w:val="32"/>
          <w:szCs w:val="32"/>
        </w:rPr>
        <w:t>在确保粮食安全的基础上，坚持组织化、规模化、市场化，深入推进农业结构调整，</w:t>
      </w:r>
      <w:r>
        <w:rPr>
          <w:rFonts w:ascii="Times New Roman" w:hAnsi="Times New Roman" w:eastAsia="方正仿宋_GBK"/>
          <w:color w:val="auto"/>
          <w:sz w:val="32"/>
          <w:szCs w:val="32"/>
        </w:rPr>
        <w:t>大力发展高效农业、设施农业和观光农业，优化产业布局和产业结构，不断完善现代农业产业体系，有效推动全区域、全要素、全产链构架高原特色农业产业带建设，着力打造</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高效特色、标准品牌、生态安全、开放幸福</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农业。</w:t>
      </w:r>
      <w:r>
        <w:rPr>
          <w:rFonts w:hint="eastAsia" w:ascii="Times New Roman" w:hAnsi="Times New Roman" w:eastAsia="方正仿宋_GBK"/>
          <w:color w:val="auto"/>
          <w:sz w:val="32"/>
          <w:szCs w:val="32"/>
        </w:rPr>
        <w:t>不断提高质量、效益和竞争力，开发农业多种功能，</w:t>
      </w:r>
      <w:r>
        <w:rPr>
          <w:rFonts w:ascii="Times New Roman" w:hAnsi="Times New Roman" w:eastAsia="方正仿宋_GBK"/>
          <w:color w:val="auto"/>
          <w:sz w:val="32"/>
          <w:szCs w:val="32"/>
        </w:rPr>
        <w:t>加快形成以现代科技为支撑、现代经营为基础、现代农民为主体、三产融合为特征、优势特色产业集聚发展的高原特色现代农业发展新局面</w:t>
      </w:r>
      <w:r>
        <w:rPr>
          <w:rFonts w:hint="eastAsia" w:ascii="Times New Roman" w:hAnsi="Times New Roman" w:eastAsia="方正仿宋_GBK"/>
          <w:color w:val="auto"/>
          <w:sz w:val="32"/>
          <w:szCs w:val="32"/>
        </w:rPr>
        <w:t>，让农业成为最有奔头产业。</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一、注重特色产业发展</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以农业供给侧结构性改革为主线，着力打造知名“绿色食品牌”，构建特色鲜明、技术先进、绿色安全的现代高原特色农业。守住耕地红线、确保粮食生产稳定，保障重要农产品有效供给。巩固提升烤烟、蔬菜、特色渔业等传统优势产业，不断提高发展质量和效益。围绕“一县一业”创建目标，加大花卉特色产业培育力度，将九溪“亚洲花卉科创谷”打造为全国一流、亚洲知名的国际花卉科创中心。以江川区丰富的林地资源和森林生态环境为依托，鼓励发展林下经济。转变农业发展方式，培育壮大新型农业经营主体，发展多种形式适度规模经营，综合布局现代种养、农产品加工物流、乡村旅游、康体养生等产业，推动现代农业和现代服务业深度融合，不断完善现代农业产业体系。</w:t>
      </w:r>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稳定粮食生产。</w:t>
      </w:r>
      <w:r>
        <w:rPr>
          <w:rFonts w:hint="eastAsia" w:ascii="Times New Roman" w:hAnsi="Times New Roman" w:eastAsia="方正仿宋_GBK"/>
          <w:color w:val="auto"/>
          <w:sz w:val="32"/>
          <w:szCs w:val="32"/>
        </w:rPr>
        <w:t>毫不放松抓好粮食生产，按照“稳定面积、提升质量、深挖潜力”的思路，稳步提升粮食综合生产能力，确保口粮安全。坚持最严格的耕地保护制度，深入实施藏粮于地、藏粮于技战略，持续开展绿色高质高效创建和基地建设，</w:t>
      </w:r>
      <w:r>
        <w:rPr>
          <w:rFonts w:ascii="Times New Roman" w:hAnsi="Times New Roman" w:eastAsia="方正仿宋_GBK"/>
          <w:color w:val="auto"/>
          <w:sz w:val="32"/>
          <w:szCs w:val="32"/>
        </w:rPr>
        <w:t>推进粮食生产标准化、规模化、产业化发展，建立健全农产品质量标准体系，提升粮食生产质量。深入推进粮食作物全程机械化种植技术，</w:t>
      </w:r>
      <w:r>
        <w:rPr>
          <w:rFonts w:hint="eastAsia" w:ascii="Times New Roman" w:hAnsi="Times New Roman" w:eastAsia="方正仿宋_GBK"/>
          <w:color w:val="auto"/>
          <w:sz w:val="32"/>
          <w:szCs w:val="32"/>
        </w:rPr>
        <w:t>完善扶持粮食生产政策举措，挖掘品种、技术、减灾等稳产增产潜力，</w:t>
      </w:r>
      <w:r>
        <w:rPr>
          <w:rFonts w:ascii="Times New Roman" w:hAnsi="Times New Roman" w:eastAsia="方正仿宋_GBK"/>
          <w:color w:val="auto"/>
          <w:sz w:val="32"/>
          <w:szCs w:val="32"/>
        </w:rPr>
        <w:t>引导粮食生产由增产导向转向提质导向，确保粮食生产质量稳定提高。</w:t>
      </w:r>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做优</w:t>
      </w:r>
      <w:r>
        <w:rPr>
          <w:rFonts w:ascii="Times New Roman" w:hAnsi="Times New Roman" w:eastAsia="方正仿宋_GBK"/>
          <w:b/>
          <w:color w:val="auto"/>
          <w:sz w:val="32"/>
          <w:szCs w:val="32"/>
        </w:rPr>
        <w:t>烤烟产业。</w:t>
      </w:r>
      <w:r>
        <w:rPr>
          <w:rFonts w:hint="eastAsia" w:ascii="Times New Roman" w:hAnsi="Times New Roman" w:eastAsia="方正仿宋_GBK"/>
          <w:color w:val="auto"/>
          <w:sz w:val="32"/>
          <w:szCs w:val="32"/>
        </w:rPr>
        <w:t>抓住省委省政府全产业链重塑云南卷烟工业新优势，推动烟草勇攀高峰、再创辉煌的机遇，聚焦烤烟优势传统产业，</w:t>
      </w:r>
      <w:r>
        <w:rPr>
          <w:rFonts w:ascii="Times New Roman" w:hAnsi="Times New Roman" w:eastAsia="方正仿宋_GBK"/>
          <w:color w:val="auto"/>
          <w:sz w:val="32"/>
          <w:szCs w:val="32"/>
        </w:rPr>
        <w:t>优化烤烟种植区域，统筹推进一流绿色生态清甜香型优质烟叶万亩生产基地，擦亮江川“云烟之乡”名片</w:t>
      </w:r>
      <w:r>
        <w:rPr>
          <w:rFonts w:hint="eastAsia" w:ascii="Times New Roman" w:hAnsi="Times New Roman" w:eastAsia="方正仿宋_GBK"/>
          <w:color w:val="auto"/>
          <w:sz w:val="32"/>
          <w:szCs w:val="32"/>
        </w:rPr>
        <w:t>，注重烟叶种植和加工的科技支撑和产业链延伸</w:t>
      </w:r>
      <w:r>
        <w:rPr>
          <w:rFonts w:hint="eastAsia" w:ascii="Times New Roman" w:hAnsi="Times New Roman" w:eastAsia="方正仿宋_GBK"/>
          <w:color w:val="auto"/>
          <w:sz w:val="32"/>
          <w:szCs w:val="32"/>
          <w:highlight w:val="none"/>
        </w:rPr>
        <w:t>。</w:t>
      </w:r>
      <w:r>
        <w:rPr>
          <w:rFonts w:ascii="Times New Roman" w:hAnsi="Times New Roman" w:eastAsia="方正仿宋_GBK"/>
          <w:color w:val="auto"/>
          <w:sz w:val="32"/>
          <w:szCs w:val="32"/>
        </w:rPr>
        <w:t>到2025年，烤烟种植面积稳定在</w:t>
      </w:r>
      <w:r>
        <w:rPr>
          <w:rFonts w:hint="eastAsia" w:ascii="Times New Roman" w:hAnsi="Times New Roman" w:eastAsia="方正仿宋_GBK"/>
          <w:color w:val="auto"/>
          <w:sz w:val="32"/>
          <w:szCs w:val="32"/>
        </w:rPr>
        <w:t>8</w:t>
      </w:r>
      <w:r>
        <w:rPr>
          <w:rFonts w:ascii="Times New Roman" w:hAnsi="Times New Roman" w:eastAsia="方正仿宋_GBK"/>
          <w:color w:val="auto"/>
          <w:sz w:val="32"/>
          <w:szCs w:val="32"/>
        </w:rPr>
        <w:t>万亩左右，实现烟农烤烟收入</w:t>
      </w:r>
      <w:r>
        <w:rPr>
          <w:rFonts w:hint="eastAsia" w:ascii="Times New Roman" w:hAnsi="Times New Roman" w:eastAsia="方正仿宋_GBK"/>
          <w:color w:val="auto"/>
          <w:sz w:val="32"/>
          <w:szCs w:val="32"/>
        </w:rPr>
        <w:t>3</w:t>
      </w:r>
      <w:r>
        <w:rPr>
          <w:rFonts w:ascii="Times New Roman" w:hAnsi="Times New Roman" w:eastAsia="方正仿宋_GBK"/>
          <w:color w:val="auto"/>
          <w:sz w:val="32"/>
          <w:szCs w:val="32"/>
        </w:rPr>
        <w:t>.2亿元左右，烟叶税收稳定在7000万元以上。</w:t>
      </w:r>
    </w:p>
    <w:p>
      <w:pPr>
        <w:spacing w:line="560" w:lineRule="exact"/>
        <w:ind w:firstLine="643" w:firstLineChars="200"/>
        <w:rPr>
          <w:rFonts w:ascii="Times New Roman" w:hAnsi="Times New Roman" w:eastAsia="方正仿宋_GBK"/>
          <w:color w:val="auto"/>
          <w:sz w:val="32"/>
          <w:szCs w:val="32"/>
          <w:highlight w:val="none"/>
        </w:rPr>
      </w:pPr>
      <w:r>
        <w:rPr>
          <w:rFonts w:hint="eastAsia" w:ascii="Times New Roman" w:hAnsi="Times New Roman" w:eastAsia="方正仿宋_GBK"/>
          <w:b/>
          <w:color w:val="auto"/>
          <w:sz w:val="32"/>
          <w:szCs w:val="32"/>
        </w:rPr>
        <w:t>做强</w:t>
      </w:r>
      <w:r>
        <w:rPr>
          <w:rFonts w:ascii="Times New Roman" w:hAnsi="Times New Roman" w:eastAsia="方正仿宋_GBK"/>
          <w:b/>
          <w:color w:val="auto"/>
          <w:sz w:val="32"/>
          <w:szCs w:val="32"/>
        </w:rPr>
        <w:t>蔬菜产业。</w:t>
      </w:r>
      <w:r>
        <w:rPr>
          <w:rFonts w:ascii="Times New Roman" w:hAnsi="Times New Roman" w:eastAsia="方正仿宋_GBK"/>
          <w:color w:val="auto"/>
          <w:sz w:val="32"/>
          <w:szCs w:val="32"/>
        </w:rPr>
        <w:t>加强标准化无公害蔬菜生产基地建设。调整优化蔬菜产品结构，培育农产品品牌，做强地理标志农产品，开拓国内外市场，提高蔬菜产业的整体效益和产业化经营水平。积极推进绿色农产品加工及物流产业园建设，完善现代化农产品冷链冷储物流体系，吸引企业向园区集聚，推进加工、仓储、物流、信息等企业聚集发展，将我区打造成全省重要蔬菜加工基地。到2025年，蔬菜种植面积保持19万亩左右，蔬菜产业</w:t>
      </w:r>
      <w:r>
        <w:rPr>
          <w:rFonts w:ascii="Times New Roman" w:hAnsi="Times New Roman" w:eastAsia="方正仿宋_GBK"/>
          <w:color w:val="auto"/>
          <w:sz w:val="32"/>
          <w:szCs w:val="32"/>
          <w:highlight w:val="none"/>
        </w:rPr>
        <w:t>产值</w:t>
      </w:r>
      <w:r>
        <w:rPr>
          <w:rFonts w:hint="eastAsia" w:ascii="Times New Roman" w:hAnsi="Times New Roman" w:eastAsia="方正仿宋_GBK"/>
          <w:color w:val="auto"/>
          <w:sz w:val="32"/>
          <w:szCs w:val="32"/>
          <w:highlight w:val="none"/>
          <w:lang w:eastAsia="zh-CN"/>
        </w:rPr>
        <w:t>稳定在2</w:t>
      </w:r>
      <w:r>
        <w:rPr>
          <w:rFonts w:hint="eastAsia" w:ascii="Times New Roman" w:hAnsi="Times New Roman" w:eastAsia="方正仿宋_GBK"/>
          <w:color w:val="auto"/>
          <w:sz w:val="32"/>
          <w:szCs w:val="32"/>
          <w:highlight w:val="none"/>
          <w:lang w:val="en-US" w:eastAsia="zh-CN"/>
        </w:rPr>
        <w:t>0</w:t>
      </w:r>
      <w:r>
        <w:rPr>
          <w:rFonts w:ascii="Times New Roman" w:hAnsi="Times New Roman" w:eastAsia="方正仿宋_GBK"/>
          <w:color w:val="auto"/>
          <w:sz w:val="32"/>
          <w:szCs w:val="32"/>
          <w:highlight w:val="none"/>
        </w:rPr>
        <w:t>亿元左右。</w:t>
      </w:r>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做精</w:t>
      </w:r>
      <w:r>
        <w:rPr>
          <w:rFonts w:ascii="Times New Roman" w:hAnsi="Times New Roman" w:eastAsia="方正仿宋_GBK"/>
          <w:b/>
          <w:color w:val="auto"/>
          <w:sz w:val="32"/>
          <w:szCs w:val="32"/>
        </w:rPr>
        <w:t>花卉产业。</w:t>
      </w:r>
      <w:r>
        <w:rPr>
          <w:rFonts w:ascii="Times New Roman" w:hAnsi="Times New Roman" w:eastAsia="方正仿宋_GBK"/>
          <w:color w:val="auto"/>
          <w:sz w:val="32"/>
          <w:szCs w:val="32"/>
        </w:rPr>
        <w:t>发挥花卉科技研发</w:t>
      </w:r>
      <w:r>
        <w:rPr>
          <w:rFonts w:hint="eastAsia" w:ascii="Times New Roman" w:hAnsi="Times New Roman" w:eastAsia="方正仿宋_GBK"/>
          <w:color w:val="auto"/>
          <w:sz w:val="32"/>
          <w:szCs w:val="32"/>
          <w:lang w:eastAsia="zh-CN"/>
        </w:rPr>
        <w:t>、</w:t>
      </w:r>
      <w:r>
        <w:rPr>
          <w:rFonts w:ascii="Times New Roman" w:hAnsi="Times New Roman" w:eastAsia="方正仿宋_GBK"/>
          <w:color w:val="auto"/>
          <w:sz w:val="32"/>
          <w:szCs w:val="32"/>
        </w:rPr>
        <w:t>鲜花产业和多肉产业的优势，做大做强花卉产业，打造全域花卉科创产业园。发展以康乃馨、玫瑰、百合、大花蕙兰等品种为主的花卉产业，研发推广高端花卉品种，提升江川花卉品牌知名度。以鲜切花和盆花生产为重点，加强龙头企业和专业合作社的培育，增强科技研发体系建设。建设功能齐全的花卉核心生产示范基地，完善花卉加工产品标准化体系建设，挖掘花卉食用、药用、香料、色素、生化等功能，延长产业链。将九溪“亚洲花卉科创谷”打造为全国一流、亚洲知名的国际花卉科创中心。通过物联网等高科技应用，拓展花卉市场渠道，积极推进花卉一二三产业融合，打造花卉新业态。到2025年，花卉种植面积达2.8万亩（含复种），花卉产业产值12亿元左右。</w:t>
      </w:r>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做大</w:t>
      </w:r>
      <w:r>
        <w:rPr>
          <w:rFonts w:ascii="Times New Roman" w:hAnsi="Times New Roman" w:eastAsia="方正仿宋_GBK"/>
          <w:b/>
          <w:color w:val="auto"/>
          <w:sz w:val="32"/>
          <w:szCs w:val="32"/>
        </w:rPr>
        <w:t>特色渔业。</w:t>
      </w:r>
      <w:r>
        <w:rPr>
          <w:rFonts w:ascii="Times New Roman" w:hAnsi="Times New Roman" w:eastAsia="方正仿宋_GBK"/>
          <w:color w:val="auto"/>
          <w:sz w:val="32"/>
          <w:szCs w:val="32"/>
        </w:rPr>
        <w:t>依托江川丰富的渔业资源优势、悠久的渔文化以及土著鱼类的高知名度，大力发展高原特色渔业。以大头鱼、星云白鱼为重点，申报地理标志农产品，培育国家名牌和省级名牌水产品，打造江川土著鱼类公共品牌。建设土著鱼类驯养繁育科普观光示范基地，建设科普展示馆，普及土著鱼类养殖建设知识，开展人工繁育抗浪鱼、星云白鱼、大头鱼等地方特色鱼种保护、开发工作。到2025年，渔业养殖面积稳定在6585亩，全区水产品产量达5000吨，渔业产值达1.6亿元左右。</w:t>
      </w:r>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做活</w:t>
      </w:r>
      <w:r>
        <w:rPr>
          <w:rFonts w:ascii="Times New Roman" w:hAnsi="Times New Roman" w:eastAsia="方正仿宋_GBK"/>
          <w:b/>
          <w:color w:val="auto"/>
          <w:sz w:val="32"/>
          <w:szCs w:val="32"/>
        </w:rPr>
        <w:t>林下种植业。</w:t>
      </w:r>
      <w:r>
        <w:rPr>
          <w:rFonts w:ascii="Times New Roman" w:hAnsi="Times New Roman" w:eastAsia="方正仿宋_GBK"/>
          <w:color w:val="auto"/>
          <w:sz w:val="32"/>
          <w:szCs w:val="32"/>
        </w:rPr>
        <w:t>以江川区丰富的林地资源和森林生态环境为依托，重点在安化、九溪、雄关等地发展林下种植业、养殖业、采集业和森林旅游业，重点发展野生菌、中药材等产业，并通过政策引导延长产业链。到2025年，让林下经济成为老百姓巩固</w:t>
      </w:r>
      <w:r>
        <w:rPr>
          <w:rFonts w:hint="eastAsia" w:ascii="Times New Roman" w:hAnsi="Times New Roman" w:eastAsia="方正仿宋_GBK"/>
          <w:color w:val="auto"/>
          <w:sz w:val="32"/>
          <w:szCs w:val="32"/>
          <w:lang w:eastAsia="zh-CN"/>
        </w:rPr>
        <w:t>拓展</w:t>
      </w:r>
      <w:r>
        <w:rPr>
          <w:rFonts w:ascii="Times New Roman" w:hAnsi="Times New Roman" w:eastAsia="方正仿宋_GBK"/>
          <w:color w:val="auto"/>
          <w:sz w:val="32"/>
          <w:szCs w:val="32"/>
        </w:rPr>
        <w:t>脱贫攻坚成果和乡村振兴产业发展的重要组成部分。</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二、转变农业发展方式</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培育壮大新型农业经营主体，发展多种形式适度规模经营，综合布局现代种养、农产品加工物流、乡村旅游、康体养生等产业，推动现代农业和现代服务业深度融合。</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培育壮大农业主体</w:t>
      </w:r>
      <w:r>
        <w:rPr>
          <w:rFonts w:hint="eastAsia" w:ascii="Times New Roman" w:hAnsi="Times New Roman" w:eastAsia="方正仿宋_GBK"/>
          <w:color w:val="auto"/>
          <w:sz w:val="32"/>
          <w:szCs w:val="32"/>
        </w:rPr>
        <w:t>。以市场为导向、效益为核心、各类经营组织为主体、土地承包经营权有序流转为关键，推广农户和新型农业经营主</w:t>
      </w:r>
      <w:r>
        <w:rPr>
          <w:rFonts w:ascii="Times New Roman" w:hAnsi="Times New Roman" w:eastAsia="方正仿宋_GBK"/>
          <w:color w:val="auto"/>
          <w:sz w:val="32"/>
          <w:szCs w:val="32"/>
        </w:rPr>
        <w:t>体通过家庭农场、专业合作、股份合作、土地承包经营权入股、流转托管等多种方式发展适度规模经营。</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做大市场主体。积极引进和培育农业龙头企业，加快培育发展</w:t>
      </w:r>
      <w:r>
        <w:rPr>
          <w:rFonts w:hint="eastAsia" w:ascii="Times New Roman" w:hAnsi="Times New Roman" w:eastAsia="方正仿宋_GBK"/>
          <w:color w:val="auto"/>
          <w:sz w:val="32"/>
          <w:szCs w:val="32"/>
        </w:rPr>
        <w:t>当地</w:t>
      </w:r>
      <w:r>
        <w:rPr>
          <w:rFonts w:ascii="Times New Roman" w:hAnsi="Times New Roman" w:eastAsia="方正仿宋_GBK"/>
          <w:color w:val="auto"/>
          <w:sz w:val="32"/>
          <w:szCs w:val="32"/>
        </w:rPr>
        <w:t>龙头企业、农民专业合作社、家庭农场等各类新型经营主体，引领农业现代化发展。推进企业产加销相衔接、贸工农一体化发展，鼓励和引导农民组建各类专业合作社，培育一批会经营、懂管理、能创业的现代职业农民，发展壮大家庭农场等一批适度规模经营主体。</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增强绿色品牌效应。把品牌建设作为农业发展的生命线，大力发展绿色农业、特色农业和品牌农业，支持无公害农产品、绿色食品、有机食品、特色农产品认证和地理标志农产品保护，加大以精深加工为主的农产品系列开发，着力打造一批有影响力、有文化内涵的知名绿色品牌，重点打造“江川花卉、江川大头鱼、星云白鱼、前卫冬季马铃薯、雄关萝卜”等区域性公共品牌。到2025年，“三品一标”认证保持在40个以上。</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三、完善</w:t>
      </w:r>
      <w:r>
        <w:rPr>
          <w:rFonts w:ascii="Times New Roman" w:hAnsi="Times New Roman" w:eastAsia="黑体"/>
          <w:color w:val="auto"/>
          <w:sz w:val="32"/>
          <w:szCs w:val="32"/>
        </w:rPr>
        <w:t>农业发展支撑体系</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提升农业机械化装备水平，着力加强实用技术研发，积极构建农业信息化应用服务体系，推进农业信息化，完善现代化农产品冷链冷储物流体系建设，提升农业综合效益。</w:t>
      </w:r>
    </w:p>
    <w:p>
      <w:pPr>
        <w:spacing w:line="560" w:lineRule="exact"/>
        <w:ind w:firstLine="643" w:firstLineChars="200"/>
        <w:rPr>
          <w:rFonts w:ascii="Times New Roman" w:hAnsi="Times New Roman" w:eastAsia="方正仿宋_GBK"/>
          <w:color w:val="auto"/>
          <w:sz w:val="32"/>
          <w:szCs w:val="32"/>
        </w:rPr>
      </w:pPr>
      <w:r>
        <w:rPr>
          <w:rFonts w:ascii="Times New Roman" w:hAnsi="Times New Roman" w:eastAsia="方正仿宋_GBK"/>
          <w:b/>
          <w:color w:val="auto"/>
          <w:sz w:val="32"/>
          <w:szCs w:val="32"/>
        </w:rPr>
        <w:t>完善农业基础设施建设。</w:t>
      </w:r>
      <w:r>
        <w:rPr>
          <w:rFonts w:ascii="Times New Roman" w:hAnsi="Times New Roman" w:eastAsia="方正仿宋_GBK"/>
          <w:color w:val="auto"/>
          <w:sz w:val="32"/>
          <w:szCs w:val="32"/>
        </w:rPr>
        <w:t>深入实施“藏粮于地</w:t>
      </w:r>
      <w:r>
        <w:rPr>
          <w:rFonts w:hint="eastAsia" w:ascii="Times New Roman" w:hAnsi="Times New Roman" w:eastAsia="方正仿宋_GBK"/>
          <w:color w:val="auto"/>
          <w:sz w:val="32"/>
          <w:szCs w:val="32"/>
        </w:rPr>
        <w:t>、藏粮于技</w:t>
      </w:r>
      <w:r>
        <w:rPr>
          <w:rFonts w:ascii="Times New Roman" w:hAnsi="Times New Roman" w:eastAsia="方正仿宋_GBK"/>
          <w:color w:val="auto"/>
          <w:sz w:val="32"/>
          <w:szCs w:val="32"/>
        </w:rPr>
        <w:t>”战略和耕地质量保护提升行动，强化农业特色产业基地建设，实施高标准农田建设、土地整治、农业综合开发田间工程等农业基础设施建设项目，加强小水窖等农田水利基础设施建设，做好水库、坝塘的新建和除险加固工作，增加农田有效灌溉面积。至2025年，全区建成高标准农田7万亩左右，改善农田灌溉面积22万亩，农田灌溉水有效利用系数达0.6以上。</w:t>
      </w:r>
    </w:p>
    <w:p>
      <w:pPr>
        <w:spacing w:line="560" w:lineRule="exact"/>
        <w:ind w:firstLine="643" w:firstLineChars="200"/>
        <w:rPr>
          <w:rFonts w:ascii="Times New Roman" w:hAnsi="Times New Roman" w:eastAsia="方正仿宋_GBK"/>
          <w:color w:val="auto"/>
          <w:sz w:val="32"/>
          <w:szCs w:val="32"/>
        </w:rPr>
      </w:pPr>
      <w:r>
        <w:rPr>
          <w:rFonts w:ascii="Times New Roman" w:hAnsi="Times New Roman" w:eastAsia="方正仿宋_GBK"/>
          <w:b/>
          <w:color w:val="auto"/>
          <w:sz w:val="32"/>
          <w:szCs w:val="32"/>
        </w:rPr>
        <w:t>提高农业科技化水平。</w:t>
      </w:r>
      <w:r>
        <w:rPr>
          <w:rFonts w:ascii="Times New Roman" w:hAnsi="Times New Roman" w:eastAsia="方正仿宋_GBK"/>
          <w:color w:val="auto"/>
          <w:sz w:val="32"/>
          <w:szCs w:val="32"/>
        </w:rPr>
        <w:t>引进和推广适宜山区半山区的农机设备和高效节水农业设施，提升农业机械化装备水平。加强实用技术研发，加强院校合作，建立农业科技创新团队，加快高原特色农业重点品种选育和高效快繁技术研究及推广，加强重大动物疫病和植物病虫害防治、农产品精深加工等技术的研发与应用。积极构建农业信息化应用服务体系，推进农业信息化。</w:t>
      </w:r>
    </w:p>
    <w:p>
      <w:pPr>
        <w:spacing w:line="560" w:lineRule="exact"/>
        <w:ind w:firstLine="643" w:firstLineChars="200"/>
        <w:rPr>
          <w:rFonts w:ascii="Times New Roman" w:hAnsi="Times New Roman" w:eastAsia="方正仿宋_GBK"/>
          <w:color w:val="auto"/>
          <w:sz w:val="32"/>
          <w:szCs w:val="32"/>
        </w:rPr>
      </w:pPr>
      <w:r>
        <w:rPr>
          <w:rFonts w:ascii="Times New Roman" w:hAnsi="Times New Roman" w:eastAsia="方正仿宋_GBK"/>
          <w:b/>
          <w:color w:val="auto"/>
          <w:sz w:val="32"/>
          <w:szCs w:val="32"/>
        </w:rPr>
        <w:t>强化农产品流通体系建设。</w:t>
      </w:r>
      <w:r>
        <w:rPr>
          <w:rFonts w:ascii="Times New Roman" w:hAnsi="Times New Roman" w:eastAsia="方正仿宋_GBK"/>
          <w:color w:val="auto"/>
          <w:sz w:val="32"/>
          <w:szCs w:val="32"/>
        </w:rPr>
        <w:t>推进企业、合作社与超市、学校、企业、社区对接，建立“全链条、网络化、高标准、可追溯、新模式、高效率”现代冷链仓储物流体系。鼓励支持电商、物流、商贸、金融等企业参与涉农电子商务平台建设，鼓励供销、邮政、快递和大型商贸物流企业在农村地区经营布局，打通农产品流通“最初一公里”。</w:t>
      </w:r>
    </w:p>
    <w:p>
      <w:pPr>
        <w:spacing w:line="560" w:lineRule="exact"/>
        <w:ind w:firstLine="643" w:firstLineChars="200"/>
        <w:rPr>
          <w:rFonts w:ascii="方正楷体_GBK" w:hAnsi="方正楷体_GBK" w:eastAsia="方正楷体_GBK" w:cs="方正楷体_GBK"/>
          <w:bCs/>
          <w:color w:val="auto"/>
          <w:sz w:val="32"/>
          <w:szCs w:val="32"/>
        </w:rPr>
      </w:pPr>
      <w:r>
        <w:rPr>
          <w:rFonts w:ascii="Times New Roman" w:hAnsi="Times New Roman" w:eastAsia="方正仿宋_GBK"/>
          <w:b/>
          <w:color w:val="auto"/>
          <w:sz w:val="32"/>
          <w:szCs w:val="32"/>
        </w:rPr>
        <w:t>完善农产品质量安全监管体系。</w:t>
      </w:r>
      <w:r>
        <w:rPr>
          <w:rFonts w:ascii="Times New Roman" w:hAnsi="Times New Roman" w:eastAsia="方正仿宋_GBK"/>
          <w:color w:val="auto"/>
          <w:sz w:val="32"/>
          <w:szCs w:val="32"/>
        </w:rPr>
        <w:t>加快建立从生产基地到市场销售全过程的农产品质量安全检测、追溯和监管体系。建立健全监测结果通报制度、质量诚信体系和农产品质量安全风险评估机制。提升动植物疫病疫情监测预警能力。建立</w:t>
      </w:r>
      <w:r>
        <w:rPr>
          <w:rFonts w:hint="eastAsia" w:ascii="Times New Roman" w:hAnsi="Times New Roman" w:eastAsia="方正仿宋_GBK"/>
          <w:color w:val="auto"/>
          <w:sz w:val="32"/>
          <w:szCs w:val="32"/>
        </w:rPr>
        <w:t>健全农产品质量安全风险评估、监测预警和应急处置机制。</w:t>
      </w:r>
      <w:r>
        <w:rPr>
          <w:rFonts w:ascii="Times New Roman" w:hAnsi="Times New Roman" w:eastAsia="方正仿宋_GBK"/>
          <w:color w:val="auto"/>
          <w:sz w:val="32"/>
          <w:szCs w:val="32"/>
        </w:rPr>
        <w:t>着力打造知名</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绿色食品牌</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，构建特色鲜明、技术先进、绿色安全的高原特色现代农业。</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auto" w:sz="4" w:space="0"/>
              <w:left w:val="single" w:color="auto" w:sz="4" w:space="0"/>
              <w:bottom w:val="single" w:color="auto" w:sz="4" w:space="0"/>
              <w:right w:val="single" w:color="auto" w:sz="4" w:space="0"/>
            </w:tcBorders>
          </w:tcPr>
          <w:p>
            <w:pPr>
              <w:jc w:val="center"/>
              <w:rPr>
                <w:color w:val="auto"/>
                <w:sz w:val="21"/>
                <w:szCs w:val="21"/>
              </w:rPr>
            </w:pPr>
            <w:r>
              <w:rPr>
                <w:rFonts w:hint="eastAsia" w:ascii="Times New Roman" w:hAnsi="Times New Roman" w:eastAsia="方正仿宋_GBK"/>
                <w:b/>
                <w:color w:val="auto"/>
                <w:sz w:val="32"/>
                <w:szCs w:val="32"/>
              </w:rPr>
              <w:t>专栏1：高原特色农业重点建设项目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auto" w:sz="4" w:space="0"/>
              <w:left w:val="single" w:color="auto" w:sz="4" w:space="0"/>
              <w:bottom w:val="single" w:color="auto" w:sz="4" w:space="0"/>
              <w:right w:val="single" w:color="auto" w:sz="4" w:space="0"/>
            </w:tcBorders>
          </w:tcPr>
          <w:p>
            <w:pPr>
              <w:spacing w:line="360" w:lineRule="exact"/>
              <w:rPr>
                <w:rFonts w:ascii="Times New Roman" w:hAnsi="Times New Roman" w:eastAsia="方正仿宋_GBK"/>
                <w:color w:val="auto"/>
                <w:szCs w:val="21"/>
              </w:rPr>
            </w:pPr>
            <w:r>
              <w:rPr>
                <w:rFonts w:hint="eastAsia" w:ascii="Times New Roman" w:hAnsi="Times New Roman" w:eastAsia="方正仿宋_GBK"/>
                <w:b/>
                <w:color w:val="auto"/>
                <w:szCs w:val="21"/>
              </w:rPr>
              <w:t>规模化经营项目：</w:t>
            </w:r>
            <w:r>
              <w:rPr>
                <w:rFonts w:hint="eastAsia" w:ascii="Times New Roman" w:hAnsi="Times New Roman" w:eastAsia="方正仿宋_GBK"/>
                <w:color w:val="auto"/>
                <w:szCs w:val="21"/>
              </w:rPr>
              <w:t>安化彝族乡光山多肉植物生态园、苹果山花卉产业园（二期）、九溪亚洲花卉科创谷建设项目、蝴蝶兰新品种组培项目。</w:t>
            </w:r>
          </w:p>
          <w:p>
            <w:pPr>
              <w:spacing w:line="360" w:lineRule="exact"/>
              <w:rPr>
                <w:rFonts w:ascii="Times New Roman" w:hAnsi="Times New Roman" w:eastAsia="方正仿宋_GBK"/>
                <w:color w:val="auto"/>
                <w:szCs w:val="21"/>
              </w:rPr>
            </w:pPr>
            <w:r>
              <w:rPr>
                <w:rFonts w:hint="eastAsia" w:ascii="Times New Roman" w:hAnsi="Times New Roman" w:eastAsia="方正仿宋_GBK"/>
                <w:b/>
                <w:color w:val="auto"/>
                <w:szCs w:val="21"/>
              </w:rPr>
              <w:t>技术推广项目：</w:t>
            </w:r>
            <w:r>
              <w:rPr>
                <w:rFonts w:hint="eastAsia" w:ascii="Times New Roman" w:hAnsi="Times New Roman" w:eastAsia="方正仿宋_GBK"/>
                <w:color w:val="auto"/>
                <w:szCs w:val="21"/>
              </w:rPr>
              <w:t>江川区基层农技推广体系建设、江川土著鱼类保护基地扩建与繁育能力提升建设项目。</w:t>
            </w:r>
          </w:p>
          <w:p>
            <w:pPr>
              <w:spacing w:line="360" w:lineRule="exact"/>
              <w:rPr>
                <w:color w:val="auto"/>
                <w:sz w:val="21"/>
                <w:szCs w:val="21"/>
              </w:rPr>
            </w:pPr>
            <w:r>
              <w:rPr>
                <w:rFonts w:hint="eastAsia" w:ascii="Times New Roman" w:hAnsi="Times New Roman" w:eastAsia="方正仿宋_GBK"/>
                <w:b/>
                <w:color w:val="auto"/>
                <w:szCs w:val="21"/>
              </w:rPr>
              <w:t>农业提质增效项目：</w:t>
            </w:r>
            <w:r>
              <w:rPr>
                <w:rFonts w:hint="eastAsia" w:ascii="Times New Roman" w:hAnsi="Times New Roman" w:eastAsia="方正仿宋_GBK"/>
                <w:color w:val="auto"/>
                <w:szCs w:val="21"/>
              </w:rPr>
              <w:t>江川区农业高新技术产业示范区建设项目、雄关农业科技示范园项目、前卫镇优质烟叶生产基地基础设施建设项目、安化彝族乡新能源烤房建设项目、安化彝族乡农业灌溉高效节水项目、</w:t>
            </w:r>
            <w:r>
              <w:rPr>
                <w:rFonts w:hint="eastAsia" w:ascii="Times New Roman" w:hAnsi="Times New Roman" w:eastAsia="方正仿宋_GBK"/>
                <w:bCs/>
                <w:color w:val="auto"/>
                <w:szCs w:val="21"/>
              </w:rPr>
              <w:t>江川区乡镇土地整治项目</w:t>
            </w:r>
            <w:r>
              <w:rPr>
                <w:rFonts w:hint="eastAsia" w:ascii="Times New Roman" w:hAnsi="Times New Roman" w:eastAsia="方正仿宋_GBK"/>
                <w:b/>
                <w:color w:val="auto"/>
                <w:szCs w:val="21"/>
              </w:rPr>
              <w:t>、</w:t>
            </w:r>
            <w:r>
              <w:rPr>
                <w:rFonts w:hint="eastAsia" w:ascii="Times New Roman" w:hAnsi="Times New Roman" w:eastAsia="方正仿宋_GBK"/>
                <w:color w:val="auto"/>
                <w:szCs w:val="21"/>
              </w:rPr>
              <w:t>江川区高标准农田建设项目。</w:t>
            </w:r>
          </w:p>
        </w:tc>
      </w:tr>
    </w:tbl>
    <w:p>
      <w:pPr>
        <w:pStyle w:val="4"/>
        <w:rPr>
          <w:b w:val="0"/>
          <w:bCs w:val="0"/>
          <w:color w:val="auto"/>
          <w:sz w:val="36"/>
        </w:rPr>
      </w:pPr>
      <w:bookmarkStart w:id="97" w:name="_Toc12596"/>
      <w:bookmarkStart w:id="98" w:name="_Toc20435"/>
      <w:bookmarkStart w:id="99" w:name="_Toc446364475"/>
      <w:bookmarkStart w:id="100" w:name="_Toc13500"/>
      <w:r>
        <w:rPr>
          <w:rFonts w:hint="eastAsia"/>
          <w:b w:val="0"/>
          <w:bCs w:val="0"/>
          <w:color w:val="auto"/>
          <w:sz w:val="36"/>
        </w:rPr>
        <w:t>第十六章  加快转型发展新型工业</w:t>
      </w:r>
      <w:bookmarkEnd w:id="97"/>
      <w:bookmarkEnd w:id="98"/>
      <w:bookmarkEnd w:id="99"/>
      <w:bookmarkEnd w:id="100"/>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以提高发展质量和效益为中心，以“两型三化”为发展方向，</w:t>
      </w:r>
      <w:r>
        <w:rPr>
          <w:rFonts w:ascii="Times New Roman" w:hAnsi="Times New Roman" w:eastAsia="方正仿宋_GBK"/>
          <w:color w:val="auto"/>
          <w:sz w:val="32"/>
          <w:szCs w:val="32"/>
        </w:rPr>
        <w:t>以中国制造</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2025</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玉溪行动计划为抓手，</w:t>
      </w:r>
      <w:r>
        <w:rPr>
          <w:rFonts w:hint="eastAsia" w:ascii="Times New Roman" w:hAnsi="Times New Roman" w:eastAsia="方正仿宋_GBK"/>
          <w:color w:val="auto"/>
          <w:sz w:val="32"/>
          <w:szCs w:val="32"/>
        </w:rPr>
        <w:t>以工业园区平台为载体，以“产城融合、产城一体”为指</w:t>
      </w:r>
      <w:r>
        <w:rPr>
          <w:rFonts w:ascii="Times New Roman" w:hAnsi="Times New Roman" w:eastAsia="方正仿宋_GBK"/>
          <w:color w:val="auto"/>
          <w:sz w:val="32"/>
          <w:szCs w:val="32"/>
        </w:rPr>
        <w:t>引，以“聚焦新经济，培育新动力”为主线，以“调优存量、做强增量”为支撑，加快传统产业转型升级，特色产业发展壮大，</w:t>
      </w:r>
      <w:r>
        <w:rPr>
          <w:rFonts w:hint="eastAsia" w:ascii="Times New Roman" w:hAnsi="Times New Roman" w:eastAsia="方正仿宋_GBK"/>
          <w:color w:val="auto"/>
          <w:sz w:val="32"/>
          <w:szCs w:val="32"/>
          <w:lang w:eastAsia="zh-CN"/>
        </w:rPr>
        <w:t>战略性新兴</w:t>
      </w:r>
      <w:bookmarkStart w:id="303" w:name="_GoBack"/>
      <w:r>
        <w:rPr>
          <w:rFonts w:hint="eastAsia" w:ascii="Times New Roman" w:hAnsi="Times New Roman" w:eastAsia="方正仿宋_GBK"/>
          <w:color w:val="auto"/>
          <w:sz w:val="32"/>
          <w:szCs w:val="32"/>
          <w:lang w:eastAsia="zh-CN"/>
        </w:rPr>
        <w:t>产业</w:t>
      </w:r>
      <w:r>
        <w:rPr>
          <w:rFonts w:ascii="Times New Roman" w:hAnsi="Times New Roman" w:eastAsia="方正仿宋_GBK"/>
          <w:color w:val="auto"/>
          <w:sz w:val="32"/>
          <w:szCs w:val="32"/>
        </w:rPr>
        <w:t>培育，</w:t>
      </w:r>
      <w:r>
        <w:rPr>
          <w:rFonts w:hint="eastAsia" w:ascii="Times New Roman" w:hAnsi="Times New Roman" w:eastAsia="方正仿宋_GBK"/>
          <w:color w:val="auto"/>
          <w:sz w:val="32"/>
          <w:szCs w:val="32"/>
        </w:rPr>
        <w:t>提升产业发</w:t>
      </w:r>
      <w:bookmarkEnd w:id="303"/>
      <w:r>
        <w:rPr>
          <w:rFonts w:hint="eastAsia" w:ascii="Times New Roman" w:hAnsi="Times New Roman" w:eastAsia="方正仿宋_GBK"/>
          <w:color w:val="auto"/>
          <w:sz w:val="32"/>
          <w:szCs w:val="32"/>
        </w:rPr>
        <w:t>展质量和集聚发展水平，推动制造业向中高端发展，</w:t>
      </w:r>
      <w:r>
        <w:rPr>
          <w:rFonts w:ascii="Times New Roman" w:hAnsi="Times New Roman" w:eastAsia="方正仿宋_GBK"/>
          <w:color w:val="auto"/>
          <w:sz w:val="32"/>
          <w:szCs w:val="32"/>
        </w:rPr>
        <w:t>深度开发、打造精品、锻造长板，深度融入全球产业链、价值链、创新链</w:t>
      </w:r>
      <w:r>
        <w:rPr>
          <w:rFonts w:hint="eastAsia" w:ascii="Times New Roman" w:hAnsi="Times New Roman" w:eastAsia="方正仿宋_GBK"/>
          <w:color w:val="auto"/>
          <w:sz w:val="32"/>
          <w:szCs w:val="32"/>
        </w:rPr>
        <w:t>，集中力量培育具有核心竞争力的优势特色产业集群</w:t>
      </w:r>
      <w:r>
        <w:rPr>
          <w:rFonts w:ascii="Times New Roman" w:hAnsi="Times New Roman" w:eastAsia="方正仿宋_GBK"/>
          <w:color w:val="auto"/>
          <w:sz w:val="32"/>
          <w:szCs w:val="32"/>
        </w:rPr>
        <w:t>。</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一、优化提升传统产业</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以市场需求为引导，以企业为主体，引进高新技术改造提升传统工业产业，提高产品技术、工艺装备、能效环保等水平，实施技术创新，强化绿色生产，不断提高产品附加值，推动传统产业优化升级，盘活现有存量资产，修复增长动力。</w:t>
      </w:r>
    </w:p>
    <w:p>
      <w:pPr>
        <w:spacing w:line="560" w:lineRule="exact"/>
        <w:ind w:firstLine="643" w:firstLineChars="200"/>
        <w:rPr>
          <w:rFonts w:ascii="Times New Roman" w:hAnsi="Times New Roman" w:eastAsia="方正仿宋_GBK"/>
          <w:color w:val="auto"/>
          <w:sz w:val="32"/>
          <w:szCs w:val="32"/>
        </w:rPr>
      </w:pPr>
      <w:r>
        <w:rPr>
          <w:rFonts w:ascii="Times New Roman" w:hAnsi="Times New Roman" w:eastAsia="方正仿宋_GBK"/>
          <w:b/>
          <w:color w:val="auto"/>
          <w:sz w:val="32"/>
          <w:szCs w:val="32"/>
        </w:rPr>
        <w:t>做优精细磷化工</w:t>
      </w:r>
      <w:r>
        <w:rPr>
          <w:rFonts w:hint="eastAsia" w:ascii="Times New Roman" w:hAnsi="Times New Roman" w:eastAsia="方正仿宋_GBK"/>
          <w:b/>
          <w:color w:val="auto"/>
          <w:sz w:val="32"/>
          <w:szCs w:val="32"/>
        </w:rPr>
        <w:t>。</w:t>
      </w:r>
      <w:r>
        <w:rPr>
          <w:rFonts w:ascii="Times New Roman" w:hAnsi="Times New Roman" w:eastAsia="方正仿宋_GBK"/>
          <w:color w:val="auto"/>
          <w:sz w:val="32"/>
          <w:szCs w:val="32"/>
        </w:rPr>
        <w:t>发挥企业技术创新主体作用，建立以企业为主体、需求为导向、产学研深度融合的技术创新体系，在开发新产品和改善工艺、流程、功能等方面进行创新，推进磷化工</w:t>
      </w:r>
      <w:r>
        <w:rPr>
          <w:rFonts w:hint="eastAsia" w:ascii="Times New Roman" w:hAnsi="Times New Roman" w:eastAsia="方正仿宋_GBK"/>
          <w:color w:val="auto"/>
          <w:sz w:val="32"/>
          <w:szCs w:val="32"/>
        </w:rPr>
        <w:t>向精细化方向</w:t>
      </w:r>
      <w:r>
        <w:rPr>
          <w:rFonts w:ascii="Times New Roman" w:hAnsi="Times New Roman" w:eastAsia="方正仿宋_GBK"/>
          <w:color w:val="auto"/>
          <w:sz w:val="32"/>
          <w:szCs w:val="32"/>
        </w:rPr>
        <w:t>转型升级。深化磷化工产业与互联网融合发展，积极培育网络化协同、个性化定制、分享制造等“互联网+制造业”新模式，大力发展电子商务，促进生产型制造向服务型制造转变。加大人才投入力度，引进企业急需人才，深化校企合作，完善人才评价、激励和服务机制。</w:t>
      </w:r>
    </w:p>
    <w:p>
      <w:pPr>
        <w:spacing w:line="560" w:lineRule="exact"/>
        <w:ind w:firstLine="643" w:firstLineChars="200"/>
        <w:rPr>
          <w:rFonts w:ascii="Times New Roman" w:hAnsi="Times New Roman" w:eastAsia="方正仿宋_GBK"/>
          <w:b/>
          <w:color w:val="auto"/>
          <w:sz w:val="32"/>
          <w:szCs w:val="32"/>
        </w:rPr>
      </w:pPr>
      <w:r>
        <w:rPr>
          <w:rFonts w:hint="eastAsia" w:ascii="Times New Roman" w:hAnsi="Times New Roman" w:eastAsia="方正仿宋_GBK"/>
          <w:b/>
          <w:color w:val="auto"/>
          <w:sz w:val="32"/>
          <w:szCs w:val="32"/>
        </w:rPr>
        <w:t>做精农产品加工产业。</w:t>
      </w:r>
      <w:r>
        <w:rPr>
          <w:rFonts w:ascii="Times New Roman" w:hAnsi="Times New Roman" w:eastAsia="方正仿宋_GBK"/>
          <w:color w:val="auto"/>
          <w:sz w:val="32"/>
          <w:szCs w:val="32"/>
        </w:rPr>
        <w:t>围绕</w:t>
      </w:r>
      <w:r>
        <w:rPr>
          <w:rFonts w:hint="eastAsia" w:ascii="Times New Roman" w:hAnsi="Times New Roman" w:eastAsia="方正仿宋_GBK"/>
          <w:color w:val="auto"/>
          <w:sz w:val="32"/>
          <w:szCs w:val="32"/>
        </w:rPr>
        <w:t>蔬菜、花卉、特色渔业等江川优势</w:t>
      </w:r>
      <w:r>
        <w:rPr>
          <w:rFonts w:ascii="Times New Roman" w:hAnsi="Times New Roman" w:eastAsia="方正仿宋_GBK"/>
          <w:color w:val="auto"/>
          <w:sz w:val="32"/>
          <w:szCs w:val="32"/>
        </w:rPr>
        <w:t>资源，</w:t>
      </w:r>
      <w:r>
        <w:rPr>
          <w:rFonts w:hint="eastAsia" w:ascii="Times New Roman" w:hAnsi="Times New Roman" w:eastAsia="方正仿宋_GBK"/>
          <w:color w:val="auto"/>
          <w:sz w:val="32"/>
          <w:szCs w:val="32"/>
        </w:rPr>
        <w:t>加大企业同</w:t>
      </w:r>
      <w:r>
        <w:rPr>
          <w:rFonts w:ascii="Times New Roman" w:hAnsi="Times New Roman" w:eastAsia="方正仿宋_GBK"/>
          <w:color w:val="auto"/>
          <w:sz w:val="32"/>
          <w:szCs w:val="32"/>
        </w:rPr>
        <w:t>科研院所合作</w:t>
      </w:r>
      <w:r>
        <w:rPr>
          <w:rFonts w:hint="eastAsia" w:ascii="Times New Roman" w:hAnsi="Times New Roman" w:eastAsia="方正仿宋_GBK"/>
          <w:color w:val="auto"/>
          <w:sz w:val="32"/>
          <w:szCs w:val="32"/>
        </w:rPr>
        <w:t>力度</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注重原始创新和</w:t>
      </w:r>
      <w:r>
        <w:rPr>
          <w:rFonts w:ascii="Times New Roman" w:hAnsi="Times New Roman" w:eastAsia="方正仿宋_GBK"/>
          <w:color w:val="auto"/>
          <w:sz w:val="32"/>
          <w:szCs w:val="32"/>
        </w:rPr>
        <w:t>引进新工艺、新技术，开发高附加值产品。以</w:t>
      </w:r>
      <w:r>
        <w:rPr>
          <w:rFonts w:hint="eastAsia" w:ascii="Times New Roman" w:hAnsi="Times New Roman" w:eastAsia="方正仿宋_GBK"/>
          <w:color w:val="auto"/>
          <w:sz w:val="32"/>
          <w:szCs w:val="32"/>
        </w:rPr>
        <w:t>蔬菜深加工、调味品</w:t>
      </w:r>
      <w:r>
        <w:rPr>
          <w:rFonts w:ascii="Times New Roman" w:hAnsi="Times New Roman" w:eastAsia="方正仿宋_GBK"/>
          <w:color w:val="auto"/>
          <w:sz w:val="32"/>
          <w:szCs w:val="32"/>
        </w:rPr>
        <w:t>加工为重点，开发有机绿色蔬菜产品加工、功能食品和方便食品生产。延长农业产业链，提高农产品附加值，深化农业产业化发展</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积极申报省级农特产品加工园区。</w:t>
      </w:r>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做强</w:t>
      </w:r>
      <w:r>
        <w:rPr>
          <w:rFonts w:ascii="Times New Roman" w:hAnsi="Times New Roman" w:eastAsia="方正仿宋_GBK"/>
          <w:b/>
          <w:color w:val="auto"/>
          <w:sz w:val="32"/>
          <w:szCs w:val="32"/>
        </w:rPr>
        <w:t>纸制品</w:t>
      </w:r>
      <w:r>
        <w:rPr>
          <w:rFonts w:hint="eastAsia" w:ascii="Times New Roman" w:hAnsi="Times New Roman" w:eastAsia="方正仿宋_GBK"/>
          <w:b/>
          <w:color w:val="auto"/>
          <w:sz w:val="32"/>
          <w:szCs w:val="32"/>
        </w:rPr>
        <w:t>加工产业。</w:t>
      </w:r>
      <w:r>
        <w:rPr>
          <w:rFonts w:ascii="Times New Roman" w:hAnsi="Times New Roman" w:eastAsia="方正仿宋_GBK"/>
          <w:color w:val="auto"/>
          <w:sz w:val="32"/>
          <w:szCs w:val="32"/>
        </w:rPr>
        <w:t>加快推进江城纸制品产业园二期建设，加大招商引资力度，完善优惠政策，争取京东生鲜仓储物流、板扎纸业等项目入驻园区，释放园区产业集聚效应，大力扶持现有企业转型升级，实施技术创新，强化绿色生产，不断提高彩印包装产品附加值，努力将江城纸制品产业园打造成为覆盖西南地区、辐射东南亚的中高端生活纸品加工基地。</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黑体"/>
          <w:color w:val="auto"/>
          <w:sz w:val="32"/>
          <w:szCs w:val="32"/>
        </w:rPr>
        <w:t>二、</w:t>
      </w:r>
      <w:r>
        <w:rPr>
          <w:rFonts w:ascii="Times New Roman" w:hAnsi="Times New Roman" w:eastAsia="黑体"/>
          <w:color w:val="auto"/>
          <w:sz w:val="32"/>
          <w:szCs w:val="32"/>
        </w:rPr>
        <w:t>积极培育</w:t>
      </w:r>
      <w:r>
        <w:rPr>
          <w:rFonts w:hint="eastAsia" w:ascii="Times New Roman" w:hAnsi="Times New Roman" w:eastAsia="黑体"/>
          <w:color w:val="auto"/>
          <w:sz w:val="32"/>
          <w:szCs w:val="32"/>
        </w:rPr>
        <w:t>壮大战略性</w:t>
      </w:r>
      <w:r>
        <w:rPr>
          <w:rFonts w:ascii="Times New Roman" w:hAnsi="Times New Roman" w:eastAsia="黑体"/>
          <w:color w:val="auto"/>
          <w:sz w:val="32"/>
          <w:szCs w:val="32"/>
        </w:rPr>
        <w:t>新兴产业</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贯彻落实中国制造“2025”玉溪行动计划，大力发展园区经济，充分发挥高新区龙泉片区的区位、政策、服务等优势，在产业园区规划建设过程中，</w:t>
      </w:r>
      <w:r>
        <w:rPr>
          <w:rFonts w:hint="eastAsia" w:ascii="Times New Roman" w:hAnsi="Times New Roman" w:eastAsia="方正仿宋_GBK"/>
          <w:color w:val="auto"/>
          <w:sz w:val="32"/>
          <w:szCs w:val="32"/>
        </w:rPr>
        <w:t>聚焦智能制造、新能源、工程农业机械、精密基础件、电子信息、航空装备等领域，</w:t>
      </w:r>
      <w:r>
        <w:rPr>
          <w:rFonts w:ascii="Times New Roman" w:hAnsi="Times New Roman" w:eastAsia="方正仿宋_GBK"/>
          <w:color w:val="auto"/>
          <w:sz w:val="32"/>
          <w:szCs w:val="32"/>
        </w:rPr>
        <w:t>全力推进产业集聚发展，着力提升高端机型设计、产品寿命与可靠性、核心部件与控制系统等创新水平，打造新的经济增长点</w:t>
      </w:r>
      <w:r>
        <w:rPr>
          <w:rFonts w:hint="eastAsia" w:ascii="Times New Roman" w:hAnsi="Times New Roman" w:eastAsia="方正仿宋_GBK"/>
          <w:color w:val="auto"/>
          <w:sz w:val="32"/>
          <w:szCs w:val="32"/>
        </w:rPr>
        <w:t>。</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充分利用我区民用运输机场项目已获得中国民用航空局《民航局关于云南玉溪机场场址的批复》（民航函〔2019〕189号）的优势，加快推进项目预可研等前期工作，为“十四五”机场项目实施奠定良好基础，积极争取国家、省、市支持，确保规划建设的16平方公里航空产业园项目落地建成，吸引航空制造等相关龙头企业落户江川，不断强化江川航空产业集聚效应，有序推进航空产业园规划、建设，发展临空经济。</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加快新能源</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新材料产业集约集聚发展，打造云南省新能源汽车动力电池配套产业集群基地，围绕产业链部署创新链、价值链，实现二、三产业互补，在园区“核心区”建立新能源新材料锂产业园，打造新的经济增长点，建设国内领先、结构优化的新兴产业集群</w:t>
      </w:r>
      <w:r>
        <w:rPr>
          <w:rFonts w:hint="eastAsia" w:ascii="Times New Roman" w:hAnsi="Times New Roman" w:eastAsia="方正仿宋_GBK"/>
          <w:color w:val="auto"/>
          <w:sz w:val="32"/>
          <w:szCs w:val="32"/>
        </w:rPr>
        <w:t>。</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以高性能化、多功能化、绿色化发展为方向，强化基地培育，以玉溪高新区龙泉片区为载体，重点发展生物医药、先进装备制造业等</w:t>
      </w:r>
      <w:r>
        <w:rPr>
          <w:rFonts w:hint="eastAsia" w:ascii="Times New Roman" w:hAnsi="Times New Roman" w:eastAsia="方正仿宋_GBK"/>
          <w:color w:val="auto"/>
          <w:sz w:val="32"/>
          <w:szCs w:val="32"/>
          <w:lang w:eastAsia="zh-CN"/>
        </w:rPr>
        <w:t>战略性新兴产业</w:t>
      </w:r>
      <w:r>
        <w:rPr>
          <w:rFonts w:ascii="Times New Roman" w:hAnsi="Times New Roman" w:eastAsia="方正仿宋_GBK"/>
          <w:color w:val="auto"/>
          <w:sz w:val="32"/>
          <w:szCs w:val="32"/>
        </w:rPr>
        <w:t>，积极打造科技创新园等创新平台，发展研发设计、创业孵化、技术转移、产品中试等科技服务，形成支撑园区快速发展的新产业矩阵。</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三、</w:t>
      </w:r>
      <w:r>
        <w:rPr>
          <w:rFonts w:ascii="Times New Roman" w:hAnsi="Times New Roman" w:eastAsia="黑体"/>
          <w:color w:val="auto"/>
          <w:sz w:val="32"/>
          <w:szCs w:val="32"/>
        </w:rPr>
        <w:t>提升工业园区</w:t>
      </w:r>
      <w:r>
        <w:rPr>
          <w:rFonts w:hint="eastAsia" w:ascii="Times New Roman" w:hAnsi="Times New Roman" w:eastAsia="黑体"/>
          <w:color w:val="auto"/>
          <w:sz w:val="32"/>
          <w:szCs w:val="32"/>
        </w:rPr>
        <w:t>承载能力</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按照功能清晰、分工明确、错位发展的原则，通过集中政策、资金、要素</w:t>
      </w:r>
      <w:r>
        <w:rPr>
          <w:rFonts w:hint="eastAsia" w:ascii="Times New Roman" w:hAnsi="Times New Roman" w:eastAsia="方正仿宋_GBK"/>
          <w:color w:val="auto"/>
          <w:sz w:val="32"/>
          <w:szCs w:val="32"/>
          <w:lang w:eastAsia="zh-CN"/>
        </w:rPr>
        <w:t>等</w:t>
      </w:r>
      <w:r>
        <w:rPr>
          <w:rFonts w:hint="eastAsia" w:ascii="Times New Roman" w:hAnsi="Times New Roman" w:eastAsia="方正仿宋_GBK"/>
          <w:color w:val="auto"/>
          <w:sz w:val="32"/>
          <w:szCs w:val="32"/>
        </w:rPr>
        <w:t>资源，分层推进，分类指导，重点扶持等措施，配合玉溪高新区深化改革创新，加快国家级产城融合发展示范区建设，打造千亿级产业园区，力争进入全国高新区50强。努力把高新区龙泉片区建设成为县域经济的重要载体和主力军、创新驱动的先导区和引领区、面向南亚东南亚的辐射源。</w:t>
      </w:r>
    </w:p>
    <w:p>
      <w:pPr>
        <w:spacing w:line="560" w:lineRule="exact"/>
        <w:ind w:firstLine="643" w:firstLineChars="200"/>
        <w:rPr>
          <w:rFonts w:ascii="Times New Roman" w:hAnsi="Times New Roman" w:eastAsia="方正仿宋_GBK"/>
          <w:b/>
          <w:color w:val="auto"/>
          <w:sz w:val="32"/>
          <w:szCs w:val="32"/>
        </w:rPr>
      </w:pPr>
      <w:r>
        <w:rPr>
          <w:rFonts w:hint="eastAsia" w:ascii="Times New Roman" w:hAnsi="Times New Roman" w:eastAsia="方正仿宋_GBK"/>
          <w:b/>
          <w:color w:val="auto"/>
          <w:sz w:val="32"/>
          <w:szCs w:val="32"/>
        </w:rPr>
        <w:t>提高园区规划建设水平。</w:t>
      </w:r>
      <w:r>
        <w:rPr>
          <w:rFonts w:hint="eastAsia" w:ascii="Times New Roman" w:hAnsi="Times New Roman" w:eastAsia="方正仿宋_GBK"/>
          <w:color w:val="auto"/>
          <w:sz w:val="32"/>
          <w:szCs w:val="32"/>
        </w:rPr>
        <w:t>高起点、高品位、高标准规划产业园区，强化园区规划执行力，完善园区基础设施，加快水、热、电、气、道路、通讯、环保等各项基础设施建设，尤其重点加强与电力、排污、供水、道路等紧缺资源供应相关的基础设施建设，保障园区企业正常生产经营。不断增强园区配套能力，加强功能性建设，满足产业集群发展以及公共检测、信息平台等生产性服务业集聚发展的支撑条件。</w:t>
      </w:r>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创新园区管理。</w:t>
      </w:r>
      <w:r>
        <w:rPr>
          <w:rFonts w:hint="eastAsia" w:ascii="Times New Roman" w:hAnsi="Times New Roman" w:eastAsia="方正仿宋_GBK"/>
          <w:color w:val="auto"/>
          <w:sz w:val="32"/>
          <w:szCs w:val="32"/>
        </w:rPr>
        <w:t>按照“产业突出，配套完善”的要求，以资源、资本、技术等综合生产要素禀赋为基础，注重特色发展、错位发展，明确各园区的主导产业和辅助产业，完善产业链条，优化产业布局，着力形成全产业链发展格局。全面提高园区的招商引资质量和水平，逐步提高工业园区的投入产出效率。加强产业技术创新平台和企业技术创新能力建设，</w:t>
      </w:r>
      <w:r>
        <w:rPr>
          <w:rFonts w:ascii="Times New Roman" w:hAnsi="Times New Roman" w:eastAsia="方正仿宋_GBK"/>
          <w:color w:val="auto"/>
          <w:sz w:val="32"/>
          <w:szCs w:val="32"/>
        </w:rPr>
        <w:t>探索并持续推进</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园中园</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发展模式，提升园区承载力。</w:t>
      </w:r>
      <w:r>
        <w:rPr>
          <w:rFonts w:hint="eastAsia" w:ascii="Times New Roman" w:hAnsi="Times New Roman" w:eastAsia="方正仿宋_GBK"/>
          <w:color w:val="auto"/>
          <w:sz w:val="32"/>
          <w:szCs w:val="32"/>
        </w:rPr>
        <w:t>逐步完善园区高污染燃料准入政策，构建园区的技术创新和节能减排新体系，推动绿色园区建设。</w:t>
      </w:r>
    </w:p>
    <w:p>
      <w:pPr>
        <w:spacing w:line="560" w:lineRule="exact"/>
        <w:ind w:firstLine="643" w:firstLineChars="200"/>
        <w:rPr>
          <w:rFonts w:ascii="Times New Roman" w:hAnsi="Times New Roman" w:eastAsia="仿宋"/>
          <w:color w:val="auto"/>
          <w:sz w:val="32"/>
          <w:szCs w:val="32"/>
        </w:rPr>
      </w:pPr>
      <w:r>
        <w:rPr>
          <w:rFonts w:hint="eastAsia" w:ascii="Times New Roman" w:hAnsi="Times New Roman" w:eastAsia="方正仿宋_GBK"/>
          <w:b/>
          <w:color w:val="auto"/>
          <w:sz w:val="32"/>
          <w:szCs w:val="32"/>
        </w:rPr>
        <w:t>做强做优园区平台。</w:t>
      </w:r>
      <w:r>
        <w:rPr>
          <w:rFonts w:hint="eastAsia" w:ascii="Times New Roman" w:hAnsi="Times New Roman" w:eastAsia="方正仿宋_GBK"/>
          <w:color w:val="auto"/>
          <w:sz w:val="32"/>
          <w:szCs w:val="32"/>
        </w:rPr>
        <w:t>通过大企业、大项目的引进落地，发挥龙头带动作用，吸引产业链上下游聚集配套，实现装备制造业、电子信息等产业链式集群发展；通过区域品牌打造、市场驱动，培育本地中小企业协同发展，实现特色农产品加工、轻工、建材等产业横向集群发展；通过创新驱动，加快新技术产业化转化，进而吸引相关的配套产业集聚，实现生物医药、新材料等产业集群式发展。</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auto" w:sz="4" w:space="0"/>
              <w:left w:val="single" w:color="auto" w:sz="4" w:space="0"/>
              <w:bottom w:val="single" w:color="auto" w:sz="4" w:space="0"/>
              <w:right w:val="single" w:color="auto" w:sz="4" w:space="0"/>
            </w:tcBorders>
          </w:tcPr>
          <w:p>
            <w:pPr>
              <w:jc w:val="center"/>
              <w:rPr>
                <w:color w:val="auto"/>
                <w:sz w:val="24"/>
                <w:szCs w:val="24"/>
              </w:rPr>
            </w:pPr>
            <w:r>
              <w:rPr>
                <w:rFonts w:hint="eastAsia" w:ascii="Times New Roman" w:hAnsi="Times New Roman" w:eastAsia="方正仿宋_GBK"/>
                <w:b/>
                <w:color w:val="auto"/>
                <w:sz w:val="32"/>
                <w:szCs w:val="28"/>
              </w:rPr>
              <w:t>专栏2：新型工业化重点项目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auto" w:sz="4" w:space="0"/>
              <w:left w:val="single" w:color="auto" w:sz="4" w:space="0"/>
              <w:bottom w:val="single" w:color="auto" w:sz="4" w:space="0"/>
              <w:right w:val="single" w:color="auto" w:sz="4" w:space="0"/>
            </w:tcBorders>
          </w:tcPr>
          <w:p>
            <w:pPr>
              <w:spacing w:line="360" w:lineRule="exact"/>
              <w:rPr>
                <w:rFonts w:ascii="Times New Roman" w:hAnsi="Times New Roman" w:eastAsia="方正仿宋_GBK"/>
                <w:color w:val="auto"/>
                <w:szCs w:val="21"/>
              </w:rPr>
            </w:pPr>
            <w:r>
              <w:rPr>
                <w:rFonts w:hint="eastAsia" w:ascii="Times New Roman" w:hAnsi="Times New Roman" w:eastAsia="方正仿宋_GBK"/>
                <w:b/>
                <w:color w:val="auto"/>
                <w:szCs w:val="21"/>
              </w:rPr>
              <w:t>基础支撑项目：</w:t>
            </w:r>
            <w:r>
              <w:rPr>
                <w:rFonts w:hint="eastAsia" w:ascii="Times New Roman" w:hAnsi="Times New Roman" w:eastAsia="方正仿宋_GBK"/>
                <w:bCs/>
                <w:color w:val="auto"/>
                <w:szCs w:val="21"/>
              </w:rPr>
              <w:t>江城纸制品园区</w:t>
            </w:r>
            <w:r>
              <w:rPr>
                <w:rFonts w:hint="eastAsia" w:ascii="Times New Roman" w:hAnsi="Times New Roman" w:eastAsia="方正仿宋_GBK"/>
                <w:b/>
                <w:color w:val="auto"/>
                <w:szCs w:val="21"/>
              </w:rPr>
              <w:t>、</w:t>
            </w:r>
            <w:r>
              <w:rPr>
                <w:rFonts w:hint="eastAsia" w:ascii="Times New Roman" w:hAnsi="Times New Roman" w:eastAsia="方正仿宋_GBK"/>
                <w:color w:val="auto"/>
                <w:szCs w:val="21"/>
              </w:rPr>
              <w:t>云南嘉科包装科技生产项目、云南省高端医疗器械产业园、云南省新能源新材料产业园。</w:t>
            </w:r>
          </w:p>
          <w:p>
            <w:pPr>
              <w:spacing w:line="360" w:lineRule="exact"/>
              <w:rPr>
                <w:rFonts w:ascii="Times New Roman" w:hAnsi="Times New Roman" w:eastAsia="方正仿宋_GBK"/>
                <w:color w:val="auto"/>
                <w:szCs w:val="21"/>
              </w:rPr>
            </w:pPr>
            <w:r>
              <w:rPr>
                <w:rFonts w:hint="eastAsia" w:ascii="Times New Roman" w:hAnsi="Times New Roman" w:eastAsia="方正仿宋_GBK"/>
                <w:b/>
                <w:color w:val="auto"/>
                <w:szCs w:val="21"/>
              </w:rPr>
              <w:t>产业提升项目：</w:t>
            </w:r>
            <w:r>
              <w:rPr>
                <w:rFonts w:hint="eastAsia" w:ascii="Times New Roman" w:hAnsi="Times New Roman" w:eastAsia="方正仿宋_GBK"/>
                <w:color w:val="auto"/>
                <w:szCs w:val="21"/>
              </w:rPr>
              <w:t>云南联塑科技发展有限公司二期工程项目、云南腾达机械制造有限公司生产线智能化升级改造及数控机床售后在线监测平台项目、玉溪黑巅太空感知智能科技应用发展有限公司生理感知人工智能模块设计研发项目、信科黑巅科技基于非接触式感知智能装备终端软硬件系统设计和生产制造、云南天合立光电技术有限公司技改项目、云南特固电气有限公司智能生产技术改造项目。</w:t>
            </w:r>
          </w:p>
          <w:p>
            <w:pPr>
              <w:spacing w:line="360" w:lineRule="exact"/>
              <w:rPr>
                <w:color w:val="auto"/>
              </w:rPr>
            </w:pPr>
            <w:r>
              <w:rPr>
                <w:rFonts w:hint="eastAsia" w:ascii="Times New Roman" w:hAnsi="Times New Roman" w:eastAsia="方正仿宋_GBK"/>
                <w:b/>
                <w:color w:val="auto"/>
                <w:szCs w:val="21"/>
              </w:rPr>
              <w:t>园区提升项目：</w:t>
            </w:r>
            <w:r>
              <w:rPr>
                <w:rFonts w:hint="eastAsia" w:ascii="Times New Roman" w:hAnsi="Times New Roman" w:eastAsia="方正仿宋_GBK"/>
                <w:color w:val="auto"/>
                <w:szCs w:val="21"/>
              </w:rPr>
              <w:t>玉溪高新区龙泉片区2.5产业园、</w:t>
            </w:r>
            <w:r>
              <w:rPr>
                <w:rFonts w:hint="eastAsia" w:ascii="Times New Roman" w:hAnsi="Times New Roman" w:eastAsia="方正仿宋_GBK"/>
                <w:color w:val="auto"/>
                <w:szCs w:val="21"/>
                <w:highlight w:val="none"/>
              </w:rPr>
              <w:t>龙泉工业园区</w:t>
            </w:r>
            <w:r>
              <w:rPr>
                <w:rFonts w:hint="eastAsia" w:ascii="Times New Roman" w:hAnsi="Times New Roman" w:eastAsia="方正仿宋_GBK"/>
                <w:color w:val="auto"/>
                <w:szCs w:val="21"/>
              </w:rPr>
              <w:t>基础设施建设项目、玉溪高新区智慧城综合路网、云南新能源技术创新研究院新基建项目。</w:t>
            </w:r>
          </w:p>
        </w:tc>
      </w:tr>
    </w:tbl>
    <w:p>
      <w:pPr>
        <w:pStyle w:val="4"/>
        <w:rPr>
          <w:b w:val="0"/>
          <w:bCs w:val="0"/>
          <w:color w:val="auto"/>
          <w:sz w:val="36"/>
        </w:rPr>
      </w:pPr>
      <w:bookmarkStart w:id="101" w:name="_Toc16373"/>
      <w:bookmarkStart w:id="102" w:name="_Toc18764"/>
      <w:bookmarkStart w:id="103" w:name="_Toc446364476"/>
      <w:bookmarkStart w:id="104" w:name="_Toc31543"/>
      <w:r>
        <w:rPr>
          <w:rFonts w:hint="eastAsia"/>
          <w:b w:val="0"/>
          <w:bCs w:val="0"/>
          <w:color w:val="auto"/>
          <w:sz w:val="36"/>
        </w:rPr>
        <w:t xml:space="preserve">第十七章  </w:t>
      </w:r>
      <w:r>
        <w:rPr>
          <w:b w:val="0"/>
          <w:bCs w:val="0"/>
          <w:color w:val="auto"/>
          <w:sz w:val="36"/>
        </w:rPr>
        <w:t>高质量发展现代服务业</w:t>
      </w:r>
      <w:bookmarkEnd w:id="101"/>
      <w:bookmarkEnd w:id="102"/>
      <w:bookmarkEnd w:id="103"/>
      <w:bookmarkEnd w:id="104"/>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坚持生产性服务业和生活性服务业并重，</w:t>
      </w:r>
      <w:r>
        <w:rPr>
          <w:rFonts w:hint="eastAsia" w:ascii="Times New Roman" w:hAnsi="Times New Roman" w:eastAsia="方正仿宋_GBK"/>
          <w:color w:val="auto"/>
          <w:sz w:val="32"/>
          <w:szCs w:val="32"/>
        </w:rPr>
        <w:t>推动生活性服务业向高品质和多样化升级、</w:t>
      </w:r>
      <w:r>
        <w:rPr>
          <w:rFonts w:ascii="Times New Roman" w:hAnsi="Times New Roman" w:eastAsia="方正仿宋_GBK"/>
          <w:color w:val="auto"/>
          <w:sz w:val="32"/>
          <w:szCs w:val="32"/>
        </w:rPr>
        <w:t>生产性服务业</w:t>
      </w:r>
      <w:r>
        <w:rPr>
          <w:rFonts w:hint="eastAsia" w:ascii="Times New Roman" w:hAnsi="Times New Roman" w:eastAsia="方正仿宋_GBK"/>
          <w:color w:val="auto"/>
          <w:sz w:val="32"/>
          <w:szCs w:val="32"/>
        </w:rPr>
        <w:t>向高效率和</w:t>
      </w:r>
      <w:r>
        <w:rPr>
          <w:rFonts w:ascii="Times New Roman" w:hAnsi="Times New Roman" w:eastAsia="方正仿宋_GBK"/>
          <w:color w:val="auto"/>
          <w:sz w:val="32"/>
          <w:szCs w:val="32"/>
        </w:rPr>
        <w:t>专业化</w:t>
      </w:r>
      <w:r>
        <w:rPr>
          <w:rFonts w:hint="eastAsia" w:ascii="Times New Roman" w:hAnsi="Times New Roman" w:eastAsia="方正仿宋_GBK"/>
          <w:color w:val="auto"/>
          <w:sz w:val="32"/>
          <w:szCs w:val="32"/>
        </w:rPr>
        <w:t>提高方向转变</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提升</w:t>
      </w:r>
      <w:r>
        <w:rPr>
          <w:rFonts w:ascii="Times New Roman" w:hAnsi="Times New Roman" w:eastAsia="方正仿宋_GBK"/>
          <w:color w:val="auto"/>
          <w:sz w:val="32"/>
          <w:szCs w:val="32"/>
        </w:rPr>
        <w:t>服务业标准化、规模化、品牌化、网络化和智能化水平</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促进现代服务业集聚发展，提升服务业吸纳就业能力，</w:t>
      </w:r>
      <w:r>
        <w:rPr>
          <w:rFonts w:hint="eastAsia" w:ascii="Times New Roman" w:hAnsi="Times New Roman" w:eastAsia="方正仿宋_GBK"/>
          <w:color w:val="auto"/>
          <w:sz w:val="32"/>
          <w:szCs w:val="32"/>
        </w:rPr>
        <w:t>不断提高服务业增加值比重和水平，</w:t>
      </w:r>
      <w:r>
        <w:rPr>
          <w:rFonts w:ascii="Times New Roman" w:hAnsi="Times New Roman" w:eastAsia="方正仿宋_GBK"/>
          <w:color w:val="auto"/>
          <w:sz w:val="32"/>
          <w:szCs w:val="32"/>
        </w:rPr>
        <w:t>切实把服务业打造成高质量跨越式发展的新引擎，</w:t>
      </w:r>
      <w:r>
        <w:rPr>
          <w:rFonts w:hint="eastAsia" w:ascii="Times New Roman" w:hAnsi="Times New Roman" w:eastAsia="方正仿宋_GBK"/>
          <w:color w:val="auto"/>
          <w:sz w:val="32"/>
          <w:szCs w:val="32"/>
        </w:rPr>
        <w:t>使服务业成为带动经济增长和结构调整的新亮点。</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一、塑造旅游文化产业新优势</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贯彻落实省委省政府打造世界一流“健康生活目的地”的指示，</w:t>
      </w:r>
      <w:r>
        <w:rPr>
          <w:rFonts w:ascii="Times New Roman" w:hAnsi="Times New Roman" w:eastAsia="方正仿宋_GBK"/>
          <w:color w:val="auto"/>
          <w:sz w:val="32"/>
          <w:szCs w:val="32"/>
        </w:rPr>
        <w:t>坚持全域旅游发展理念，</w:t>
      </w:r>
      <w:r>
        <w:rPr>
          <w:rFonts w:hint="eastAsia" w:ascii="Times New Roman" w:hAnsi="Times New Roman" w:eastAsia="方正仿宋_GBK"/>
          <w:color w:val="auto"/>
          <w:sz w:val="32"/>
          <w:szCs w:val="32"/>
        </w:rPr>
        <w:t>围绕全省创建国际康养旅游示范区的工作重点，推动机制创新，推动健康产业与旅游、体育、文化、教育等产业融合发展，彰显生态之美、文化之魂、特色之基、时代特征，打造顺应消费趋势的朝阳产业、民生产业、绿色产业。</w:t>
      </w:r>
      <w:r>
        <w:rPr>
          <w:rFonts w:ascii="Times New Roman" w:hAnsi="Times New Roman" w:eastAsia="方正仿宋_GBK"/>
          <w:color w:val="auto"/>
          <w:sz w:val="32"/>
          <w:szCs w:val="32"/>
        </w:rPr>
        <w:t>不断提升江川各类文物、自然遗产及非物质文化遗产知名度，弘扬古滇文化、青铜文化、渔耕文化、白药文化，增强旅游发展文化基础。</w:t>
      </w:r>
    </w:p>
    <w:p>
      <w:pPr>
        <w:spacing w:line="560" w:lineRule="exact"/>
        <w:ind w:firstLine="643" w:firstLineChars="200"/>
        <w:rPr>
          <w:rFonts w:ascii="Times New Roman" w:hAnsi="Times New Roman" w:eastAsia="方正仿宋_GBK"/>
          <w:b/>
          <w:color w:val="auto"/>
          <w:sz w:val="32"/>
          <w:szCs w:val="32"/>
        </w:rPr>
      </w:pPr>
      <w:r>
        <w:rPr>
          <w:rFonts w:ascii="Times New Roman" w:hAnsi="Times New Roman" w:eastAsia="方正仿宋_GBK"/>
          <w:b/>
          <w:color w:val="auto"/>
          <w:sz w:val="32"/>
          <w:szCs w:val="32"/>
        </w:rPr>
        <w:t>打造古滇文旅休闲养生地</w:t>
      </w:r>
      <w:r>
        <w:rPr>
          <w:rFonts w:hint="eastAsia" w:ascii="Times New Roman" w:hAnsi="Times New Roman" w:eastAsia="方正仿宋_GBK"/>
          <w:b/>
          <w:color w:val="auto"/>
          <w:sz w:val="32"/>
          <w:szCs w:val="32"/>
        </w:rPr>
        <w:t>。</w:t>
      </w:r>
      <w:r>
        <w:rPr>
          <w:rFonts w:ascii="Times New Roman" w:hAnsi="Times New Roman" w:eastAsia="方正仿宋_GBK"/>
          <w:color w:val="auto"/>
          <w:sz w:val="32"/>
          <w:szCs w:val="32"/>
        </w:rPr>
        <w:t>充分挖掘弘扬古滇青铜文化、高原水乡文化和渔文化等资源优势，从旅游、研学、文艺演出、工艺品、特色小镇等多个维度综合渗透，积极发展大街</w:t>
      </w:r>
      <w:r>
        <w:rPr>
          <w:rFonts w:hint="eastAsia" w:ascii="Times New Roman" w:hAnsi="Times New Roman" w:eastAsia="方正仿宋_GBK"/>
          <w:color w:val="auto"/>
          <w:sz w:val="32"/>
          <w:szCs w:val="32"/>
          <w:lang w:eastAsia="zh-CN"/>
        </w:rPr>
        <w:t>—</w:t>
      </w:r>
      <w:r>
        <w:rPr>
          <w:rFonts w:ascii="Times New Roman" w:hAnsi="Times New Roman" w:eastAsia="方正仿宋_GBK"/>
          <w:color w:val="auto"/>
          <w:sz w:val="32"/>
          <w:szCs w:val="32"/>
        </w:rPr>
        <w:t>江城高品质文旅康养经济带</w:t>
      </w:r>
      <w:r>
        <w:rPr>
          <w:rFonts w:hint="eastAsia" w:ascii="Times New Roman" w:hAnsi="Times New Roman" w:eastAsia="方正仿宋_GBK"/>
          <w:color w:val="auto"/>
          <w:sz w:val="32"/>
          <w:szCs w:val="32"/>
        </w:rPr>
        <w:t>。</w:t>
      </w:r>
      <w:r>
        <w:rPr>
          <w:rFonts w:hint="eastAsia" w:ascii="Times New Roman" w:hAnsi="Times New Roman" w:eastAsia="方正仿宋_GBK"/>
          <w:color w:val="auto"/>
          <w:sz w:val="32"/>
          <w:szCs w:val="32"/>
          <w:highlight w:val="none"/>
        </w:rPr>
        <w:t>聚焦星云湖生态旅游，推进青铜文化产业与旅游有机融合，</w:t>
      </w:r>
      <w:r>
        <w:rPr>
          <w:rFonts w:ascii="Times New Roman" w:hAnsi="Times New Roman" w:eastAsia="方正仿宋_GBK"/>
          <w:color w:val="auto"/>
          <w:sz w:val="32"/>
          <w:szCs w:val="32"/>
        </w:rPr>
        <w:t>全面推进环星云湖“湖滨湿地+青铜文化+康体休闲”全域生态旅游建设，加快星云湖南岸乡村振兴示范区及前卫古滇铜街建设，以节庆、会展等形式传承和推广古滇青铜物质和非物质文化遗产，依托李家山古墓群遗址，结合制造、旅游、城市形象设计等服务丰富古滇青铜文化业态内容，加快推进古滇青铜文化创业产业园建设</w:t>
      </w:r>
      <w:r>
        <w:rPr>
          <w:rFonts w:hint="eastAsia" w:ascii="Times New Roman" w:hAnsi="Times New Roman" w:eastAsia="方正仿宋_GBK"/>
          <w:color w:val="auto"/>
          <w:sz w:val="32"/>
          <w:szCs w:val="32"/>
        </w:rPr>
        <w:t>，</w:t>
      </w:r>
      <w:r>
        <w:rPr>
          <w:rFonts w:hint="eastAsia" w:ascii="Times New Roman" w:hAnsi="Times New Roman" w:eastAsia="方正仿宋_GBK"/>
          <w:color w:val="auto"/>
          <w:sz w:val="32"/>
          <w:szCs w:val="32"/>
          <w:highlight w:val="none"/>
        </w:rPr>
        <w:t>打造集</w:t>
      </w:r>
      <w:r>
        <w:rPr>
          <w:rFonts w:ascii="Times New Roman" w:hAnsi="Times New Roman" w:eastAsia="方正仿宋_GBK"/>
          <w:color w:val="auto"/>
          <w:sz w:val="32"/>
          <w:szCs w:val="32"/>
          <w:highlight w:val="none"/>
        </w:rPr>
        <w:t>“</w:t>
      </w:r>
      <w:r>
        <w:rPr>
          <w:rFonts w:hint="eastAsia" w:ascii="Times New Roman" w:hAnsi="Times New Roman" w:eastAsia="方正仿宋_GBK"/>
          <w:color w:val="auto"/>
          <w:sz w:val="32"/>
          <w:szCs w:val="32"/>
          <w:highlight w:val="none"/>
        </w:rPr>
        <w:t>吃、住、行、游、购、娱</w:t>
      </w:r>
      <w:r>
        <w:rPr>
          <w:rFonts w:ascii="Times New Roman" w:hAnsi="Times New Roman" w:eastAsia="方正仿宋_GBK"/>
          <w:color w:val="auto"/>
          <w:sz w:val="32"/>
          <w:szCs w:val="32"/>
          <w:highlight w:val="none"/>
        </w:rPr>
        <w:t>”</w:t>
      </w:r>
      <w:r>
        <w:rPr>
          <w:rFonts w:hint="eastAsia" w:ascii="Times New Roman" w:hAnsi="Times New Roman" w:eastAsia="方正仿宋_GBK"/>
          <w:color w:val="auto"/>
          <w:sz w:val="32"/>
          <w:szCs w:val="32"/>
          <w:highlight w:val="none"/>
        </w:rPr>
        <w:t>为一体的江川旅游集散中心，带动江川文旅产业高层次发展。</w:t>
      </w:r>
      <w:r>
        <w:rPr>
          <w:rFonts w:ascii="Times New Roman" w:hAnsi="Times New Roman" w:eastAsia="方正仿宋_GBK"/>
          <w:color w:val="auto"/>
          <w:sz w:val="32"/>
          <w:szCs w:val="32"/>
        </w:rPr>
        <w:t>围绕</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一部手机游云南</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建设，以大项目带动大发展，推进旅游多样化发展</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弘扬古滇、青铜、渔耕、白药文化，促进文旅融合、农旅融合、景城融合，打造高品质</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田园综合体</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，增加高品质供给，满足多元化、个性化、定制化消费需求</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带动江川文旅康养产业高层次发展，把江川打造成为古滇文旅休闲养生地。</w:t>
      </w:r>
    </w:p>
    <w:p>
      <w:pPr>
        <w:spacing w:line="560" w:lineRule="exact"/>
        <w:ind w:firstLine="643" w:firstLineChars="200"/>
        <w:rPr>
          <w:rFonts w:ascii="Times New Roman" w:hAnsi="Times New Roman" w:eastAsia="方正仿宋_GBK"/>
          <w:color w:val="auto"/>
          <w:sz w:val="32"/>
          <w:szCs w:val="32"/>
        </w:rPr>
      </w:pPr>
      <w:r>
        <w:rPr>
          <w:rFonts w:ascii="Times New Roman" w:hAnsi="Times New Roman" w:eastAsia="方正仿宋_GBK"/>
          <w:b/>
          <w:color w:val="auto"/>
          <w:sz w:val="32"/>
          <w:szCs w:val="32"/>
        </w:rPr>
        <w:t>做强青铜文化产业</w:t>
      </w:r>
      <w:r>
        <w:rPr>
          <w:rFonts w:hint="eastAsia" w:ascii="Times New Roman" w:hAnsi="Times New Roman" w:eastAsia="方正仿宋_GBK"/>
          <w:b/>
          <w:color w:val="auto"/>
          <w:sz w:val="32"/>
          <w:szCs w:val="32"/>
        </w:rPr>
        <w:t>。</w:t>
      </w:r>
      <w:r>
        <w:rPr>
          <w:rFonts w:ascii="Times New Roman" w:hAnsi="Times New Roman" w:eastAsia="方正仿宋_GBK"/>
          <w:color w:val="auto"/>
          <w:sz w:val="32"/>
          <w:szCs w:val="32"/>
        </w:rPr>
        <w:t>充分挖掘古滇青铜文化资源，从文化、旅游、工艺品、特色小镇多方面体现青铜文化内涵，大力推进青铜文化产业发展。加快“古滇青铜</w:t>
      </w:r>
      <w:r>
        <w:rPr>
          <w:rFonts w:hint="eastAsia" w:ascii="Times New Roman" w:hAnsi="Times New Roman" w:eastAsia="方正仿宋_GBK"/>
          <w:color w:val="auto"/>
          <w:sz w:val="32"/>
          <w:szCs w:val="32"/>
        </w:rPr>
        <w:t>文化产业园</w:t>
      </w:r>
      <w:r>
        <w:rPr>
          <w:rFonts w:ascii="Times New Roman" w:hAnsi="Times New Roman" w:eastAsia="方正仿宋_GBK"/>
          <w:color w:val="auto"/>
          <w:sz w:val="32"/>
          <w:szCs w:val="32"/>
        </w:rPr>
        <w:t>”建设，做精做特古滇铜街，提升青铜产品精深加工水平，举办铜器工艺展，大力研发青铜旅游产品，以节庆、会展等形式打响青铜文化江川品牌。</w:t>
      </w:r>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补齐旅游基础设施短板。</w:t>
      </w:r>
      <w:r>
        <w:rPr>
          <w:rFonts w:hint="eastAsia" w:ascii="Times New Roman" w:hAnsi="Times New Roman" w:eastAsia="方正仿宋_GBK"/>
          <w:color w:val="auto"/>
          <w:sz w:val="32"/>
          <w:szCs w:val="32"/>
        </w:rPr>
        <w:t>抓住</w:t>
      </w:r>
      <w:r>
        <w:rPr>
          <w:rFonts w:ascii="Times New Roman" w:hAnsi="Times New Roman" w:eastAsia="方正仿宋_GBK"/>
          <w:color w:val="auto"/>
          <w:sz w:val="32"/>
          <w:szCs w:val="32"/>
        </w:rPr>
        <w:t>大滇西旅游环线</w:t>
      </w:r>
      <w:r>
        <w:rPr>
          <w:rFonts w:hint="eastAsia" w:ascii="Times New Roman" w:hAnsi="Times New Roman" w:eastAsia="方正仿宋_GBK"/>
          <w:color w:val="auto"/>
          <w:sz w:val="32"/>
          <w:szCs w:val="32"/>
        </w:rPr>
        <w:t>、昆玉红旅游经济带</w:t>
      </w:r>
      <w:r>
        <w:rPr>
          <w:rFonts w:ascii="Times New Roman" w:hAnsi="Times New Roman" w:eastAsia="方正仿宋_GBK"/>
          <w:color w:val="auto"/>
          <w:sz w:val="32"/>
          <w:szCs w:val="32"/>
        </w:rPr>
        <w:t>建设机遇，加快推进文旅项目和旅游基础设施建设。</w:t>
      </w:r>
      <w:r>
        <w:rPr>
          <w:rFonts w:hint="eastAsia" w:ascii="Times New Roman" w:hAnsi="Times New Roman" w:eastAsia="方正仿宋_GBK"/>
          <w:color w:val="auto"/>
          <w:sz w:val="32"/>
          <w:szCs w:val="32"/>
        </w:rPr>
        <w:t>推进澄川旅游公路、梁王山、大平地旅游公路建设，提升旅游通达度。引导和推进餐饮、住宿业转型升级，加快建设游客服务中心、演艺场所、旅游公厕等基础设施建设，夯实旅游发展和服务基础。持续在景区景点、餐馆、住宿、文化旅游娱乐场所开展爱国卫生</w:t>
      </w:r>
      <w:r>
        <w:rPr>
          <w:rFonts w:hint="eastAsia" w:ascii="Times New Roman" w:hAnsi="Times New Roman" w:eastAsia="方正仿宋_GBK"/>
          <w:color w:val="auto"/>
          <w:sz w:val="32"/>
          <w:szCs w:val="32"/>
          <w:lang w:eastAsia="zh-CN"/>
        </w:rPr>
        <w:t>运动</w:t>
      </w:r>
      <w:r>
        <w:rPr>
          <w:rFonts w:hint="eastAsia" w:ascii="Times New Roman" w:hAnsi="Times New Roman" w:eastAsia="方正仿宋_GBK"/>
          <w:color w:val="auto"/>
          <w:sz w:val="32"/>
          <w:szCs w:val="32"/>
        </w:rPr>
        <w:t>，改善文化旅游发展环境。</w:t>
      </w:r>
      <w:r>
        <w:rPr>
          <w:rFonts w:ascii="Times New Roman" w:hAnsi="Times New Roman" w:eastAsia="方正仿宋_GBK"/>
          <w:color w:val="auto"/>
          <w:sz w:val="32"/>
          <w:szCs w:val="32"/>
        </w:rPr>
        <w:t>创新招商引资方式，引进文化旅游大项目建设，有力推进星云湖环线智慧旅游基础设施建设</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 xml:space="preserve"> </w:t>
      </w:r>
    </w:p>
    <w:p>
      <w:pPr>
        <w:spacing w:line="560" w:lineRule="exact"/>
        <w:ind w:firstLine="643" w:firstLineChars="200"/>
        <w:rPr>
          <w:rFonts w:ascii="Times New Roman" w:hAnsi="Times New Roman" w:eastAsia="方正仿宋_GBK"/>
          <w:color w:val="auto"/>
          <w:sz w:val="32"/>
          <w:szCs w:val="32"/>
        </w:rPr>
      </w:pPr>
      <w:r>
        <w:rPr>
          <w:rFonts w:ascii="Times New Roman" w:hAnsi="Times New Roman" w:eastAsia="方正仿宋_GBK"/>
          <w:b/>
          <w:color w:val="auto"/>
          <w:sz w:val="32"/>
          <w:szCs w:val="32"/>
        </w:rPr>
        <w:t>着力培育旅游新产品、新业态</w:t>
      </w:r>
      <w:r>
        <w:rPr>
          <w:rFonts w:hint="eastAsia" w:ascii="Times New Roman" w:hAnsi="Times New Roman" w:eastAsia="方正仿宋_GBK"/>
          <w:b/>
          <w:color w:val="auto"/>
          <w:sz w:val="32"/>
          <w:szCs w:val="32"/>
        </w:rPr>
        <w:t>。</w:t>
      </w:r>
      <w:r>
        <w:rPr>
          <w:rFonts w:hint="default" w:ascii="Times New Roman" w:hAnsi="Times New Roman" w:eastAsia="方正仿宋_GBK"/>
          <w:b w:val="0"/>
          <w:color w:val="auto"/>
          <w:sz w:val="32"/>
          <w:szCs w:val="32"/>
          <w:lang w:eastAsia="zh-CN"/>
        </w:rPr>
        <w:t>顺应</w:t>
      </w:r>
      <w:r>
        <w:rPr>
          <w:rFonts w:ascii="Times New Roman" w:hAnsi="Times New Roman" w:eastAsia="方正仿宋_GBK"/>
          <w:color w:val="auto"/>
          <w:sz w:val="32"/>
          <w:szCs w:val="32"/>
        </w:rPr>
        <w:t>休闲健康消费需求升级趋势，着力培育</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大健康+旅游</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产业模式。打造“运动星云湖”名片，依托星云湖生态治理和生态修复项目，做美环境、做清水体，完善环湖运动驿站、景观节点。发展</w:t>
      </w:r>
      <w:r>
        <w:rPr>
          <w:rFonts w:hint="eastAsia" w:ascii="Times New Roman" w:hAnsi="Times New Roman" w:eastAsia="方正仿宋_GBK"/>
          <w:color w:val="auto"/>
          <w:sz w:val="32"/>
          <w:szCs w:val="32"/>
        </w:rPr>
        <w:t>垂钓、</w:t>
      </w:r>
      <w:r>
        <w:rPr>
          <w:rFonts w:ascii="Times New Roman" w:hAnsi="Times New Roman" w:eastAsia="方正仿宋_GBK"/>
          <w:color w:val="auto"/>
          <w:sz w:val="32"/>
          <w:szCs w:val="32"/>
        </w:rPr>
        <w:t>马拉松、徒步、骑行、铁人三项、帆船、龙舟、滑翔伞等体育旅游项目，建设“体育+旅游”健康旅游目的地</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发展特色民宿、半山酒店、汽车营地、木屋酒店、研学基地、考古体验等旅游新产品，推进产业转型发展</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创新发展节庆活动方式及内容，精心打造古滇国</w:t>
      </w:r>
      <w:r>
        <w:rPr>
          <w:rFonts w:hint="eastAsia" w:ascii="Times New Roman" w:hAnsi="Times New Roman" w:eastAsia="方正仿宋_GBK"/>
          <w:color w:val="auto"/>
          <w:sz w:val="32"/>
          <w:szCs w:val="32"/>
        </w:rPr>
        <w:t>、开渔节等实景演艺节目</w:t>
      </w:r>
      <w:r>
        <w:rPr>
          <w:rFonts w:ascii="Times New Roman" w:hAnsi="Times New Roman" w:eastAsia="方正仿宋_GBK"/>
          <w:color w:val="auto"/>
          <w:sz w:val="32"/>
          <w:szCs w:val="32"/>
        </w:rPr>
        <w:t>。加快华侨城欢乐休闲度假区项目、前卫古滇铜街、李家山遗址考古公园等项目建设，推进江川</w:t>
      </w:r>
      <w:r>
        <w:rPr>
          <w:rFonts w:hint="eastAsia" w:ascii="Times New Roman" w:hAnsi="Times New Roman" w:eastAsia="方正仿宋_GBK"/>
          <w:color w:val="auto"/>
          <w:sz w:val="32"/>
          <w:szCs w:val="32"/>
        </w:rPr>
        <w:t>旅游文化产业</w:t>
      </w:r>
      <w:r>
        <w:rPr>
          <w:rFonts w:ascii="Times New Roman" w:hAnsi="Times New Roman" w:eastAsia="方正仿宋_GBK"/>
          <w:color w:val="auto"/>
          <w:sz w:val="32"/>
          <w:szCs w:val="32"/>
        </w:rPr>
        <w:t>转型升级。</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二、培育壮大</w:t>
      </w:r>
      <w:r>
        <w:rPr>
          <w:rFonts w:ascii="Times New Roman" w:hAnsi="Times New Roman" w:eastAsia="黑体"/>
          <w:color w:val="auto"/>
          <w:sz w:val="32"/>
          <w:szCs w:val="32"/>
        </w:rPr>
        <w:t>现代物流业</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着眼主动服务和融入国家发展战略，坚持商贸物流服务实体经济和居民生活，坚持政府推动与市场运作相结合、扩大规模与提升质量相结合、整体推进与重点突破相结合，大力推进商品市场体系、现代流通体系、市场监控体系建设，提升物流优化、货源组织、货物集散水平，以高度社会化、专业化、标准化、智慧化为目标，完善仓储物流体系、商业体系，大力发展电商服务，全面提升</w:t>
      </w:r>
      <w:r>
        <w:rPr>
          <w:rFonts w:hint="eastAsia" w:ascii="Times New Roman" w:hAnsi="Times New Roman" w:eastAsia="方正仿宋_GBK"/>
          <w:color w:val="auto"/>
          <w:sz w:val="32"/>
          <w:szCs w:val="32"/>
        </w:rPr>
        <w:t>江川</w:t>
      </w:r>
      <w:r>
        <w:rPr>
          <w:rFonts w:ascii="Times New Roman" w:hAnsi="Times New Roman" w:eastAsia="方正仿宋_GBK"/>
          <w:color w:val="auto"/>
          <w:sz w:val="32"/>
          <w:szCs w:val="32"/>
        </w:rPr>
        <w:t>商贸物流业发展能级。</w:t>
      </w:r>
    </w:p>
    <w:p>
      <w:pPr>
        <w:spacing w:line="560" w:lineRule="exact"/>
        <w:ind w:firstLine="643" w:firstLineChars="200"/>
        <w:rPr>
          <w:rFonts w:ascii="Times New Roman" w:hAnsi="Times New Roman" w:eastAsia="方正仿宋_GBK"/>
          <w:color w:val="auto"/>
          <w:sz w:val="32"/>
          <w:szCs w:val="32"/>
        </w:rPr>
      </w:pPr>
      <w:r>
        <w:rPr>
          <w:rFonts w:ascii="Times New Roman" w:hAnsi="Times New Roman" w:eastAsia="方正仿宋_GBK"/>
          <w:b/>
          <w:color w:val="auto"/>
          <w:sz w:val="32"/>
          <w:szCs w:val="32"/>
        </w:rPr>
        <w:t>打造面向南亚东南亚的现代物流中心。</w:t>
      </w:r>
      <w:r>
        <w:rPr>
          <w:rFonts w:ascii="Times New Roman" w:hAnsi="Times New Roman" w:eastAsia="方正仿宋_GBK"/>
          <w:color w:val="auto"/>
          <w:sz w:val="32"/>
          <w:szCs w:val="32"/>
        </w:rPr>
        <w:t>主动融入“一带一路”</w:t>
      </w:r>
      <w:r>
        <w:rPr>
          <w:rFonts w:hint="eastAsia" w:ascii="Times New Roman" w:hAnsi="Times New Roman" w:eastAsia="方正仿宋_GBK"/>
          <w:color w:val="auto"/>
          <w:sz w:val="32"/>
          <w:szCs w:val="32"/>
          <w:lang w:eastAsia="zh-CN"/>
        </w:rPr>
        <w:t>、</w:t>
      </w:r>
      <w:r>
        <w:rPr>
          <w:rFonts w:hint="default" w:ascii="Times New Roman" w:hAnsi="Times New Roman" w:eastAsia="方正仿宋_GBK"/>
          <w:color w:val="auto"/>
          <w:sz w:val="32"/>
          <w:szCs w:val="32"/>
          <w:highlight w:val="none"/>
        </w:rPr>
        <w:t>“大循环、双循环”</w:t>
      </w:r>
      <w:r>
        <w:rPr>
          <w:rFonts w:hint="default" w:ascii="Times New Roman" w:hAnsi="Times New Roman" w:eastAsia="方正仿宋_GBK"/>
          <w:color w:val="auto"/>
          <w:sz w:val="32"/>
          <w:szCs w:val="32"/>
          <w:highlight w:val="none"/>
          <w:lang w:eastAsia="zh-CN"/>
        </w:rPr>
        <w:t>等</w:t>
      </w:r>
      <w:r>
        <w:rPr>
          <w:rFonts w:ascii="Times New Roman" w:hAnsi="Times New Roman" w:eastAsia="方正仿宋_GBK"/>
          <w:color w:val="auto"/>
          <w:sz w:val="32"/>
          <w:szCs w:val="32"/>
        </w:rPr>
        <w:t>国家战略，服务</w:t>
      </w:r>
      <w:r>
        <w:rPr>
          <w:rFonts w:hint="default" w:ascii="Times New Roman" w:hAnsi="Times New Roman" w:eastAsia="方正仿宋_GBK"/>
          <w:color w:val="auto"/>
          <w:sz w:val="32"/>
          <w:szCs w:val="32"/>
          <w:highlight w:val="none"/>
        </w:rPr>
        <w:t>全省建设成为国内大市场与南亚东南亚国际市场之间的战略纽带</w:t>
      </w:r>
      <w:r>
        <w:rPr>
          <w:rFonts w:hint="default" w:ascii="Times New Roman" w:hAnsi="Times New Roman" w:eastAsia="方正仿宋_GBK"/>
          <w:color w:val="auto"/>
          <w:sz w:val="32"/>
          <w:szCs w:val="32"/>
          <w:highlight w:val="none"/>
          <w:lang w:eastAsia="zh-CN"/>
        </w:rPr>
        <w:t>、打造</w:t>
      </w:r>
      <w:r>
        <w:rPr>
          <w:rFonts w:ascii="Times New Roman" w:hAnsi="Times New Roman" w:eastAsia="方正仿宋_GBK"/>
          <w:color w:val="auto"/>
          <w:sz w:val="32"/>
          <w:szCs w:val="32"/>
        </w:rPr>
        <w:t>中国（云南）自由贸易试验区建设，配合玉溪市建成“三出境三出省”物流通道网络。</w:t>
      </w:r>
      <w:r>
        <w:rPr>
          <w:rFonts w:ascii="Times New Roman" w:hAnsi="Times New Roman" w:eastAsia="方正仿宋_GBK"/>
          <w:color w:val="auto"/>
          <w:sz w:val="32"/>
          <w:szCs w:val="32"/>
          <w:highlight w:val="none"/>
        </w:rPr>
        <w:t>发挥区位优势，加强园区配套和交通基础设施建设，</w:t>
      </w:r>
      <w:r>
        <w:rPr>
          <w:rFonts w:ascii="Times New Roman" w:hAnsi="Times New Roman" w:eastAsia="方正仿宋_GBK"/>
          <w:color w:val="auto"/>
          <w:sz w:val="32"/>
          <w:szCs w:val="32"/>
        </w:rPr>
        <w:t>以九溪、雄关、龙泉片区为重点，引导物流企业、专业市场和社会性仓储物流设施向物流园区集中，进一步发挥江川冷链物流发展平台和载体的聚集效应，形成“冷链物流园区—冷链物流配送中心—大型生鲜交易市场”的冷链供应链三级体系布局。推广北斗导航、电子数据交换、监控系统等技术在货物查验、保鲜、预冷、冷藏、冷冻、运输、调拨中的使用，实现江川现代物流产业规模化、网络化和品牌化。</w:t>
      </w:r>
    </w:p>
    <w:p>
      <w:pPr>
        <w:spacing w:line="560" w:lineRule="exact"/>
        <w:ind w:firstLine="643" w:firstLineChars="200"/>
        <w:rPr>
          <w:rFonts w:ascii="Times New Roman" w:hAnsi="Times New Roman" w:eastAsia="方正仿宋_GBK"/>
          <w:color w:val="auto"/>
          <w:sz w:val="32"/>
          <w:szCs w:val="32"/>
        </w:rPr>
      </w:pPr>
      <w:r>
        <w:rPr>
          <w:rFonts w:ascii="Times New Roman" w:hAnsi="Times New Roman" w:eastAsia="方正仿宋_GBK"/>
          <w:b/>
          <w:color w:val="auto"/>
          <w:sz w:val="32"/>
          <w:szCs w:val="32"/>
        </w:rPr>
        <w:t>完善现代市场流通体系。</w:t>
      </w:r>
      <w:r>
        <w:rPr>
          <w:rFonts w:ascii="Times New Roman" w:hAnsi="Times New Roman" w:eastAsia="方正仿宋_GBK"/>
          <w:color w:val="auto"/>
          <w:sz w:val="32"/>
          <w:szCs w:val="32"/>
        </w:rPr>
        <w:t>大力推进商品市场体系、现代流通体系、市场监控体系建设，</w:t>
      </w:r>
      <w:r>
        <w:rPr>
          <w:rFonts w:hint="eastAsia" w:ascii="Times New Roman" w:hAnsi="Times New Roman" w:eastAsia="方正仿宋_GBK"/>
          <w:color w:val="auto"/>
          <w:sz w:val="32"/>
          <w:szCs w:val="32"/>
        </w:rPr>
        <w:t>完善现代市场流通体系。</w:t>
      </w:r>
      <w:r>
        <w:rPr>
          <w:rFonts w:ascii="Times New Roman" w:hAnsi="Times New Roman" w:eastAsia="方正仿宋_GBK"/>
          <w:color w:val="auto"/>
          <w:sz w:val="32"/>
          <w:szCs w:val="32"/>
        </w:rPr>
        <w:t>提升商贸流通经营业态，培育龙头商贸流通企业和连锁经营企业，发展区域性市场和专业市场，完善物流配送体系，探索发展和构建多式联运物流网。促进信息技术应用向生产性服务业和生活性服务业渗透，推进乡镇（街道）农贸市场建设，建立稳定、安全、畅通的商品流通渠道</w:t>
      </w:r>
      <w:r>
        <w:rPr>
          <w:rFonts w:hint="eastAsia" w:ascii="Times New Roman" w:hAnsi="Times New Roman" w:eastAsia="方正仿宋_GBK"/>
          <w:color w:val="auto"/>
          <w:sz w:val="32"/>
          <w:szCs w:val="32"/>
        </w:rPr>
        <w:t>，完善</w:t>
      </w:r>
      <w:r>
        <w:rPr>
          <w:rFonts w:ascii="Times New Roman" w:hAnsi="Times New Roman" w:eastAsia="方正仿宋_GBK"/>
          <w:color w:val="auto"/>
          <w:sz w:val="32"/>
          <w:szCs w:val="32"/>
        </w:rPr>
        <w:t>流通网络</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构建制造业、商贸、城市配送和农村物流相结合的现代城乡物流体系。以润特烟叶粮食物流、高原特色农产品冷链物流和宏程货运物流</w:t>
      </w:r>
      <w:r>
        <w:rPr>
          <w:rFonts w:hint="eastAsia" w:ascii="Times New Roman" w:hAnsi="Times New Roman" w:eastAsia="方正仿宋_GBK"/>
          <w:color w:val="auto"/>
          <w:sz w:val="32"/>
          <w:szCs w:val="32"/>
        </w:rPr>
        <w:t>为重点，</w:t>
      </w:r>
      <w:r>
        <w:rPr>
          <w:rFonts w:ascii="Times New Roman" w:hAnsi="Times New Roman" w:eastAsia="方正仿宋_GBK"/>
          <w:color w:val="auto"/>
          <w:sz w:val="32"/>
          <w:szCs w:val="32"/>
        </w:rPr>
        <w:t>推进物流产业园建设，确保区域性综合物流核心竞争力。</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三、</w:t>
      </w:r>
      <w:r>
        <w:rPr>
          <w:rFonts w:ascii="Times New Roman" w:hAnsi="Times New Roman" w:eastAsia="黑体"/>
          <w:color w:val="auto"/>
          <w:sz w:val="32"/>
          <w:szCs w:val="32"/>
        </w:rPr>
        <w:t>大力提升现代商贸发展动能</w:t>
      </w:r>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健全城乡商贸流通体系。</w:t>
      </w:r>
      <w:r>
        <w:rPr>
          <w:rFonts w:hint="eastAsia" w:ascii="Times New Roman" w:hAnsi="Times New Roman" w:eastAsia="方正仿宋_GBK"/>
          <w:color w:val="auto"/>
          <w:sz w:val="32"/>
          <w:szCs w:val="32"/>
        </w:rPr>
        <w:t>按照</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便民、为民、利民</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的宗旨，加快城乡商贸流通体系建设，大力推进专业市场建设，发展新零售商业业态，按照</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城郊大物流，城内大商场</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和错位竞争的总体思路，推动实体零售由销售商品向引导生产和创新生活方式转变。重点建设蔬菜交易、汽车（摩托车）、农产品交易、小商品交易等专业市场，充分发挥专业市场集聚效应和带动作用，引导专业市场走向</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市场带加工、市场带基地、市场带运输</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的良性轨道。</w:t>
      </w:r>
      <w:r>
        <w:rPr>
          <w:rFonts w:ascii="Times New Roman" w:hAnsi="Times New Roman" w:eastAsia="方正仿宋_GBK"/>
          <w:color w:val="auto"/>
          <w:sz w:val="32"/>
          <w:szCs w:val="32"/>
        </w:rPr>
        <w:t>因地制宜打造满足本地居民消费需求和外来游客需求的区域性商贸服务中心，深入推进“电商＋物流”行动，促进线上线下融合发展</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引导农产品企业、零售连锁企业、物流企业建设自营电商平台，发展特色优势产品营销网络</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大力推动电子商务自然村全覆盖，培育一批农特产品、手工艺品等行业性电商。</w:t>
      </w:r>
    </w:p>
    <w:p>
      <w:pPr>
        <w:spacing w:line="560" w:lineRule="exact"/>
        <w:ind w:firstLine="643" w:firstLineChars="200"/>
        <w:rPr>
          <w:rFonts w:ascii="Times New Roman" w:hAnsi="Times New Roman" w:eastAsia="方正仿宋_GBK"/>
          <w:color w:val="auto"/>
          <w:sz w:val="32"/>
          <w:szCs w:val="32"/>
        </w:rPr>
      </w:pPr>
      <w:r>
        <w:rPr>
          <w:rFonts w:hint="eastAsia" w:ascii="Times New Roman" w:hAnsi="Times New Roman" w:eastAsia="方正仿宋_GBK"/>
          <w:b/>
          <w:color w:val="auto"/>
          <w:sz w:val="32"/>
          <w:szCs w:val="32"/>
        </w:rPr>
        <w:t>培育商贸物流新业态。</w:t>
      </w:r>
      <w:r>
        <w:rPr>
          <w:rFonts w:ascii="Times New Roman" w:hAnsi="Times New Roman" w:eastAsia="方正仿宋_GBK"/>
          <w:color w:val="auto"/>
          <w:sz w:val="32"/>
          <w:szCs w:val="32"/>
        </w:rPr>
        <w:t>以生态、循环、数字经济形态为引领，加快发展智慧精品旅游、数字文化创意产业，促进旅游、休闲、文化、体育、娱乐、教育、养老等多业态融合发展，有效拉动消费，支持发展平台经济、分享经济和体验经济，鼓励科技服务、商品交易、物流运输等领域专业平台建设。推广新媒体平台的直播营销，发展流量经济。开拓发展科技咨询、数字出版、会展、连锁经营、文化服务、教育培训等现代服务业。</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四、</w:t>
      </w:r>
      <w:r>
        <w:rPr>
          <w:rFonts w:ascii="Times New Roman" w:hAnsi="Times New Roman" w:eastAsia="黑体"/>
          <w:color w:val="auto"/>
          <w:sz w:val="32"/>
          <w:szCs w:val="32"/>
        </w:rPr>
        <w:t>稳健发展房地产业</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以新型城镇化为导向，</w:t>
      </w:r>
      <w:r>
        <w:rPr>
          <w:rFonts w:hint="eastAsia" w:ascii="Times New Roman" w:hAnsi="Times New Roman" w:eastAsia="方正仿宋_GBK"/>
          <w:color w:val="auto"/>
          <w:sz w:val="32"/>
          <w:szCs w:val="32"/>
        </w:rPr>
        <w:t>提升我区建筑业整体水平和综合竞争力，充分发挥建筑业在促进我区经济社会发展、加快推进新型城镇化建设、吸纳农民工就业等方面的重要作用，鼓励建筑业企业做大做强，成立江川建筑产业联盟，吸纳建筑业全产业链上所有类型企业以及高等院校、科研院所等单位，搭建建筑产业全领域合作平台，实现融合发展。</w:t>
      </w:r>
      <w:r>
        <w:rPr>
          <w:rFonts w:ascii="Times New Roman" w:hAnsi="Times New Roman" w:eastAsia="方正仿宋_GBK"/>
          <w:color w:val="auto"/>
          <w:sz w:val="32"/>
          <w:szCs w:val="32"/>
        </w:rPr>
        <w:t>以产城融合为导向，顺应新型工业化、城市更新改造以及融入主城核心区等带来的人口集聚趋势，改变传统地产发展模式，走新兴地产开发道路，有序发展商业地产和合理配套城市综合体</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促进房地产业健康可持续发展。以旧城改造更新和新城开发建设为路径，着力提升商住楼盘品质，适度开发高品质住宅、绿色低碳住宅。依托丰富文化旅游资源，着力引进具备资源整合能力和运营实力的市场主体，整合挖掘文化旅游资源，高效发展文化旅游地产、旅游综合体项目，推动房地产与文化旅游产业深度融合发展。以山水资源优势为依托，满足都市消费群体休假养生养老需求，积极探索发展养生养老地产。</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五、</w:t>
      </w:r>
      <w:r>
        <w:rPr>
          <w:rFonts w:ascii="Times New Roman" w:hAnsi="Times New Roman" w:eastAsia="黑体"/>
          <w:color w:val="auto"/>
          <w:sz w:val="32"/>
          <w:szCs w:val="32"/>
        </w:rPr>
        <w:t>积极培育金融</w:t>
      </w:r>
      <w:r>
        <w:rPr>
          <w:rFonts w:hint="eastAsia" w:ascii="Times New Roman" w:hAnsi="Times New Roman" w:eastAsia="黑体"/>
          <w:color w:val="auto"/>
          <w:sz w:val="32"/>
          <w:szCs w:val="32"/>
        </w:rPr>
        <w:t>服务</w:t>
      </w:r>
      <w:r>
        <w:rPr>
          <w:rFonts w:ascii="Times New Roman" w:hAnsi="Times New Roman" w:eastAsia="黑体"/>
          <w:color w:val="auto"/>
          <w:sz w:val="32"/>
          <w:szCs w:val="32"/>
        </w:rPr>
        <w:t>业</w:t>
      </w:r>
    </w:p>
    <w:p>
      <w:pPr>
        <w:spacing w:line="560" w:lineRule="exact"/>
        <w:ind w:firstLine="640" w:firstLineChars="200"/>
        <w:rPr>
          <w:rFonts w:ascii="Times New Roman" w:hAnsi="Times New Roman" w:eastAsia="仿宋"/>
          <w:color w:val="auto"/>
          <w:sz w:val="32"/>
          <w:szCs w:val="32"/>
        </w:rPr>
      </w:pPr>
      <w:r>
        <w:rPr>
          <w:rFonts w:ascii="Times New Roman" w:hAnsi="Times New Roman" w:eastAsia="方正仿宋_GBK"/>
          <w:color w:val="auto"/>
          <w:sz w:val="32"/>
          <w:szCs w:val="32"/>
        </w:rPr>
        <w:t>构建结构合理、层次分明、差异化竞争的金融服务体系。积极引进各类商业</w:t>
      </w:r>
      <w:r>
        <w:rPr>
          <w:rFonts w:hint="eastAsia" w:ascii="Times New Roman" w:hAnsi="Times New Roman" w:eastAsia="方正仿宋_GBK"/>
          <w:color w:val="auto"/>
          <w:sz w:val="32"/>
          <w:szCs w:val="32"/>
          <w:lang w:eastAsia="zh-CN"/>
        </w:rPr>
        <w:t>主体</w:t>
      </w:r>
      <w:r>
        <w:rPr>
          <w:rFonts w:ascii="Times New Roman" w:hAnsi="Times New Roman" w:eastAsia="方正仿宋_GBK"/>
          <w:color w:val="auto"/>
          <w:sz w:val="32"/>
          <w:szCs w:val="32"/>
        </w:rPr>
        <w:t>到江川设立分支机构，支持各类保险机构、证券机构、创业和风险投资机构的发展。加强与金融机构合作，搭建银企对接平台，深化投融资体制改革，拓宽中小企业融资渠道，降低融资成本。深化农村金融改革创新，促进村镇银行、小额贷款公司、资金互助合作社等新型农村金融机构健康发展，创新面向“三农”的微型金融服务产品，多层次解决融资和发展难题，鼓励和吸引社会资本参与重大基础设施和重点发展项目建设和运营。</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auto" w:sz="4" w:space="0"/>
              <w:left w:val="single" w:color="auto" w:sz="4" w:space="0"/>
              <w:bottom w:val="single" w:color="auto" w:sz="4" w:space="0"/>
              <w:right w:val="single" w:color="auto" w:sz="4" w:space="0"/>
            </w:tcBorders>
          </w:tcPr>
          <w:p>
            <w:pPr>
              <w:jc w:val="center"/>
              <w:rPr>
                <w:color w:val="auto"/>
                <w:sz w:val="24"/>
                <w:szCs w:val="24"/>
              </w:rPr>
            </w:pPr>
            <w:r>
              <w:rPr>
                <w:rFonts w:hint="eastAsia" w:ascii="Times New Roman" w:hAnsi="Times New Roman" w:eastAsia="方正仿宋_GBK"/>
                <w:b/>
                <w:color w:val="auto"/>
                <w:sz w:val="32"/>
                <w:szCs w:val="28"/>
              </w:rPr>
              <w:t>专栏3：现代服务业重点工程项目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auto" w:sz="4" w:space="0"/>
              <w:left w:val="single" w:color="auto" w:sz="4" w:space="0"/>
              <w:bottom w:val="single" w:color="auto" w:sz="4" w:space="0"/>
              <w:right w:val="single" w:color="auto" w:sz="4" w:space="0"/>
            </w:tcBorders>
          </w:tcPr>
          <w:p>
            <w:pPr>
              <w:spacing w:line="360" w:lineRule="exact"/>
              <w:rPr>
                <w:rFonts w:ascii="Times New Roman" w:hAnsi="Times New Roman" w:eastAsia="方正仿宋_GBK"/>
                <w:b/>
                <w:color w:val="auto"/>
                <w:szCs w:val="21"/>
              </w:rPr>
            </w:pPr>
            <w:r>
              <w:rPr>
                <w:rFonts w:hint="eastAsia" w:ascii="Times New Roman" w:hAnsi="Times New Roman" w:eastAsia="方正仿宋_GBK"/>
                <w:b/>
                <w:color w:val="auto"/>
                <w:szCs w:val="21"/>
              </w:rPr>
              <w:t>旅游文化产业基础设施建设项目：</w:t>
            </w:r>
            <w:r>
              <w:rPr>
                <w:rFonts w:hint="eastAsia" w:ascii="Times New Roman" w:hAnsi="Times New Roman" w:eastAsia="方正仿宋_GBK"/>
                <w:color w:val="auto"/>
                <w:szCs w:val="21"/>
              </w:rPr>
              <w:t>星云湖环线智慧旅游基础设施建设项目、江川区主题街区打造项目、星云湖南岸乡村振兴示范区智慧景区建设、江川梁王山-北山山地运动基地项目、江川茶尔山田园综合体、智慧李家山文旅融合项目、江川区前卫铜文化产业园建设工程、江川区七星康体旅游景点、前卫镇回头山景区建设、星云湖西岸民宿建设项目、江川临空产业综合体建设项目、江川区休闲农业与乡村旅游精品工程建设项目、北山禅修文化园、前卫镇白药文化产业园建设项目</w:t>
            </w:r>
            <w:r>
              <w:rPr>
                <w:rFonts w:hint="eastAsia" w:ascii="宋体" w:hAnsi="宋体" w:cs="宋体"/>
                <w:color w:val="auto"/>
                <w:kern w:val="0"/>
                <w:sz w:val="21"/>
                <w:szCs w:val="21"/>
              </w:rPr>
              <w:t>。</w:t>
            </w:r>
          </w:p>
          <w:p>
            <w:pPr>
              <w:spacing w:line="360" w:lineRule="exact"/>
              <w:rPr>
                <w:rFonts w:ascii="Times New Roman" w:hAnsi="Times New Roman" w:eastAsia="FangSong_GB2312"/>
                <w:color w:val="auto"/>
                <w:szCs w:val="21"/>
              </w:rPr>
            </w:pPr>
            <w:r>
              <w:rPr>
                <w:rFonts w:hint="eastAsia" w:ascii="Times New Roman" w:hAnsi="Times New Roman" w:eastAsia="方正仿宋_GBK"/>
                <w:b/>
                <w:color w:val="auto"/>
                <w:szCs w:val="21"/>
              </w:rPr>
              <w:t>物流基础设施建设项目：</w:t>
            </w:r>
            <w:r>
              <w:rPr>
                <w:rFonts w:hint="eastAsia" w:ascii="Times New Roman" w:hAnsi="Times New Roman" w:eastAsia="方正仿宋_GBK"/>
                <w:color w:val="auto"/>
                <w:szCs w:val="21"/>
              </w:rPr>
              <w:t>云南宏程物流集团有限公司现代物流配送及综合加工项目、滇中绿色农产品产业园冷链物流基础设施及配套项目、世吉滇中特色农副产品冷链储运中心项目、云南九溪润特仓储中心二期项目、江川区乡镇蔬菜交易市场建设项目、京东智慧物流园区项目。</w:t>
            </w:r>
          </w:p>
        </w:tc>
      </w:tr>
    </w:tbl>
    <w:p>
      <w:pPr>
        <w:pStyle w:val="4"/>
        <w:rPr>
          <w:b w:val="0"/>
          <w:bCs w:val="0"/>
          <w:color w:val="auto"/>
          <w:sz w:val="36"/>
        </w:rPr>
      </w:pPr>
      <w:bookmarkStart w:id="105" w:name="_Toc24994"/>
      <w:bookmarkStart w:id="106" w:name="_Toc28900"/>
      <w:bookmarkStart w:id="107" w:name="_Toc446364477"/>
      <w:bookmarkStart w:id="108" w:name="_Toc4775"/>
      <w:r>
        <w:rPr>
          <w:rFonts w:hint="eastAsia"/>
          <w:b w:val="0"/>
          <w:bCs w:val="0"/>
          <w:color w:val="auto"/>
          <w:sz w:val="36"/>
        </w:rPr>
        <w:t>第十八章  着力</w:t>
      </w:r>
      <w:r>
        <w:rPr>
          <w:b w:val="0"/>
          <w:bCs w:val="0"/>
          <w:color w:val="auto"/>
          <w:sz w:val="36"/>
        </w:rPr>
        <w:t>发展数字经济</w:t>
      </w:r>
      <w:bookmarkEnd w:id="105"/>
      <w:bookmarkEnd w:id="106"/>
      <w:bookmarkEnd w:id="107"/>
      <w:bookmarkEnd w:id="108"/>
    </w:p>
    <w:p>
      <w:pPr>
        <w:spacing w:line="54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以玉溪打造</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云南数字经济第一城</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为契机，</w:t>
      </w:r>
      <w:r>
        <w:rPr>
          <w:rFonts w:hint="eastAsia" w:ascii="Times New Roman" w:hAnsi="Times New Roman" w:eastAsia="方正仿宋_GBK"/>
          <w:color w:val="auto"/>
          <w:sz w:val="32"/>
          <w:szCs w:val="32"/>
        </w:rPr>
        <w:t>积极融入数字云南建设，聚焦加快建设云南数字经济先行区、面向南亚东南亚数字经济示范区和创新中心总目标，以推动政府数据资源整合和开放共享为引领，激活资本供给、培育数据市场、精准培引人才，推动经济社会全领域数字化。</w:t>
      </w:r>
    </w:p>
    <w:p>
      <w:pPr>
        <w:spacing w:line="54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一、加快数字产业化</w:t>
      </w:r>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加速推进区块链技术应用，建强以 5G通信、数据中心、人工智能、软件和信息技术服务等为重点的产业。</w:t>
      </w:r>
      <w:r>
        <w:rPr>
          <w:rFonts w:ascii="Times New Roman" w:hAnsi="Times New Roman" w:eastAsia="方正仿宋_GBK"/>
          <w:color w:val="auto"/>
          <w:sz w:val="32"/>
          <w:szCs w:val="32"/>
        </w:rPr>
        <w:t>建强5G和物联网基础设施，以</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资源数字化、数字产业化、产业数字化</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为主线，加快建设生态环境、市场监管、综合交通物流、公共安全大数据平台，大力推进</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数字江川</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建设，</w:t>
      </w:r>
      <w:r>
        <w:rPr>
          <w:rFonts w:hint="eastAsia" w:ascii="Times New Roman" w:hAnsi="Times New Roman" w:eastAsia="方正仿宋_GBK"/>
          <w:color w:val="auto"/>
          <w:sz w:val="32"/>
          <w:szCs w:val="32"/>
        </w:rPr>
        <w:t>深入实施“云上云”计划，</w:t>
      </w:r>
      <w:r>
        <w:rPr>
          <w:rFonts w:ascii="Times New Roman" w:hAnsi="Times New Roman" w:eastAsia="方正仿宋_GBK"/>
          <w:color w:val="auto"/>
          <w:sz w:val="32"/>
          <w:szCs w:val="32"/>
        </w:rPr>
        <w:t>推动政府数据资源整合和开放共享，加快城市数字化，整合城市运用数据资源，打造新型智慧城市。加速推进区块链技术应用，促进工业、农业、服务业数字化转型</w:t>
      </w:r>
      <w:r>
        <w:rPr>
          <w:rFonts w:hint="eastAsia" w:ascii="Times New Roman" w:hAnsi="Times New Roman" w:eastAsia="方正仿宋_GBK"/>
          <w:color w:val="auto"/>
          <w:sz w:val="32"/>
          <w:szCs w:val="32"/>
        </w:rPr>
        <w:t>，用人工智能、区块链、大数据、物联网等数字技术赋予经济发展新的生命力。积极推进各要素全面数字化，利用省、市级平台，高质量建成全区人口、法人、宏观经济、自然资源、电子证照五大数据库，加快建设生态环境、市场监管、综合交通物流、公共安全大数据平台，加快推进数据与其他生产要素深度融合，打造数据供应链。</w:t>
      </w:r>
    </w:p>
    <w:p>
      <w:pPr>
        <w:spacing w:line="54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二、积极推动产业数字化</w:t>
      </w:r>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深化大数据的应用，积极布局新基建，提升电子信息、通信与网络等基础产业，做强大数据、物联网、人工智能等新兴产业。</w:t>
      </w:r>
      <w:r>
        <w:rPr>
          <w:rFonts w:ascii="Times New Roman" w:hAnsi="Times New Roman" w:eastAsia="方正仿宋_GBK"/>
          <w:color w:val="auto"/>
          <w:sz w:val="32"/>
          <w:szCs w:val="32"/>
        </w:rPr>
        <w:t>深化新一代信息技术与制造业融合发展，推动企业数字化、智能化改造升级。推进先进制造业和现代服务业深度融合，开展服务型制造试点示范，鼓励制造业向产业链两端高附加值生产服务</w:t>
      </w:r>
      <w:r>
        <w:rPr>
          <w:rFonts w:hint="eastAsia" w:ascii="Times New Roman" w:hAnsi="Times New Roman" w:eastAsia="方正仿宋_GBK"/>
          <w:color w:val="auto"/>
          <w:sz w:val="32"/>
          <w:szCs w:val="32"/>
          <w:lang w:eastAsia="zh-CN"/>
        </w:rPr>
        <w:t>业</w:t>
      </w:r>
      <w:r>
        <w:rPr>
          <w:rFonts w:ascii="Times New Roman" w:hAnsi="Times New Roman" w:eastAsia="方正仿宋_GBK"/>
          <w:color w:val="auto"/>
          <w:sz w:val="32"/>
          <w:szCs w:val="32"/>
        </w:rPr>
        <w:t>拓展延伸，支持企业从生产制造为主向“制造+服务”转型，从提供生产向提供“产品+服务”转变，在研发、生产控制、售后服务等环节实现专业化、高端化发展</w:t>
      </w:r>
      <w:r>
        <w:rPr>
          <w:rFonts w:hint="eastAsia" w:ascii="Times New Roman" w:hAnsi="Times New Roman" w:eastAsia="方正仿宋_GBK"/>
          <w:color w:val="auto"/>
          <w:sz w:val="32"/>
          <w:szCs w:val="32"/>
        </w:rPr>
        <w:t>，以新型磷化工、新材料、新能源、生物医药、冷链物流</w:t>
      </w:r>
      <w:r>
        <w:rPr>
          <w:rFonts w:hint="eastAsia" w:ascii="Times New Roman" w:hAnsi="Times New Roman" w:eastAsia="方正仿宋_GBK"/>
          <w:color w:val="auto"/>
          <w:sz w:val="32"/>
          <w:szCs w:val="32"/>
          <w:lang w:eastAsia="zh-CN"/>
        </w:rPr>
        <w:t>产业</w:t>
      </w:r>
      <w:r>
        <w:rPr>
          <w:rFonts w:hint="eastAsia" w:ascii="Times New Roman" w:hAnsi="Times New Roman" w:eastAsia="方正仿宋_GBK"/>
          <w:color w:val="auto"/>
          <w:sz w:val="32"/>
          <w:szCs w:val="32"/>
        </w:rPr>
        <w:t>为重点，探索数字化综合解决方案，打造产业发展的数字引擎，推动企业解决数字化转型，打造一批“数字农业”“数字生产线”“数字车间”，实现</w:t>
      </w:r>
      <w:r>
        <w:rPr>
          <w:rFonts w:ascii="Times New Roman" w:hAnsi="Times New Roman" w:eastAsia="方正仿宋_GBK"/>
          <w:color w:val="auto"/>
          <w:sz w:val="32"/>
          <w:szCs w:val="32"/>
        </w:rPr>
        <w:t>产业数字化突破</w:t>
      </w:r>
      <w:r>
        <w:rPr>
          <w:rFonts w:hint="eastAsia" w:ascii="Times New Roman" w:hAnsi="Times New Roman" w:eastAsia="方正仿宋_GBK"/>
          <w:color w:val="auto"/>
          <w:sz w:val="32"/>
          <w:szCs w:val="32"/>
        </w:rPr>
        <w:t>。</w:t>
      </w:r>
    </w:p>
    <w:p>
      <w:pPr>
        <w:spacing w:line="54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三、提升数字化管理能力</w:t>
      </w:r>
    </w:p>
    <w:p>
      <w:pPr>
        <w:spacing w:line="540" w:lineRule="exact"/>
        <w:ind w:firstLine="640" w:firstLineChars="200"/>
        <w:rPr>
          <w:rFonts w:ascii="Times New Roman" w:hAnsi="Times New Roman" w:eastAsia="方正仿宋_GBK"/>
          <w:color w:val="auto"/>
          <w:sz w:val="32"/>
          <w:szCs w:val="32"/>
        </w:rPr>
      </w:pPr>
      <w:r>
        <w:rPr>
          <w:rFonts w:ascii="Times New Roman" w:hAnsi="Times New Roman" w:eastAsia="方正仿宋_GBK"/>
          <w:bCs/>
          <w:color w:val="auto"/>
          <w:sz w:val="32"/>
          <w:szCs w:val="32"/>
        </w:rPr>
        <w:t>持续推进“互联网+政务服务”建设，推广</w:t>
      </w:r>
      <w:r>
        <w:rPr>
          <w:rFonts w:hint="eastAsia" w:ascii="Times New Roman" w:hAnsi="Times New Roman" w:eastAsia="方正仿宋_GBK"/>
          <w:bCs/>
          <w:color w:val="auto"/>
          <w:sz w:val="32"/>
          <w:szCs w:val="32"/>
        </w:rPr>
        <w:t>“</w:t>
      </w:r>
      <w:r>
        <w:rPr>
          <w:rFonts w:ascii="Times New Roman" w:hAnsi="Times New Roman" w:eastAsia="方正仿宋_GBK"/>
          <w:bCs/>
          <w:color w:val="auto"/>
          <w:sz w:val="32"/>
          <w:szCs w:val="32"/>
        </w:rPr>
        <w:t>一部手机办事通</w:t>
      </w:r>
      <w:r>
        <w:rPr>
          <w:rFonts w:hint="eastAsia" w:ascii="Times New Roman" w:hAnsi="Times New Roman" w:eastAsia="方正仿宋_GBK"/>
          <w:bCs/>
          <w:color w:val="auto"/>
          <w:sz w:val="32"/>
          <w:szCs w:val="32"/>
        </w:rPr>
        <w:t>”</w:t>
      </w:r>
      <w:r>
        <w:rPr>
          <w:rFonts w:ascii="Times New Roman" w:hAnsi="Times New Roman" w:eastAsia="方正仿宋_GBK"/>
          <w:bCs/>
          <w:color w:val="auto"/>
          <w:sz w:val="32"/>
          <w:szCs w:val="32"/>
        </w:rPr>
        <w:t>，推动更多政务服务事项“网上办、掌上办”</w:t>
      </w:r>
      <w:r>
        <w:rPr>
          <w:rFonts w:hint="eastAsia" w:ascii="Times New Roman" w:hAnsi="Times New Roman" w:eastAsia="方正仿宋_GBK"/>
          <w:color w:val="auto"/>
          <w:sz w:val="32"/>
          <w:szCs w:val="32"/>
        </w:rPr>
        <w:t xml:space="preserve"> ，积极发挥“江川发布”APP作用。打造视频图像和数据信息资源交换共享平台，依托“雪亮工程”推进全区城乡视频监控、道路卡口建设和联网。实施“网上公安”智慧服务，推进公安行政业务智能化、信息化服务措施落地。启动智慧机关建设，推进智慧办公、智慧公务、智慧安防等机关事务管理</w:t>
      </w:r>
      <w:r>
        <w:rPr>
          <w:rFonts w:hint="eastAsia" w:ascii="Times New Roman" w:hAnsi="Times New Roman" w:eastAsia="方正仿宋_GBK"/>
          <w:color w:val="auto"/>
          <w:sz w:val="32"/>
          <w:szCs w:val="32"/>
          <w:lang w:eastAsia="zh-CN"/>
        </w:rPr>
        <w:t>手段</w:t>
      </w:r>
      <w:r>
        <w:rPr>
          <w:rFonts w:hint="eastAsia" w:ascii="Times New Roman" w:hAnsi="Times New Roman" w:eastAsia="方正仿宋_GBK"/>
          <w:color w:val="auto"/>
          <w:sz w:val="32"/>
          <w:szCs w:val="32"/>
        </w:rPr>
        <w:t>，降低行政成本，提高机关事务管理效能。</w:t>
      </w:r>
    </w:p>
    <w:p>
      <w:pPr>
        <w:spacing w:line="540" w:lineRule="exact"/>
        <w:ind w:firstLine="640" w:firstLineChars="200"/>
        <w:rPr>
          <w:rFonts w:ascii="Times New Roman" w:hAnsi="Times New Roman" w:eastAsia="方正仿宋_GBK"/>
          <w:b/>
          <w:color w:val="auto"/>
          <w:sz w:val="32"/>
          <w:szCs w:val="32"/>
        </w:rPr>
      </w:pPr>
      <w:r>
        <w:rPr>
          <w:rFonts w:hint="eastAsia" w:ascii="Times New Roman" w:hAnsi="Times New Roman" w:eastAsia="黑体"/>
          <w:b w:val="0"/>
          <w:color w:val="auto"/>
          <w:sz w:val="32"/>
          <w:szCs w:val="32"/>
        </w:rPr>
        <w:t>四、推动园区智能化发展</w:t>
      </w:r>
    </w:p>
    <w:p>
      <w:pPr>
        <w:spacing w:line="540" w:lineRule="exact"/>
        <w:ind w:firstLine="640" w:firstLineChars="200"/>
        <w:rPr>
          <w:rFonts w:ascii="Calibri" w:hAnsi="Calibri" w:eastAsia="宋体"/>
          <w:color w:val="auto"/>
          <w:sz w:val="21"/>
          <w:szCs w:val="22"/>
        </w:rPr>
      </w:pPr>
      <w:r>
        <w:rPr>
          <w:rFonts w:ascii="Times New Roman" w:hAnsi="Times New Roman" w:eastAsia="方正仿宋_GBK"/>
          <w:color w:val="auto"/>
          <w:sz w:val="32"/>
          <w:szCs w:val="32"/>
        </w:rPr>
        <w:t>夯实数字经济发展基础，以产业数字化为突破口，深化新一代信息技术与制造业融合发展，着力提高信息技术在工业领域的应用水平，引进先进信息集成制造技术和管理技术，实现企业生产自动化、智能化。</w:t>
      </w:r>
      <w:r>
        <w:rPr>
          <w:rFonts w:hint="eastAsia" w:ascii="Times New Roman" w:hAnsi="Times New Roman" w:eastAsia="方正仿宋_GBK"/>
          <w:color w:val="auto"/>
          <w:sz w:val="32"/>
          <w:szCs w:val="32"/>
        </w:rPr>
        <w:t>推进新兴科技与传统产业、工业化与信息化有机融合，推动工业互联网、物联网等与现代制造业结合，深化信息技术在制造业领域应用，加强制造业数字化、信息化、智能化改造，提高生产过程、生产装备和经营管理的数字化水平。大力发展“互联网+”体系，加快企业智能化改造，大力发展智能制造装备和产品，构建开放、共享、协作的智能制造产业生态。深化制造业与服务业的融合发展，支持制造业企业利用互联网对接消费者个性化需求，开展服务模式和商业模式创新，推动工业企业发展模式向数字化、网络化、智能化、服务化转变。</w:t>
      </w:r>
    </w:p>
    <w:p>
      <w:pPr>
        <w:widowControl/>
        <w:spacing w:line="540" w:lineRule="exact"/>
        <w:jc w:val="left"/>
        <w:rPr>
          <w:rFonts w:ascii="Times New Roman" w:hAnsi="Times New Roman" w:eastAsia="方正仿宋_GBK"/>
          <w:color w:val="auto"/>
          <w:sz w:val="32"/>
          <w:szCs w:val="32"/>
        </w:rPr>
      </w:pPr>
      <w:r>
        <w:rPr>
          <w:rFonts w:ascii="Times New Roman" w:hAnsi="Times New Roman" w:eastAsia="方正仿宋_GBK"/>
          <w:color w:val="auto"/>
          <w:sz w:val="32"/>
          <w:szCs w:val="32"/>
        </w:rPr>
        <w:br w:type="page"/>
      </w:r>
    </w:p>
    <w:bookmarkEnd w:id="14"/>
    <w:p>
      <w:pPr>
        <w:pStyle w:val="3"/>
        <w:rPr>
          <w:rFonts w:eastAsia="方正小标宋简体"/>
          <w:b w:val="0"/>
          <w:bCs w:val="0"/>
          <w:color w:val="auto"/>
          <w:sz w:val="40"/>
        </w:rPr>
      </w:pPr>
      <w:bookmarkStart w:id="109" w:name="_Toc55540770"/>
      <w:bookmarkStart w:id="110" w:name="_Toc26878"/>
      <w:bookmarkStart w:id="111" w:name="_Toc17480"/>
      <w:bookmarkStart w:id="112" w:name="_Toc446364478"/>
      <w:bookmarkStart w:id="113" w:name="_Toc21216"/>
      <w:r>
        <w:rPr>
          <w:rFonts w:hint="eastAsia" w:eastAsia="方正小标宋简体"/>
          <w:b w:val="0"/>
          <w:bCs w:val="0"/>
          <w:color w:val="auto"/>
          <w:sz w:val="40"/>
        </w:rPr>
        <w:t>第六篇</w:t>
      </w:r>
      <w:bookmarkEnd w:id="109"/>
      <w:r>
        <w:rPr>
          <w:rFonts w:hint="eastAsia" w:eastAsia="方正小标宋简体"/>
          <w:b w:val="0"/>
          <w:bCs w:val="0"/>
          <w:color w:val="auto"/>
          <w:sz w:val="40"/>
        </w:rPr>
        <w:t>　加快完善现代基础设施，持续夯实新发展基石</w:t>
      </w:r>
      <w:bookmarkEnd w:id="110"/>
      <w:bookmarkEnd w:id="111"/>
      <w:bookmarkEnd w:id="112"/>
      <w:bookmarkEnd w:id="113"/>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抢抓国家加快发展新型基础设施建设的重大机遇，按照互联互通、功能完备、保障有力、适度超前的高质量发展要求，</w:t>
      </w:r>
      <w:r>
        <w:rPr>
          <w:rFonts w:ascii="Times New Roman" w:hAnsi="Times New Roman" w:eastAsia="方正仿宋_GBK"/>
          <w:color w:val="auto"/>
          <w:sz w:val="32"/>
          <w:szCs w:val="32"/>
        </w:rPr>
        <w:t>加速布局“新基建”积极融入全省基础设施“双十”重大工程建设，</w:t>
      </w:r>
      <w:r>
        <w:rPr>
          <w:rFonts w:hint="eastAsia" w:ascii="Times New Roman" w:hAnsi="Times New Roman" w:eastAsia="方正仿宋_GBK"/>
          <w:color w:val="auto"/>
          <w:sz w:val="32"/>
          <w:szCs w:val="32"/>
        </w:rPr>
        <w:t>加快建设新一代信息网络、智能交通、智慧能源等新型基础设施，继续完善路网、水网、能源网等传统基础设施，构建系统完备、高效实用、智能绿色、安全可靠的现代化基础设施体系，</w:t>
      </w:r>
      <w:r>
        <w:rPr>
          <w:rFonts w:ascii="Times New Roman" w:hAnsi="Times New Roman" w:eastAsia="方正仿宋_GBK"/>
          <w:color w:val="auto"/>
          <w:sz w:val="32"/>
          <w:szCs w:val="32"/>
        </w:rPr>
        <w:t>充分发挥基础设施建设稳投资、扩内需、拉动经济增长的重要作用</w:t>
      </w:r>
      <w:r>
        <w:rPr>
          <w:rFonts w:hint="eastAsia" w:ascii="Times New Roman" w:hAnsi="Times New Roman" w:eastAsia="方正仿宋_GBK"/>
          <w:color w:val="auto"/>
          <w:sz w:val="32"/>
          <w:szCs w:val="32"/>
        </w:rPr>
        <w:t>，为高质量发展提供强有力的支撑和保障。</w:t>
      </w:r>
    </w:p>
    <w:p>
      <w:pPr>
        <w:pStyle w:val="4"/>
        <w:rPr>
          <w:b w:val="0"/>
          <w:bCs w:val="0"/>
          <w:color w:val="auto"/>
          <w:sz w:val="36"/>
        </w:rPr>
      </w:pPr>
      <w:bookmarkStart w:id="114" w:name="_Toc10888"/>
      <w:bookmarkStart w:id="115" w:name="_Toc6391"/>
      <w:bookmarkStart w:id="116" w:name="_Toc446364479"/>
      <w:bookmarkStart w:id="117" w:name="_Toc2507"/>
      <w:r>
        <w:rPr>
          <w:rFonts w:hint="eastAsia"/>
          <w:b w:val="0"/>
          <w:bCs w:val="0"/>
          <w:color w:val="auto"/>
          <w:sz w:val="36"/>
        </w:rPr>
        <w:t>第十九章　</w:t>
      </w:r>
      <w:r>
        <w:rPr>
          <w:b w:val="0"/>
          <w:bCs w:val="0"/>
          <w:color w:val="auto"/>
          <w:sz w:val="36"/>
        </w:rPr>
        <w:t>构建综合交通体系</w:t>
      </w:r>
      <w:bookmarkEnd w:id="114"/>
      <w:bookmarkEnd w:id="115"/>
      <w:bookmarkEnd w:id="116"/>
      <w:bookmarkEnd w:id="117"/>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切实着眼全局、提高站位，将综合交通体系建设作为</w:t>
      </w:r>
      <w:r>
        <w:rPr>
          <w:rFonts w:hint="eastAsia" w:ascii="Times New Roman" w:hAnsi="Times New Roman" w:eastAsia="方正仿宋_GBK"/>
          <w:color w:val="auto"/>
          <w:sz w:val="32"/>
          <w:szCs w:val="32"/>
        </w:rPr>
        <w:t>支撑</w:t>
      </w:r>
      <w:r>
        <w:rPr>
          <w:rFonts w:ascii="Times New Roman" w:hAnsi="Times New Roman" w:eastAsia="方正仿宋_GBK"/>
          <w:color w:val="auto"/>
          <w:sz w:val="32"/>
          <w:szCs w:val="32"/>
        </w:rPr>
        <w:t>未来发展先导性、战略性基础设施，作为重构区域经济版图“底盘”和引领区域对外开放的“指针”，自觉对标“区域性便捷互通”发展理念，打造融合高效的智慧交通基础设施，乘势而上建设区域性综合交通枢纽示范城市。</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一、加快推进高速、铁路、机场等建设</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按照全省县域高速公路</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互联互通</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和铁路</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补网提速</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的要求，</w:t>
      </w:r>
      <w:r>
        <w:rPr>
          <w:rFonts w:hint="eastAsia" w:ascii="Times New Roman" w:hAnsi="Times New Roman" w:eastAsia="方正仿宋_GBK"/>
          <w:color w:val="auto"/>
          <w:sz w:val="32"/>
          <w:szCs w:val="32"/>
        </w:rPr>
        <w:t>推进与周边区域高速公路互联互通，提高通过能力。启动</w:t>
      </w:r>
      <w:r>
        <w:rPr>
          <w:rFonts w:ascii="Times New Roman" w:hAnsi="Times New Roman" w:eastAsia="方正仿宋_GBK"/>
          <w:color w:val="auto"/>
          <w:sz w:val="32"/>
          <w:szCs w:val="32"/>
        </w:rPr>
        <w:t>机场高速</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玉溪</w:t>
      </w:r>
      <w:r>
        <w:rPr>
          <w:rFonts w:hint="eastAsia" w:ascii="Times New Roman" w:hAnsi="Times New Roman" w:eastAsia="方正仿宋_GBK"/>
          <w:color w:val="auto"/>
          <w:sz w:val="32"/>
          <w:szCs w:val="32"/>
        </w:rPr>
        <w:t>北城至研和</w:t>
      </w:r>
      <w:r>
        <w:rPr>
          <w:rFonts w:ascii="Times New Roman" w:hAnsi="Times New Roman" w:eastAsia="方正仿宋_GBK"/>
          <w:color w:val="auto"/>
          <w:sz w:val="32"/>
          <w:szCs w:val="32"/>
        </w:rPr>
        <w:t>高速</w:t>
      </w:r>
      <w:r>
        <w:rPr>
          <w:rFonts w:hint="eastAsia" w:ascii="Times New Roman" w:hAnsi="Times New Roman" w:eastAsia="方正仿宋_GBK"/>
          <w:color w:val="auto"/>
          <w:sz w:val="32"/>
          <w:szCs w:val="32"/>
        </w:rPr>
        <w:t>建设</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推动国道G245江川段、大铁线、嵩玉线提升改造</w:t>
      </w:r>
      <w:r>
        <w:rPr>
          <w:rFonts w:ascii="Times New Roman" w:hAnsi="Times New Roman" w:eastAsia="方正仿宋_GBK"/>
          <w:color w:val="auto"/>
          <w:sz w:val="32"/>
          <w:szCs w:val="32"/>
        </w:rPr>
        <w:t>，争取呈贡</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澄江</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江川</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红塔</w:t>
      </w:r>
      <w:r>
        <w:rPr>
          <w:rFonts w:hint="eastAsia" w:ascii="Times New Roman" w:hAnsi="Times New Roman" w:eastAsia="方正仿宋_GBK"/>
          <w:color w:val="auto"/>
          <w:sz w:val="32"/>
          <w:szCs w:val="32"/>
        </w:rPr>
        <w:t>区</w:t>
      </w:r>
      <w:r>
        <w:rPr>
          <w:rFonts w:ascii="Times New Roman" w:hAnsi="Times New Roman" w:eastAsia="方正仿宋_GBK"/>
          <w:color w:val="auto"/>
          <w:sz w:val="32"/>
          <w:szCs w:val="32"/>
        </w:rPr>
        <w:t>城际铁路</w:t>
      </w:r>
      <w:r>
        <w:rPr>
          <w:rFonts w:hint="eastAsia" w:ascii="Times New Roman" w:hAnsi="Times New Roman" w:eastAsia="方正仿宋_GBK"/>
          <w:color w:val="auto"/>
          <w:sz w:val="32"/>
          <w:szCs w:val="32"/>
        </w:rPr>
        <w:t>开工建设。推动</w:t>
      </w:r>
      <w:r>
        <w:rPr>
          <w:rFonts w:ascii="Times New Roman" w:hAnsi="Times New Roman" w:eastAsia="方正仿宋_GBK"/>
          <w:color w:val="auto"/>
          <w:sz w:val="32"/>
          <w:szCs w:val="32"/>
        </w:rPr>
        <w:t>玉溪民用</w:t>
      </w:r>
      <w:r>
        <w:rPr>
          <w:rFonts w:hint="eastAsia" w:ascii="Times New Roman" w:hAnsi="Times New Roman" w:eastAsia="方正仿宋_GBK"/>
          <w:color w:val="auto"/>
          <w:sz w:val="32"/>
          <w:szCs w:val="32"/>
        </w:rPr>
        <w:t>机场的选址、勘探、规划等项目前期工作，</w:t>
      </w:r>
      <w:r>
        <w:rPr>
          <w:rFonts w:ascii="Times New Roman" w:hAnsi="Times New Roman" w:eastAsia="方正仿宋_GBK"/>
          <w:color w:val="auto"/>
          <w:sz w:val="32"/>
          <w:szCs w:val="32"/>
        </w:rPr>
        <w:t>实现“空运领域”新突破</w:t>
      </w:r>
      <w:r>
        <w:rPr>
          <w:rFonts w:hint="eastAsia" w:ascii="Times New Roman" w:hAnsi="Times New Roman" w:eastAsia="方正仿宋_GBK"/>
          <w:color w:val="auto"/>
          <w:sz w:val="32"/>
          <w:szCs w:val="32"/>
        </w:rPr>
        <w:t>。</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二、打造现代城乡公路网</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紧紧围绕乡村振兴战略部署，</w:t>
      </w:r>
      <w:r>
        <w:rPr>
          <w:rFonts w:ascii="Times New Roman" w:hAnsi="Times New Roman" w:eastAsia="方正仿宋_GBK"/>
          <w:color w:val="auto"/>
          <w:sz w:val="32"/>
          <w:szCs w:val="32"/>
        </w:rPr>
        <w:t>实施“补短板”工程，加快国省道干线及乡镇（街道）联系干线的提升改造，着力解决交通“瓶颈”。 推进国省道及县乡道提质改造，完善多层次交通网络布局，提升与周边区域公路等基础设施互联互通水平，实现多种交通方式无缝衔接。</w:t>
      </w:r>
      <w:r>
        <w:rPr>
          <w:rFonts w:hint="eastAsia" w:ascii="Times New Roman" w:hAnsi="Times New Roman" w:eastAsia="方正仿宋_GBK"/>
          <w:color w:val="auto"/>
          <w:sz w:val="32"/>
          <w:szCs w:val="32"/>
        </w:rPr>
        <w:t>加速贯通干线公路，扎实推进国道G245江川段、省道S212麦冲至雄关段、县道嵩玉线海门至气象站段、县道北前线安化至前卫段规划改造。</w:t>
      </w:r>
      <w:r>
        <w:rPr>
          <w:rFonts w:ascii="Times New Roman" w:hAnsi="Times New Roman" w:eastAsia="方正仿宋_GBK"/>
          <w:color w:val="auto"/>
          <w:sz w:val="32"/>
          <w:szCs w:val="32"/>
        </w:rPr>
        <w:t>实施“保安全”工程，建设平安放心路，推进农村公路县乡村安全生命防护工程和农村公路危桥改造。进一步提高乡镇（街道）、村组间互联互通水平，</w:t>
      </w:r>
      <w:r>
        <w:rPr>
          <w:rFonts w:hint="eastAsia" w:ascii="Times New Roman" w:hAnsi="Times New Roman" w:eastAsia="方正仿宋_GBK"/>
          <w:color w:val="auto"/>
          <w:sz w:val="32"/>
          <w:szCs w:val="32"/>
        </w:rPr>
        <w:t>以“四好农村公路”建设为契机，对农村交通基础设施提档升级，</w:t>
      </w:r>
      <w:r>
        <w:rPr>
          <w:rFonts w:ascii="Times New Roman" w:hAnsi="Times New Roman" w:eastAsia="方正仿宋_GBK"/>
          <w:color w:val="auto"/>
          <w:sz w:val="32"/>
          <w:szCs w:val="32"/>
        </w:rPr>
        <w:t>加大对自然村公路的规划建设力度，努力实现区内农村公路互联互通，自然村优选路线公路100%硬化，进一步提升农村公路网络化程度，全区</w:t>
      </w:r>
      <w:r>
        <w:rPr>
          <w:rFonts w:hint="eastAsia" w:ascii="Times New Roman" w:hAnsi="Times New Roman" w:eastAsia="方正仿宋_GBK"/>
          <w:color w:val="auto"/>
          <w:sz w:val="32"/>
          <w:szCs w:val="32"/>
          <w:lang w:val="en-US" w:eastAsia="zh-CN"/>
        </w:rPr>
        <w:t>6</w:t>
      </w:r>
      <w:r>
        <w:rPr>
          <w:rFonts w:ascii="Times New Roman" w:hAnsi="Times New Roman" w:eastAsia="方正仿宋_GBK"/>
          <w:color w:val="auto"/>
          <w:sz w:val="32"/>
          <w:szCs w:val="32"/>
        </w:rPr>
        <w:t>个乡镇（街道）实现三级及以上等级公路互联互通。实施</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促发展</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工程，</w:t>
      </w:r>
      <w:r>
        <w:rPr>
          <w:rFonts w:hint="eastAsia" w:ascii="Times New Roman" w:hAnsi="Times New Roman" w:eastAsia="方正仿宋_GBK"/>
          <w:color w:val="auto"/>
          <w:sz w:val="32"/>
          <w:szCs w:val="32"/>
        </w:rPr>
        <w:t>加快</w:t>
      </w:r>
      <w:r>
        <w:rPr>
          <w:rFonts w:ascii="Times New Roman" w:hAnsi="Times New Roman" w:eastAsia="方正仿宋_GBK"/>
          <w:color w:val="auto"/>
          <w:sz w:val="32"/>
          <w:szCs w:val="32"/>
        </w:rPr>
        <w:t>旅游环线公路、工业园区等产业路建设，推进星云湖旅游连接公路规划建设工作，结合江川区全域旅游规划，做好旅游公路规划建设，建成便捷、畅通、美丽的景区出入道路。</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三、大力发展公共交通</w:t>
      </w:r>
    </w:p>
    <w:p>
      <w:pPr>
        <w:spacing w:line="560" w:lineRule="exact"/>
        <w:ind w:firstLine="640" w:firstLineChars="200"/>
        <w:rPr>
          <w:rFonts w:ascii="Times New Roman" w:hAnsi="Times New Roman" w:eastAsia="仿宋"/>
          <w:color w:val="auto"/>
          <w:sz w:val="32"/>
          <w:szCs w:val="32"/>
        </w:rPr>
      </w:pPr>
      <w:r>
        <w:rPr>
          <w:rFonts w:hint="eastAsia" w:ascii="Times New Roman" w:hAnsi="Times New Roman" w:eastAsia="方正仿宋_GBK"/>
          <w:color w:val="auto"/>
          <w:sz w:val="32"/>
          <w:szCs w:val="32"/>
        </w:rPr>
        <w:t>加强和完善公路运输站场、城市停车场建设，高效对接各种综合运输方式联接，协调增加过境高速停靠频次，推进城乡公共交通一体化，最大限度发挥综合运输效能作用，实现多种不同运输方式旅客“零距离换乘”和货物“无缝对接”；</w:t>
      </w:r>
      <w:r>
        <w:rPr>
          <w:rFonts w:ascii="Times New Roman" w:hAnsi="Times New Roman" w:eastAsia="方正仿宋_GBK"/>
          <w:color w:val="auto"/>
          <w:sz w:val="32"/>
          <w:szCs w:val="32"/>
        </w:rPr>
        <w:t>大力发展智慧交通</w:t>
      </w:r>
      <w:r>
        <w:rPr>
          <w:rFonts w:hint="eastAsia" w:ascii="Times New Roman" w:hAnsi="Times New Roman" w:eastAsia="方正仿宋_GBK"/>
          <w:color w:val="auto"/>
          <w:sz w:val="32"/>
          <w:szCs w:val="32"/>
        </w:rPr>
        <w:t>，加快解决城市交通拥堵和内外交通衔接问题，进一步强化“公交优先”，尽快调整城市交通出行结构，争取开工建设城市轨道交通，推进城市慢行交通设施和公共停车场建设，加强充电和公交站点等设施建设，提供功能完善的城市公共交通服务。持续加大基础设施安全防护投入，提升关键基础设施安全防护能力。建立全寿命周期的公路养护管理机制，加强运行监测检测，提高养护专业化、信息化水平，增强设施耐久性、可靠性和通行能力，提高基础设施运行效率。</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auto" w:sz="4" w:space="0"/>
              <w:left w:val="single" w:color="auto" w:sz="4" w:space="0"/>
              <w:bottom w:val="single" w:color="auto" w:sz="4" w:space="0"/>
              <w:right w:val="single" w:color="auto" w:sz="4" w:space="0"/>
            </w:tcBorders>
          </w:tcPr>
          <w:p>
            <w:pPr>
              <w:jc w:val="center"/>
              <w:rPr>
                <w:color w:val="auto"/>
                <w:sz w:val="24"/>
                <w:szCs w:val="24"/>
              </w:rPr>
            </w:pPr>
            <w:r>
              <w:rPr>
                <w:rFonts w:hint="eastAsia" w:ascii="Times New Roman" w:hAnsi="Times New Roman" w:eastAsia="方正仿宋_GBK"/>
                <w:b/>
                <w:color w:val="auto"/>
                <w:sz w:val="32"/>
                <w:szCs w:val="28"/>
              </w:rPr>
              <w:t>专栏4：综合交通重点工程项目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auto" w:sz="4" w:space="0"/>
              <w:left w:val="single" w:color="auto" w:sz="4" w:space="0"/>
              <w:bottom w:val="single" w:color="auto" w:sz="4" w:space="0"/>
              <w:right w:val="single" w:color="auto" w:sz="4" w:space="0"/>
            </w:tcBorders>
          </w:tcPr>
          <w:p>
            <w:pPr>
              <w:spacing w:line="360" w:lineRule="exact"/>
              <w:rPr>
                <w:rFonts w:ascii="Times New Roman" w:hAnsi="Times New Roman" w:eastAsia="方正仿宋_GBK"/>
                <w:color w:val="auto"/>
                <w:szCs w:val="21"/>
              </w:rPr>
            </w:pPr>
            <w:r>
              <w:rPr>
                <w:rFonts w:hint="eastAsia" w:ascii="Times New Roman" w:hAnsi="Times New Roman" w:eastAsia="方正仿宋_GBK"/>
                <w:b/>
                <w:color w:val="auto"/>
                <w:szCs w:val="21"/>
              </w:rPr>
              <w:t>铁路、机场：</w:t>
            </w:r>
            <w:r>
              <w:rPr>
                <w:rFonts w:hint="eastAsia" w:ascii="Times New Roman" w:hAnsi="Times New Roman" w:eastAsia="方正仿宋_GBK"/>
                <w:color w:val="auto"/>
                <w:szCs w:val="21"/>
              </w:rPr>
              <w:t>滇中城市群城际铁路江川段；玉溪民用运输机场前期工作。</w:t>
            </w:r>
          </w:p>
          <w:p>
            <w:pPr>
              <w:spacing w:line="360" w:lineRule="exact"/>
              <w:rPr>
                <w:rFonts w:ascii="Times New Roman" w:hAnsi="Times New Roman" w:eastAsia="方正仿宋_GBK"/>
                <w:color w:val="auto"/>
                <w:szCs w:val="21"/>
              </w:rPr>
            </w:pPr>
            <w:r>
              <w:rPr>
                <w:rFonts w:hint="eastAsia" w:ascii="Times New Roman" w:hAnsi="Times New Roman" w:eastAsia="方正仿宋_GBK"/>
                <w:b/>
                <w:color w:val="auto"/>
                <w:szCs w:val="21"/>
              </w:rPr>
              <w:t>高速公路：</w:t>
            </w:r>
            <w:r>
              <w:rPr>
                <w:rFonts w:hint="eastAsia" w:ascii="Times New Roman" w:hAnsi="Times New Roman" w:eastAsia="方正仿宋_GBK"/>
                <w:color w:val="auto"/>
                <w:szCs w:val="21"/>
              </w:rPr>
              <w:t>玉溪市北城至研和高速公路江川段、玉溪机场高速公路江川段。</w:t>
            </w:r>
          </w:p>
          <w:p>
            <w:pPr>
              <w:spacing w:line="360" w:lineRule="exact"/>
              <w:rPr>
                <w:rFonts w:ascii="Times New Roman" w:hAnsi="Times New Roman" w:eastAsia="方正仿宋_GBK"/>
                <w:color w:val="auto"/>
                <w:szCs w:val="21"/>
              </w:rPr>
            </w:pPr>
            <w:r>
              <w:rPr>
                <w:rFonts w:hint="eastAsia" w:ascii="Times New Roman" w:hAnsi="Times New Roman" w:eastAsia="方正仿宋_GBK"/>
                <w:b/>
                <w:color w:val="auto"/>
                <w:szCs w:val="21"/>
              </w:rPr>
              <w:t>干线公路：</w:t>
            </w:r>
            <w:r>
              <w:rPr>
                <w:rFonts w:hint="eastAsia" w:ascii="Times New Roman" w:hAnsi="Times New Roman" w:eastAsia="方正仿宋_GBK"/>
                <w:color w:val="auto"/>
                <w:sz w:val="21"/>
                <w:szCs w:val="21"/>
              </w:rPr>
              <w:t>县道嵩玉线海门至气象站段</w:t>
            </w:r>
            <w:r>
              <w:rPr>
                <w:rFonts w:hint="eastAsia" w:ascii="Times New Roman" w:hAnsi="Times New Roman" w:eastAsia="方正仿宋_GBK"/>
                <w:color w:val="auto"/>
                <w:szCs w:val="21"/>
              </w:rPr>
              <w:t>、江川区麦冲至雄关公路改造工程、江川区北前线（安化至前卫段）改造工程、江川区星云湖环湖旅游连接线公路、九溪润特物流至玉江路互通工程、国道</w:t>
            </w:r>
            <w:r>
              <w:rPr>
                <w:rFonts w:ascii="Times New Roman" w:hAnsi="Times New Roman" w:eastAsia="方正仿宋_GBK"/>
                <w:color w:val="auto"/>
                <w:szCs w:val="21"/>
              </w:rPr>
              <w:t>G245</w:t>
            </w:r>
            <w:r>
              <w:rPr>
                <w:rFonts w:hint="eastAsia" w:ascii="Times New Roman" w:hAnsi="Times New Roman" w:eastAsia="方正仿宋_GBK"/>
                <w:color w:val="auto"/>
                <w:szCs w:val="21"/>
              </w:rPr>
              <w:t>公路提升改造工程江川段。</w:t>
            </w:r>
          </w:p>
          <w:p>
            <w:pPr>
              <w:spacing w:line="360" w:lineRule="exact"/>
              <w:rPr>
                <w:rFonts w:ascii="Times New Roman" w:hAnsi="Times New Roman" w:eastAsia="方正仿宋_GBK"/>
                <w:color w:val="auto"/>
                <w:szCs w:val="21"/>
              </w:rPr>
            </w:pPr>
            <w:r>
              <w:rPr>
                <w:rFonts w:hint="eastAsia" w:ascii="Times New Roman" w:hAnsi="Times New Roman" w:eastAsia="方正仿宋_GBK"/>
                <w:b/>
                <w:color w:val="auto"/>
                <w:szCs w:val="21"/>
              </w:rPr>
              <w:t>农村公路：</w:t>
            </w:r>
            <w:r>
              <w:rPr>
                <w:rFonts w:hint="eastAsia" w:ascii="Times New Roman" w:hAnsi="Times New Roman" w:eastAsia="方正仿宋_GBK"/>
                <w:color w:val="auto"/>
                <w:szCs w:val="21"/>
              </w:rPr>
              <w:t>玉安路旅游道路建设项目、雄关乡产城融合公路建设项目。</w:t>
            </w:r>
          </w:p>
          <w:p>
            <w:pPr>
              <w:spacing w:line="360" w:lineRule="exact"/>
              <w:rPr>
                <w:color w:val="auto"/>
              </w:rPr>
            </w:pPr>
            <w:r>
              <w:rPr>
                <w:rFonts w:hint="eastAsia" w:ascii="Times New Roman" w:hAnsi="Times New Roman" w:eastAsia="方正仿宋_GBK"/>
                <w:b/>
                <w:color w:val="auto"/>
                <w:szCs w:val="21"/>
              </w:rPr>
              <w:t>公共交通配套设施：</w:t>
            </w:r>
            <w:r>
              <w:rPr>
                <w:rFonts w:hint="eastAsia" w:ascii="Times New Roman" w:hAnsi="Times New Roman" w:eastAsia="方正仿宋_GBK"/>
                <w:color w:val="auto"/>
                <w:szCs w:val="21"/>
              </w:rPr>
              <w:t>前卫镇客运站建设项目、九溪客运站搬迁项目、雄关乡客运站建设项目。</w:t>
            </w:r>
          </w:p>
        </w:tc>
      </w:tr>
    </w:tbl>
    <w:p>
      <w:pPr>
        <w:pStyle w:val="4"/>
        <w:rPr>
          <w:b w:val="0"/>
          <w:bCs w:val="0"/>
          <w:color w:val="auto"/>
          <w:sz w:val="36"/>
        </w:rPr>
      </w:pPr>
      <w:bookmarkStart w:id="118" w:name="_Toc2237"/>
      <w:bookmarkStart w:id="119" w:name="_Toc27142"/>
      <w:bookmarkStart w:id="120" w:name="_Toc446364480"/>
      <w:bookmarkStart w:id="121" w:name="_Toc22773"/>
      <w:r>
        <w:rPr>
          <w:rFonts w:hint="eastAsia"/>
          <w:b w:val="0"/>
          <w:bCs w:val="0"/>
          <w:color w:val="auto"/>
          <w:sz w:val="36"/>
        </w:rPr>
        <w:t>第二十章　提高能源保障水平</w:t>
      </w:r>
      <w:bookmarkEnd w:id="118"/>
      <w:bookmarkEnd w:id="119"/>
      <w:bookmarkEnd w:id="120"/>
      <w:bookmarkEnd w:id="121"/>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全面贯彻落实我省打造世界一流“绿色能源牌”战略，持续巩固和扩大清洁能源优势，不断优化供电结构和能源结构，建设安全、可靠、绿色、高效的能源电网，推动清洁能源普遍使用，深入推进绿色能源战略与绿色先进制造业深度融合。</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一、优化调整能源结构</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贯彻落实国家和省控制能源消费总量和强度 “双控”要求，调整能源需求结构，提高绿色低碳能源消费占比。</w:t>
      </w:r>
      <w:r>
        <w:rPr>
          <w:rFonts w:hint="eastAsia" w:ascii="Times New Roman" w:hAnsi="Times New Roman" w:eastAsia="方正仿宋_GBK"/>
          <w:color w:val="auto"/>
          <w:sz w:val="32"/>
          <w:szCs w:val="32"/>
        </w:rPr>
        <w:t>加快以可再生能源为主新增电源建设，</w:t>
      </w:r>
      <w:r>
        <w:rPr>
          <w:rFonts w:ascii="Times New Roman" w:hAnsi="Times New Roman" w:eastAsia="方正仿宋_GBK"/>
          <w:color w:val="auto"/>
          <w:sz w:val="32"/>
          <w:szCs w:val="32"/>
        </w:rPr>
        <w:t>稳步推进新能源建设，积极发展太阳能、风能和生物质能等新能源，提高绿色低碳能源消费占比。</w:t>
      </w:r>
      <w:r>
        <w:rPr>
          <w:rFonts w:hint="eastAsia" w:ascii="Times New Roman" w:hAnsi="Times New Roman" w:eastAsia="方正仿宋_GBK"/>
          <w:color w:val="auto"/>
          <w:sz w:val="32"/>
          <w:szCs w:val="32"/>
        </w:rPr>
        <w:t>在能源基础设施建设方面，</w:t>
      </w:r>
      <w:r>
        <w:rPr>
          <w:rFonts w:ascii="Times New Roman" w:hAnsi="Times New Roman" w:eastAsia="方正仿宋_GBK"/>
          <w:color w:val="auto"/>
          <w:sz w:val="32"/>
          <w:szCs w:val="32"/>
        </w:rPr>
        <w:t>以增强能源保障能力和优化能源产业结构为着眼点，谋划并推进天然气管道支线项目建设</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进一步完善天然气管网，持续推进城镇居民用气、公共建筑和公共服务设施等民生用气，加快城镇燃油、燃煤、煤气锅炉使用的天然气置换改造工作，鼓励发展工业用气。</w:t>
      </w:r>
      <w:r>
        <w:rPr>
          <w:rFonts w:hint="eastAsia" w:ascii="Times New Roman" w:hAnsi="Times New Roman" w:eastAsia="方正仿宋_GBK"/>
          <w:color w:val="auto"/>
          <w:sz w:val="32"/>
          <w:szCs w:val="32"/>
        </w:rPr>
        <w:t>推动燃气下乡和企业煤改“气”，促进清洁能源的普遍使用，加大城乡用能基础设施覆盖范围，在居民生活、工农业生产和交通运输等领域加快加大清洁能源替代，鼓励多用绿色清洁能源。</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二、优化供电结构</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结合新型城镇化建设及乡村振兴战略，</w:t>
      </w:r>
      <w:r>
        <w:rPr>
          <w:rFonts w:hint="eastAsia" w:ascii="Times New Roman" w:hAnsi="Times New Roman" w:eastAsia="方正仿宋_GBK"/>
          <w:color w:val="auto"/>
          <w:sz w:val="32"/>
          <w:szCs w:val="32"/>
        </w:rPr>
        <w:t>围绕城乡及产业发展用电需求，大力发展智能电网，精准匹配电力供需，</w:t>
      </w:r>
      <w:r>
        <w:rPr>
          <w:rFonts w:ascii="Times New Roman" w:hAnsi="Times New Roman" w:eastAsia="方正仿宋_GBK"/>
          <w:color w:val="auto"/>
          <w:sz w:val="32"/>
          <w:szCs w:val="32"/>
        </w:rPr>
        <w:t>适度超前建设配电网，</w:t>
      </w:r>
      <w:r>
        <w:rPr>
          <w:rFonts w:hint="eastAsia" w:ascii="Times New Roman" w:hAnsi="Times New Roman" w:eastAsia="方正仿宋_GBK"/>
          <w:color w:val="auto"/>
          <w:sz w:val="32"/>
          <w:szCs w:val="32"/>
        </w:rPr>
        <w:t>加快园区增量配电网试点项目建设。</w:t>
      </w:r>
      <w:r>
        <w:rPr>
          <w:rFonts w:ascii="Times New Roman" w:hAnsi="Times New Roman" w:eastAsia="方正仿宋_GBK"/>
          <w:color w:val="auto"/>
          <w:sz w:val="32"/>
          <w:szCs w:val="32"/>
        </w:rPr>
        <w:t>巩固加强网架结构，进一步提高电网供电能力，提升城乡电力服务水平，紧密跟踪城区、中心城镇和产业园区等经济增长热点，及时增加供电能力，消除城镇用电瓶颈，补齐配电网各类短板，着力解决供电卡口和低电压问题</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持续推进农村电网升级改造，进一步提高城乡电力服务水平</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打造安全可靠、覆盖城乡的绿色智能电网。</w:t>
      </w:r>
      <w:r>
        <w:rPr>
          <w:rFonts w:hint="eastAsia" w:ascii="Times New Roman" w:hAnsi="Times New Roman" w:eastAsia="方正仿宋_GBK"/>
          <w:color w:val="auto"/>
          <w:sz w:val="32"/>
          <w:szCs w:val="32"/>
        </w:rPr>
        <w:t>继续推进城乡电网改造升级，</w:t>
      </w:r>
      <w:r>
        <w:rPr>
          <w:rFonts w:ascii="Times New Roman" w:hAnsi="Times New Roman" w:eastAsia="方正仿宋_GBK"/>
          <w:color w:val="auto"/>
          <w:sz w:val="32"/>
          <w:szCs w:val="32"/>
        </w:rPr>
        <w:t>提升地区联络化率和负荷转供能力</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实现农村电网配电自动化全覆盖</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努力打造一个覆盖城乡</w:t>
      </w:r>
      <w:r>
        <w:rPr>
          <w:rFonts w:hint="eastAsia" w:ascii="Times New Roman" w:hAnsi="Times New Roman" w:eastAsia="方正仿宋_GBK"/>
          <w:color w:val="auto"/>
          <w:sz w:val="32"/>
          <w:szCs w:val="32"/>
          <w:lang w:eastAsia="zh-CN"/>
        </w:rPr>
        <w:t>、</w:t>
      </w:r>
      <w:r>
        <w:rPr>
          <w:rFonts w:ascii="Times New Roman" w:hAnsi="Times New Roman" w:eastAsia="方正仿宋_GBK"/>
          <w:color w:val="auto"/>
          <w:sz w:val="32"/>
          <w:szCs w:val="32"/>
        </w:rPr>
        <w:t>安全可靠、绿色高效的智能电网。围绕乡村振兴、美丽县城、特色小镇建设，加大农村电网改造升级力度，进一步巩固提升农网</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两率一户</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指标，夯实农网基础，建设“安全可靠、结构合理、技术先进、智能高效”的现代化农村电网。</w:t>
      </w:r>
      <w:r>
        <w:rPr>
          <w:rFonts w:hint="eastAsia" w:ascii="Times New Roman" w:hAnsi="Times New Roman" w:eastAsia="方正仿宋_GBK"/>
          <w:color w:val="auto"/>
          <w:sz w:val="32"/>
          <w:szCs w:val="32"/>
        </w:rPr>
        <w:t>加快推进电力市场化改革，积极用足用好电力市场化交易。</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三、加快新能源布局</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积极推进传统加油站、新型燃料加注站优化布局，</w:t>
      </w:r>
      <w:r>
        <w:rPr>
          <w:rFonts w:ascii="Times New Roman" w:hAnsi="Times New Roman" w:eastAsia="方正仿宋_GBK"/>
          <w:color w:val="auto"/>
          <w:sz w:val="32"/>
          <w:szCs w:val="32"/>
        </w:rPr>
        <w:t>严格执行《电动汽车充电基础设施标准体系项目表（2015年版）》中标准及其他相关标准，保障充电基础设施的通用性，消除技术壁垒，增强兼容性，提高利用率。</w:t>
      </w:r>
    </w:p>
    <w:p>
      <w:pPr>
        <w:spacing w:line="560" w:lineRule="exact"/>
        <w:ind w:firstLine="640" w:firstLineChars="200"/>
        <w:rPr>
          <w:rFonts w:ascii="Times New Roman" w:hAnsi="Times New Roman" w:eastAsia="仿宋"/>
          <w:color w:val="auto"/>
          <w:sz w:val="32"/>
          <w:szCs w:val="32"/>
        </w:rPr>
      </w:pPr>
      <w:r>
        <w:rPr>
          <w:rFonts w:ascii="Times New Roman" w:hAnsi="Times New Roman" w:eastAsia="方正仿宋_GBK"/>
          <w:color w:val="auto"/>
          <w:sz w:val="32"/>
          <w:szCs w:val="32"/>
        </w:rPr>
        <w:t>持续推进清洁能源建设，推广清洁能源应用，优先推进公交、环卫、出租、物流等公共服务领域充电基础设施规划和建设水平，加快推动户用居住地充电基础设施建设，积极开展单位内部停车场充电基础设施建设，加快推进大型商场、文体场馆等城市公共充电网络建设，大力推进市内城市群和周边城市群城际快充网络建设，着力推动旅游景点及线路充电服务网络建设，有序推进统一、开放、便捷、易识别的充电智能一体化监管服务平台建设，积极探索推行电动汽车充电换电一体化模式。</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auto" w:sz="4" w:space="0"/>
              <w:left w:val="single" w:color="auto" w:sz="4" w:space="0"/>
              <w:bottom w:val="single" w:color="auto" w:sz="4" w:space="0"/>
              <w:right w:val="single" w:color="auto" w:sz="4" w:space="0"/>
            </w:tcBorders>
          </w:tcPr>
          <w:p>
            <w:pPr>
              <w:jc w:val="center"/>
              <w:rPr>
                <w:color w:val="auto"/>
                <w:sz w:val="24"/>
                <w:szCs w:val="24"/>
              </w:rPr>
            </w:pPr>
            <w:r>
              <w:rPr>
                <w:rFonts w:hint="eastAsia" w:ascii="Times New Roman" w:hAnsi="Times New Roman" w:eastAsia="方正仿宋_GBK"/>
                <w:b/>
                <w:color w:val="auto"/>
                <w:sz w:val="32"/>
                <w:szCs w:val="28"/>
              </w:rPr>
              <w:t>专栏5：能源预案保障网重点工程项目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auto" w:sz="4" w:space="0"/>
              <w:left w:val="single" w:color="auto" w:sz="4" w:space="0"/>
              <w:bottom w:val="single" w:color="auto" w:sz="4" w:space="0"/>
              <w:right w:val="single" w:color="auto" w:sz="4" w:space="0"/>
            </w:tcBorders>
          </w:tcPr>
          <w:p>
            <w:pPr>
              <w:spacing w:line="360" w:lineRule="exact"/>
              <w:rPr>
                <w:rFonts w:ascii="Times New Roman" w:hAnsi="Times New Roman" w:eastAsia="方正仿宋_GBK"/>
                <w:b/>
                <w:color w:val="auto"/>
                <w:szCs w:val="21"/>
              </w:rPr>
            </w:pPr>
            <w:r>
              <w:rPr>
                <w:rFonts w:hint="eastAsia" w:ascii="Times New Roman" w:hAnsi="Times New Roman" w:eastAsia="方正仿宋_GBK"/>
                <w:b/>
                <w:color w:val="auto"/>
                <w:szCs w:val="21"/>
              </w:rPr>
              <w:t>加油站：</w:t>
            </w:r>
            <w:r>
              <w:rPr>
                <w:rFonts w:hint="eastAsia" w:ascii="Times New Roman" w:hAnsi="Times New Roman" w:eastAsia="方正仿宋_GBK"/>
                <w:color w:val="auto"/>
                <w:szCs w:val="21"/>
              </w:rPr>
              <w:t>雄关加油站综合服务区建设项目、玉江大道紫红坝片区加油站服务区项目、安化彝族乡加油站建设项目、九溪驰能石化加油站新建项目。</w:t>
            </w:r>
          </w:p>
          <w:p>
            <w:pPr>
              <w:spacing w:line="360" w:lineRule="exact"/>
              <w:rPr>
                <w:rFonts w:ascii="Times New Roman" w:hAnsi="Times New Roman" w:eastAsia="方正仿宋_GBK"/>
                <w:b/>
                <w:color w:val="auto"/>
                <w:szCs w:val="21"/>
              </w:rPr>
            </w:pPr>
            <w:r>
              <w:rPr>
                <w:rFonts w:hint="eastAsia" w:ascii="Times New Roman" w:hAnsi="Times New Roman" w:eastAsia="方正仿宋_GBK"/>
                <w:b/>
                <w:color w:val="auto"/>
                <w:szCs w:val="21"/>
              </w:rPr>
              <w:t>天然气：</w:t>
            </w:r>
            <w:r>
              <w:rPr>
                <w:rFonts w:hint="eastAsia" w:ascii="Times New Roman" w:hAnsi="Times New Roman" w:eastAsia="方正仿宋_GBK"/>
                <w:color w:val="auto"/>
                <w:szCs w:val="21"/>
              </w:rPr>
              <w:t>江川区天然气工程、江川区前卫镇天然气入户工程建设。</w:t>
            </w:r>
          </w:p>
          <w:p>
            <w:pPr>
              <w:spacing w:line="360" w:lineRule="exact"/>
              <w:rPr>
                <w:color w:val="auto"/>
              </w:rPr>
            </w:pPr>
            <w:r>
              <w:rPr>
                <w:rFonts w:hint="eastAsia" w:ascii="Times New Roman" w:hAnsi="Times New Roman" w:eastAsia="方正仿宋_GBK"/>
                <w:b/>
                <w:color w:val="auto"/>
                <w:szCs w:val="21"/>
              </w:rPr>
              <w:t>电网：</w:t>
            </w:r>
            <w:r>
              <w:rPr>
                <w:rFonts w:hint="eastAsia" w:ascii="Times New Roman" w:hAnsi="Times New Roman" w:eastAsia="方正仿宋_GBK"/>
                <w:color w:val="auto"/>
                <w:szCs w:val="21"/>
              </w:rPr>
              <w:t>安化小泥田35KV变电站建设项目。</w:t>
            </w:r>
          </w:p>
        </w:tc>
      </w:tr>
    </w:tbl>
    <w:p>
      <w:pPr>
        <w:pStyle w:val="4"/>
        <w:rPr>
          <w:b w:val="0"/>
          <w:bCs w:val="0"/>
          <w:color w:val="auto"/>
          <w:sz w:val="36"/>
        </w:rPr>
      </w:pPr>
      <w:bookmarkStart w:id="122" w:name="_Toc5742"/>
      <w:bookmarkStart w:id="123" w:name="_Toc18578"/>
      <w:bookmarkStart w:id="124" w:name="_Toc446364481"/>
      <w:bookmarkStart w:id="125" w:name="_Toc16294"/>
      <w:r>
        <w:rPr>
          <w:rFonts w:hint="eastAsia"/>
          <w:b w:val="0"/>
          <w:bCs w:val="0"/>
          <w:color w:val="auto"/>
          <w:sz w:val="36"/>
        </w:rPr>
        <w:t>第二十一章　</w:t>
      </w:r>
      <w:r>
        <w:rPr>
          <w:b w:val="0"/>
          <w:bCs w:val="0"/>
          <w:color w:val="auto"/>
          <w:sz w:val="36"/>
        </w:rPr>
        <w:t>改善水利基础设施</w:t>
      </w:r>
      <w:bookmarkEnd w:id="122"/>
      <w:bookmarkEnd w:id="123"/>
      <w:bookmarkEnd w:id="124"/>
      <w:bookmarkEnd w:id="125"/>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落实“节水优先、空间均衡、系统治理、两手发力”的新时代治水方针，严守水资源开发利用控制、用水效率控制、水功能区限制纳污“三条红线”，补齐水利基础设施短板，优化提升区域水资源开发利用，高效利用、节约利用优先，解决工程性缺水问题，建设配置合理的水工程和水资源利用体系，切实保障高质量发展所需的工业用水、城镇供水，全面落实最严格水资源管理制度，保护水资源及水环境，形成</w:t>
      </w:r>
      <w:r>
        <w:rPr>
          <w:rFonts w:ascii="Times New Roman" w:hAnsi="Times New Roman" w:eastAsia="方正仿宋_GBK"/>
          <w:color w:val="auto"/>
          <w:sz w:val="32"/>
          <w:szCs w:val="32"/>
        </w:rPr>
        <w:t>大中型水库水源为支撑，水系联通工程为补充的江川水网体系</w:t>
      </w:r>
      <w:r>
        <w:rPr>
          <w:rFonts w:hint="eastAsia" w:ascii="Times New Roman" w:hAnsi="Times New Roman" w:eastAsia="方正仿宋_GBK"/>
          <w:color w:val="auto"/>
          <w:sz w:val="32"/>
          <w:szCs w:val="32"/>
        </w:rPr>
        <w:t>。到2025年，基本建成满足经济社会发展需求的水资源合理配置供水安全保障体系。</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一、改善水利基础设施</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结合滇中引水工程“十四五”期间玉溪段的建设规划和进度，高标准谋划江川水利基础设施建设，</w:t>
      </w:r>
      <w:r>
        <w:rPr>
          <w:rFonts w:hint="eastAsia" w:ascii="Times New Roman" w:hAnsi="Times New Roman" w:eastAsia="方正仿宋_GBK"/>
          <w:color w:val="auto"/>
          <w:sz w:val="32"/>
          <w:szCs w:val="32"/>
        </w:rPr>
        <w:t>加强饮用水源地的保护，</w:t>
      </w:r>
      <w:r>
        <w:rPr>
          <w:rFonts w:ascii="Times New Roman" w:hAnsi="Times New Roman" w:eastAsia="方正仿宋_GBK"/>
          <w:color w:val="auto"/>
          <w:sz w:val="32"/>
          <w:szCs w:val="32"/>
        </w:rPr>
        <w:t>控制地下水开采，</w:t>
      </w:r>
      <w:r>
        <w:rPr>
          <w:rFonts w:hint="eastAsia" w:ascii="Times New Roman" w:hAnsi="Times New Roman" w:eastAsia="方正仿宋_GBK"/>
          <w:color w:val="auto"/>
          <w:sz w:val="32"/>
          <w:szCs w:val="32"/>
        </w:rPr>
        <w:t>涵养保护重点水源，</w:t>
      </w:r>
      <w:r>
        <w:rPr>
          <w:rFonts w:ascii="Times New Roman" w:hAnsi="Times New Roman" w:eastAsia="方正仿宋_GBK"/>
          <w:color w:val="auto"/>
          <w:sz w:val="32"/>
          <w:szCs w:val="32"/>
        </w:rPr>
        <w:t>提升水资源开发利用方式</w:t>
      </w:r>
      <w:r>
        <w:rPr>
          <w:rFonts w:hint="eastAsia" w:ascii="Times New Roman" w:hAnsi="Times New Roman" w:eastAsia="方正仿宋_GBK"/>
          <w:color w:val="auto"/>
          <w:sz w:val="32"/>
          <w:szCs w:val="32"/>
        </w:rPr>
        <w:t>。加大城乡供水工程信息化、自动化建设力度，持续推进城乡供水一体化项目建设，加快工业园区供水设施建设，进一步加快农村水网建设力度，全力保障农村饮水安全，加强农村饮用水水源水质检测，实现水质检测和监测全覆盖，增强城乡供水能力。建立供水安全长效保障机制，确保水功能区水质达标率。</w:t>
      </w:r>
      <w:r>
        <w:rPr>
          <w:rFonts w:ascii="Times New Roman" w:hAnsi="Times New Roman" w:eastAsia="方正仿宋_GBK"/>
          <w:color w:val="auto"/>
          <w:sz w:val="32"/>
          <w:szCs w:val="32"/>
        </w:rPr>
        <w:t>继续加强农村水利基础设施建设，农村供水提质增效，基本解决全区农村饮水安全问题</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为社会经济快速发展提供坚实的水资源保障。</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二、推进水资源配置体系建设</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统筹水资源调度，构建协同水网，建设一批水系联通工程，促进联通区域内水系水网联通，提高水资源配置能力。完善水资源供给设施，谋划一批支撑产业、城镇持续发展的水源工程，</w:t>
      </w:r>
      <w:r>
        <w:rPr>
          <w:rFonts w:ascii="Times New Roman" w:hAnsi="Times New Roman" w:eastAsia="方正仿宋_GBK"/>
          <w:color w:val="auto"/>
          <w:sz w:val="32"/>
          <w:szCs w:val="32"/>
        </w:rPr>
        <w:t>实施饮水安全、防洪抗旱、水网续建配套与节水改造、水库安全、河湖治理、水土保持等水利工程，</w:t>
      </w:r>
      <w:r>
        <w:rPr>
          <w:rFonts w:hint="eastAsia" w:ascii="Times New Roman" w:hAnsi="Times New Roman" w:eastAsia="方正仿宋_GBK"/>
          <w:color w:val="auto"/>
          <w:sz w:val="32"/>
          <w:szCs w:val="32"/>
        </w:rPr>
        <w:t>构建更加完善水网。建设水旱灾害防御指挥系统、水资源管理系统、工程运行管理系统、生态监测管理系统、站点监测、水利网信能力建设提档升级、基础支撑等</w:t>
      </w:r>
      <w:r>
        <w:rPr>
          <w:rFonts w:hint="eastAsia" w:ascii="Times New Roman" w:hAnsi="Times New Roman" w:eastAsia="方正仿宋_GBK"/>
          <w:color w:val="auto"/>
          <w:sz w:val="32"/>
          <w:szCs w:val="32"/>
          <w:lang w:eastAsia="zh-CN"/>
        </w:rPr>
        <w:t>水利工程</w:t>
      </w:r>
      <w:r>
        <w:rPr>
          <w:rFonts w:hint="eastAsia" w:ascii="Times New Roman" w:hAnsi="Times New Roman" w:eastAsia="方正仿宋_GBK"/>
          <w:color w:val="auto"/>
          <w:sz w:val="32"/>
          <w:szCs w:val="32"/>
        </w:rPr>
        <w:t>，形成智慧水利系统</w:t>
      </w:r>
      <w:r>
        <w:rPr>
          <w:rFonts w:hint="eastAsia" w:ascii="Times New Roman" w:hAnsi="Times New Roman" w:eastAsia="方正仿宋_GBK"/>
          <w:color w:val="auto"/>
          <w:sz w:val="32"/>
          <w:szCs w:val="32"/>
          <w:lang w:eastAsia="zh-CN"/>
        </w:rPr>
        <w:t>。</w:t>
      </w:r>
      <w:r>
        <w:rPr>
          <w:rFonts w:hint="eastAsia" w:ascii="Times New Roman" w:hAnsi="Times New Roman" w:eastAsia="方正仿宋_GBK"/>
          <w:color w:val="auto"/>
          <w:sz w:val="32"/>
          <w:szCs w:val="32"/>
        </w:rPr>
        <w:t>建设全区小二型以上水库等项目水利信息化系统。</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黑体"/>
          <w:color w:val="auto"/>
          <w:sz w:val="32"/>
          <w:szCs w:val="32"/>
        </w:rPr>
        <w:t>三、实施节约用水工程</w:t>
      </w:r>
    </w:p>
    <w:p>
      <w:pPr>
        <w:spacing w:line="560" w:lineRule="exact"/>
        <w:ind w:firstLine="640" w:firstLineChars="200"/>
        <w:rPr>
          <w:rFonts w:ascii="Times New Roman" w:hAnsi="Times New Roman" w:eastAsia="仿宋"/>
          <w:color w:val="auto"/>
          <w:sz w:val="32"/>
          <w:szCs w:val="32"/>
        </w:rPr>
      </w:pPr>
      <w:r>
        <w:rPr>
          <w:rFonts w:hint="eastAsia" w:ascii="Times New Roman" w:hAnsi="Times New Roman" w:eastAsia="方正仿宋_GBK"/>
          <w:color w:val="auto"/>
          <w:sz w:val="32"/>
          <w:szCs w:val="32"/>
        </w:rPr>
        <w:t>实行最严格的水资源管理制度，以农业水价综合改革为牵引，建立初始水权，探索建立水权交易市场，深化小型农田水利工程产权制度改革，推进农业用水总量控制与定额管理普遍实行，建立健全基层用水管水体系，以体制改革促进水利发展。改造城乡供水设施，降低供水管网漏损率。强化再生水循环利用，建设工业园区再生水利用项目。实现生产用水控制增长、生活用水适度增长、生态用新水负增长。通过制度建设，通过生产关系的变革进一步推动经济增长方式的转变，形成以经济手段为主的节水机制，推动整个社会走上资源节约和环境友好的道路。合理开发利用水资源，在工农业用水和城市生活用水的方方面面，大力提高水的利用率，要使水危机的意识深入人心，养成人人爱护水，时时、处处节水的局面。</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auto" w:sz="4" w:space="0"/>
              <w:left w:val="single" w:color="auto" w:sz="4" w:space="0"/>
              <w:bottom w:val="single" w:color="auto" w:sz="4" w:space="0"/>
              <w:right w:val="single" w:color="auto" w:sz="4" w:space="0"/>
            </w:tcBorders>
          </w:tcPr>
          <w:p>
            <w:pPr>
              <w:jc w:val="center"/>
              <w:rPr>
                <w:color w:val="auto"/>
                <w:sz w:val="24"/>
                <w:szCs w:val="24"/>
              </w:rPr>
            </w:pPr>
            <w:r>
              <w:rPr>
                <w:rFonts w:hint="eastAsia" w:ascii="Times New Roman" w:hAnsi="Times New Roman" w:eastAsia="方正仿宋_GBK"/>
                <w:b/>
                <w:color w:val="auto"/>
                <w:sz w:val="32"/>
                <w:szCs w:val="28"/>
              </w:rPr>
              <w:t>专栏6：水利基础设施重点工程项目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auto" w:sz="4" w:space="0"/>
              <w:left w:val="single" w:color="auto" w:sz="4" w:space="0"/>
              <w:bottom w:val="single" w:color="auto" w:sz="4" w:space="0"/>
              <w:right w:val="single" w:color="auto" w:sz="4" w:space="0"/>
            </w:tcBorders>
          </w:tcPr>
          <w:p>
            <w:pPr>
              <w:spacing w:line="360" w:lineRule="exact"/>
              <w:rPr>
                <w:rFonts w:ascii="Times New Roman" w:hAnsi="Times New Roman" w:eastAsia="方正仿宋_GBK"/>
                <w:color w:val="auto"/>
                <w:szCs w:val="21"/>
              </w:rPr>
            </w:pPr>
            <w:r>
              <w:rPr>
                <w:rFonts w:hint="eastAsia" w:ascii="Times New Roman" w:hAnsi="Times New Roman" w:eastAsia="方正仿宋_GBK"/>
                <w:b/>
                <w:color w:val="auto"/>
                <w:szCs w:val="21"/>
              </w:rPr>
              <w:t>水源建设工程：</w:t>
            </w:r>
            <w:r>
              <w:rPr>
                <w:rFonts w:hint="eastAsia" w:ascii="Times New Roman" w:hAnsi="Times New Roman" w:eastAsia="方正仿宋_GBK"/>
                <w:b w:val="0"/>
                <w:bCs/>
                <w:color w:val="auto"/>
                <w:szCs w:val="21"/>
              </w:rPr>
              <w:t>滇中引水工程（江川段）、</w:t>
            </w:r>
            <w:r>
              <w:rPr>
                <w:rFonts w:hint="eastAsia" w:ascii="Times New Roman" w:hAnsi="Times New Roman" w:eastAsia="方正仿宋_GBK"/>
                <w:color w:val="auto"/>
                <w:szCs w:val="21"/>
              </w:rPr>
              <w:t>新建中村水库、后河水库、中营水库、六十亩水库、东村水库等5座水库；对星云湖流域内12座小型水库及星云湖流域外12座小型水库除险加固；开展江川区董炳河、周官河、渔村河、</w:t>
            </w:r>
            <w:r>
              <w:rPr>
                <w:rFonts w:hint="eastAsia" w:ascii="Times New Roman" w:hAnsi="Times New Roman" w:eastAsia="方正仿宋_GBK"/>
                <w:color w:val="auto"/>
                <w:szCs w:val="21"/>
                <w:lang w:eastAsia="zh-CN"/>
              </w:rPr>
              <w:t>小街</w:t>
            </w:r>
            <w:r>
              <w:rPr>
                <w:rFonts w:hint="eastAsia" w:ascii="Times New Roman" w:hAnsi="Times New Roman" w:eastAsia="方正仿宋_GBK"/>
                <w:color w:val="auto"/>
                <w:szCs w:val="21"/>
              </w:rPr>
              <w:t>河4条河道的综合治理工程；在江川全区范围内进行江川区城乡供水一体化建设；针对水质水体改善利用开展星云湖流域清水入湖生态补水、星云湖生态调蓄带水资源循环利用</w:t>
            </w:r>
            <w:r>
              <w:rPr>
                <w:rFonts w:hint="eastAsia" w:ascii="Times New Roman" w:hAnsi="Times New Roman" w:eastAsia="方正仿宋_GBK"/>
                <w:color w:val="auto"/>
                <w:szCs w:val="21"/>
                <w:u w:val="none"/>
                <w:lang w:eastAsia="zh-CN"/>
              </w:rPr>
              <w:t>项目</w:t>
            </w:r>
            <w:r>
              <w:rPr>
                <w:rFonts w:hint="eastAsia" w:ascii="Times New Roman" w:hAnsi="Times New Roman" w:eastAsia="方正仿宋_GBK"/>
                <w:color w:val="auto"/>
                <w:szCs w:val="21"/>
              </w:rPr>
              <w:t xml:space="preserve">、星云湖浅水区高等水生植物修复项目； </w:t>
            </w:r>
          </w:p>
          <w:p>
            <w:pPr>
              <w:spacing w:line="360" w:lineRule="exact"/>
              <w:rPr>
                <w:color w:val="auto"/>
              </w:rPr>
            </w:pPr>
            <w:r>
              <w:rPr>
                <w:rFonts w:hint="eastAsia" w:ascii="Times New Roman" w:hAnsi="Times New Roman" w:eastAsia="方正仿宋_GBK"/>
                <w:b/>
                <w:color w:val="auto"/>
                <w:szCs w:val="21"/>
              </w:rPr>
              <w:t>“五小”水利工程：</w:t>
            </w:r>
            <w:r>
              <w:rPr>
                <w:rFonts w:hint="eastAsia" w:ascii="Times New Roman" w:hAnsi="Times New Roman" w:eastAsia="方正仿宋_GBK"/>
                <w:color w:val="auto"/>
                <w:szCs w:val="21"/>
              </w:rPr>
              <w:t>大力推进中低产田改造，提高防洪抗旱能力，同时推进小流域治理工程、生态高效节水及生态农田水利工程、抗旱应急工程、水源地保护工程等一系列工程，大力削减入星云湖湖污染物负荷，增加农田灌溉面积2.0万亩，改善农田灌溉面积9.3万亩。增加14.1平方公里经济林建设。可改善农村13万人口的人畜饮水问题。可改善城镇2.5万人口的供水问题。</w:t>
            </w:r>
          </w:p>
        </w:tc>
      </w:tr>
    </w:tbl>
    <w:p>
      <w:pPr>
        <w:pStyle w:val="4"/>
        <w:rPr>
          <w:b w:val="0"/>
          <w:bCs w:val="0"/>
          <w:color w:val="auto"/>
          <w:sz w:val="36"/>
        </w:rPr>
      </w:pPr>
      <w:bookmarkStart w:id="126" w:name="_Toc446364482"/>
      <w:bookmarkStart w:id="127" w:name="_Toc19369"/>
      <w:bookmarkStart w:id="128" w:name="_Toc28903"/>
      <w:bookmarkStart w:id="129" w:name="_Toc16184"/>
      <w:r>
        <w:rPr>
          <w:rFonts w:hint="eastAsia"/>
          <w:b w:val="0"/>
          <w:bCs w:val="0"/>
          <w:color w:val="auto"/>
          <w:sz w:val="36"/>
        </w:rPr>
        <w:t>第二十二章　加快发展新型基础设施</w:t>
      </w:r>
      <w:bookmarkEnd w:id="126"/>
      <w:bookmarkEnd w:id="127"/>
      <w:bookmarkEnd w:id="128"/>
      <w:bookmarkEnd w:id="129"/>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以“数字江川”建设为统领，超前谋划、深入研究新型基础设施建设与江川经济社会发展的契合点，加快信息基础设施、融合基础设施和创新基础设施等新型基础设施建设，全面提升新型基础设施发展水平。</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一、加快布局信息基础设施</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围绕5G网络、智慧物流、智慧城市、</w:t>
      </w:r>
      <w:r>
        <w:rPr>
          <w:rFonts w:ascii="Times New Roman" w:hAnsi="Times New Roman" w:eastAsia="方正仿宋_GBK"/>
          <w:color w:val="auto"/>
          <w:sz w:val="32"/>
          <w:szCs w:val="32"/>
          <w:u w:val="none"/>
        </w:rPr>
        <w:t>产业</w:t>
      </w:r>
      <w:r>
        <w:rPr>
          <w:rFonts w:ascii="Times New Roman" w:hAnsi="Times New Roman" w:eastAsia="方正仿宋_GBK"/>
          <w:color w:val="auto"/>
          <w:sz w:val="32"/>
          <w:szCs w:val="32"/>
        </w:rPr>
        <w:t>技术创新平台等，按照“集约高效、经济适用、智能绿色、安全可靠”的要求，</w:t>
      </w:r>
      <w:r>
        <w:rPr>
          <w:rFonts w:hint="eastAsia" w:ascii="Times New Roman" w:hAnsi="Times New Roman" w:eastAsia="方正仿宋_GBK"/>
          <w:color w:val="auto"/>
          <w:sz w:val="32"/>
          <w:szCs w:val="32"/>
        </w:rPr>
        <w:t>加快以5G为核心的网络基础设施建设，全面提升宽带网络接入能力和接入速度，形成城乡一体、有线无线相结合、宽带交互覆盖的融合性网络。继续抓好信息普遍服务，实现区乡村组信号全覆盖，为全区数据信息产业的快速发展提供基础保障。加快布局</w:t>
      </w:r>
      <w:r>
        <w:rPr>
          <w:rFonts w:ascii="Times New Roman" w:hAnsi="Times New Roman" w:eastAsia="方正仿宋_GBK"/>
          <w:color w:val="auto"/>
          <w:sz w:val="32"/>
          <w:szCs w:val="32"/>
        </w:rPr>
        <w:t>新能源汽车充电桩、工业互联网、物联网等新型基础设施，同步建设光纤宽带及网络等配套工程，加强数字社会、数字政府建设，建设大数据统一共享开放平台，提升公共服务、社会治理等数字化智能化水平</w:t>
      </w:r>
      <w:r>
        <w:rPr>
          <w:rFonts w:hint="eastAsia" w:ascii="Times New Roman" w:hAnsi="Times New Roman" w:eastAsia="方正仿宋_GBK"/>
          <w:color w:val="auto"/>
          <w:sz w:val="32"/>
          <w:szCs w:val="32"/>
        </w:rPr>
        <w:t>，促进新型基础设施与经济社会发展深度融合，</w:t>
      </w:r>
      <w:r>
        <w:rPr>
          <w:rFonts w:ascii="Times New Roman" w:hAnsi="Times New Roman" w:eastAsia="方正仿宋_GBK"/>
          <w:color w:val="auto"/>
          <w:sz w:val="32"/>
          <w:szCs w:val="32"/>
        </w:rPr>
        <w:t>着力夯实网络强</w:t>
      </w:r>
      <w:r>
        <w:rPr>
          <w:rFonts w:hint="eastAsia" w:ascii="Times New Roman" w:hAnsi="Times New Roman" w:eastAsia="方正仿宋_GBK"/>
          <w:color w:val="auto"/>
          <w:sz w:val="32"/>
          <w:szCs w:val="32"/>
        </w:rPr>
        <w:t>区</w:t>
      </w:r>
      <w:r>
        <w:rPr>
          <w:rFonts w:ascii="Times New Roman" w:hAnsi="Times New Roman" w:eastAsia="方正仿宋_GBK"/>
          <w:color w:val="auto"/>
          <w:sz w:val="32"/>
          <w:szCs w:val="32"/>
        </w:rPr>
        <w:t>基础</w:t>
      </w:r>
      <w:r>
        <w:rPr>
          <w:rFonts w:hint="eastAsia" w:ascii="Times New Roman" w:hAnsi="Times New Roman" w:eastAsia="方正仿宋_GBK"/>
          <w:color w:val="auto"/>
          <w:sz w:val="32"/>
          <w:szCs w:val="32"/>
        </w:rPr>
        <w:t>。到202</w:t>
      </w:r>
      <w:r>
        <w:rPr>
          <w:rFonts w:hint="eastAsia" w:ascii="Times New Roman" w:hAnsi="Times New Roman" w:eastAsia="方正仿宋_GBK"/>
          <w:color w:val="auto"/>
          <w:sz w:val="32"/>
          <w:szCs w:val="32"/>
          <w:lang w:val="en-US" w:eastAsia="zh-CN"/>
        </w:rPr>
        <w:t>5</w:t>
      </w:r>
      <w:r>
        <w:rPr>
          <w:rFonts w:hint="eastAsia" w:ascii="Times New Roman" w:hAnsi="Times New Roman" w:eastAsia="方正仿宋_GBK"/>
          <w:color w:val="auto"/>
          <w:sz w:val="32"/>
          <w:szCs w:val="32"/>
        </w:rPr>
        <w:t>年，全区自然村（20户以上）实现100%互联网接入和4G通信网络全覆盖，行政村实现 5G 网络全覆盖。</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二、积极推进融合基础设施建设</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推动建设智慧城市，统筹城乡宽带网络建设，完善光纤宽带网络在农村地区的有效覆盖。大力发展人工智能、云计算、区块链等新技术，推动新一代信息技术在产业发展、城市治理、社会民生服务、生态环保等领域的技术融合应用，促进产业创新发展。推进能源、交通、物流、水利、市政基础设施数字化升级改造。有效推进“5G+智能制造”“5G+农林业”“5G+智慧旅游”“5G+智慧教育”“5G+智慧医疗”等行业应用，推动开展人工智能场景应用示范。</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三、强化创新基础设施运用</w:t>
      </w:r>
    </w:p>
    <w:p>
      <w:pPr>
        <w:spacing w:line="560" w:lineRule="exact"/>
        <w:ind w:firstLine="640" w:firstLineChars="200"/>
        <w:rPr>
          <w:rFonts w:ascii="Times New Roman" w:hAnsi="Times New Roman" w:eastAsia="仿宋"/>
          <w:color w:val="auto"/>
          <w:sz w:val="32"/>
          <w:szCs w:val="32"/>
        </w:rPr>
      </w:pPr>
      <w:r>
        <w:rPr>
          <w:rFonts w:hint="eastAsia" w:ascii="Times New Roman" w:hAnsi="Times New Roman" w:eastAsia="方正仿宋_GBK"/>
          <w:color w:val="auto"/>
          <w:sz w:val="32"/>
          <w:szCs w:val="32"/>
        </w:rPr>
        <w:t>以推动传统基础设施升级改造为导向，以5G、物联网、工业互联网为重点，拓展新基建在产业发展中的运用，深度应用互联网、大数据、人工智能等技术，发展智慧交通、智慧能源、智慧物流、数字水利等基础设施，持续深化交通、能源、物流、农业、水利等数字化、智能化改造，补齐传统基础设施建设短板</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应用现代信息技术，融合赋能农业应用场景，推动农业产业升级，发展数字农业、智慧农业等新业态，促进江川特色商品线上销售比例大幅提升；提高装备制造业发展水平，引导企业推进生产线智能化改造，支持龙头企业建设数字化车间和智能工厂；深入推进“一部手机游云南”“一部手机办事通”，落实智慧旅游监管、慧旅服务体系。积极争取大数据中心落户江川，推进江川大数据平台、智慧城管项目建设。</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auto" w:sz="4" w:space="0"/>
              <w:left w:val="single" w:color="auto" w:sz="4" w:space="0"/>
              <w:bottom w:val="single" w:color="auto" w:sz="4" w:space="0"/>
              <w:right w:val="single" w:color="auto" w:sz="4" w:space="0"/>
            </w:tcBorders>
          </w:tcPr>
          <w:p>
            <w:pPr>
              <w:jc w:val="center"/>
              <w:rPr>
                <w:color w:val="auto"/>
                <w:sz w:val="24"/>
                <w:szCs w:val="24"/>
              </w:rPr>
            </w:pPr>
            <w:r>
              <w:rPr>
                <w:rFonts w:hint="eastAsia" w:ascii="Times New Roman" w:hAnsi="Times New Roman" w:eastAsia="方正仿宋_GBK"/>
                <w:b/>
                <w:color w:val="auto"/>
                <w:sz w:val="32"/>
                <w:szCs w:val="28"/>
              </w:rPr>
              <w:t>专栏7：新型基础设施重点工程项目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Borders>
              <w:top w:val="single" w:color="auto" w:sz="4" w:space="0"/>
              <w:left w:val="single" w:color="auto" w:sz="4" w:space="0"/>
              <w:bottom w:val="single" w:color="auto" w:sz="4" w:space="0"/>
              <w:right w:val="single" w:color="auto" w:sz="4" w:space="0"/>
            </w:tcBorders>
          </w:tcPr>
          <w:p>
            <w:pPr>
              <w:spacing w:line="360" w:lineRule="exact"/>
              <w:rPr>
                <w:rFonts w:ascii="Times New Roman" w:hAnsi="Times New Roman" w:eastAsia="方正仿宋_GBK"/>
                <w:b/>
                <w:color w:val="auto"/>
                <w:szCs w:val="21"/>
              </w:rPr>
            </w:pPr>
            <w:r>
              <w:rPr>
                <w:rFonts w:hint="eastAsia" w:ascii="Times New Roman" w:hAnsi="Times New Roman" w:eastAsia="方正仿宋_GBK"/>
                <w:b/>
                <w:color w:val="auto"/>
                <w:szCs w:val="21"/>
              </w:rPr>
              <w:t>数据中心：</w:t>
            </w:r>
            <w:r>
              <w:rPr>
                <w:rFonts w:hint="eastAsia" w:ascii="Times New Roman" w:hAnsi="Times New Roman" w:eastAsia="方正仿宋_GBK"/>
                <w:color w:val="auto"/>
                <w:szCs w:val="21"/>
              </w:rPr>
              <w:t>江川公安局大数据中心建设、江川平安城市监控系统升级改造及智慧交通建设项目、江川区智慧城管执法系统项目、江川区无线信号提升改造工程。</w:t>
            </w:r>
          </w:p>
          <w:p>
            <w:pPr>
              <w:spacing w:line="360" w:lineRule="exact"/>
              <w:rPr>
                <w:color w:val="auto"/>
                <w:szCs w:val="21"/>
              </w:rPr>
            </w:pPr>
            <w:r>
              <w:rPr>
                <w:rFonts w:hint="eastAsia" w:ascii="Times New Roman" w:hAnsi="Times New Roman" w:eastAsia="方正仿宋_GBK"/>
                <w:b/>
                <w:color w:val="auto"/>
                <w:szCs w:val="21"/>
              </w:rPr>
              <w:t>平台建设：</w:t>
            </w:r>
            <w:r>
              <w:rPr>
                <w:rFonts w:hint="eastAsia" w:ascii="Times New Roman" w:hAnsi="Times New Roman" w:eastAsia="方正仿宋_GBK"/>
                <w:color w:val="auto"/>
                <w:szCs w:val="21"/>
              </w:rPr>
              <w:t>江川区质量安全监督管理智慧云平台、江川区城市地下基础设施信息及监测预警管理平台建设、江川区智慧乡村建设项目、江川区“智慧农业”大数据平台建设项目。</w:t>
            </w:r>
          </w:p>
        </w:tc>
      </w:tr>
    </w:tbl>
    <w:p>
      <w:pPr>
        <w:spacing w:line="560" w:lineRule="exact"/>
        <w:ind w:firstLine="640" w:firstLineChars="200"/>
        <w:rPr>
          <w:rFonts w:ascii="Times New Roman" w:hAnsi="Times New Roman" w:eastAsia="方正仿宋_GBK"/>
          <w:color w:val="auto"/>
          <w:sz w:val="32"/>
          <w:szCs w:val="32"/>
        </w:rPr>
      </w:pPr>
    </w:p>
    <w:p>
      <w:pPr>
        <w:widowControl/>
        <w:spacing w:line="240" w:lineRule="auto"/>
        <w:ind w:firstLine="0" w:firstLineChars="0"/>
        <w:jc w:val="left"/>
        <w:rPr>
          <w:rFonts w:ascii="Times New Roman" w:hAnsi="Times New Roman" w:eastAsia="方正仿宋_GBK"/>
          <w:color w:val="auto"/>
          <w:sz w:val="32"/>
          <w:szCs w:val="32"/>
        </w:rPr>
      </w:pPr>
      <w:r>
        <w:rPr>
          <w:rFonts w:ascii="Times New Roman" w:hAnsi="Times New Roman" w:eastAsia="方正仿宋_GBK"/>
          <w:color w:val="auto"/>
          <w:sz w:val="32"/>
          <w:szCs w:val="32"/>
        </w:rPr>
        <w:br w:type="page"/>
      </w:r>
    </w:p>
    <w:p>
      <w:pPr>
        <w:pStyle w:val="3"/>
        <w:rPr>
          <w:rFonts w:eastAsia="方正小标宋简体"/>
          <w:b w:val="0"/>
          <w:bCs w:val="0"/>
          <w:color w:val="auto"/>
          <w:sz w:val="40"/>
        </w:rPr>
      </w:pPr>
      <w:bookmarkStart w:id="130" w:name="_Toc60042388"/>
      <w:bookmarkStart w:id="131" w:name="_Toc28946"/>
      <w:bookmarkStart w:id="132" w:name="_Toc6875"/>
      <w:bookmarkStart w:id="133" w:name="_Toc446364483"/>
      <w:bookmarkStart w:id="134" w:name="_Toc21763"/>
      <w:r>
        <w:rPr>
          <w:rFonts w:hint="eastAsia" w:eastAsia="方正小标宋简体"/>
          <w:b w:val="0"/>
          <w:bCs w:val="0"/>
          <w:color w:val="auto"/>
          <w:sz w:val="40"/>
        </w:rPr>
        <w:t>第七篇</w:t>
      </w:r>
      <w:bookmarkEnd w:id="130"/>
      <w:r>
        <w:rPr>
          <w:rFonts w:hint="eastAsia" w:eastAsia="方正小标宋简体"/>
          <w:b w:val="0"/>
          <w:bCs w:val="0"/>
          <w:color w:val="auto"/>
          <w:sz w:val="40"/>
        </w:rPr>
        <w:t xml:space="preserve">  </w:t>
      </w:r>
      <w:r>
        <w:rPr>
          <w:rFonts w:eastAsia="方正小标宋简体"/>
          <w:b w:val="0"/>
          <w:bCs w:val="0"/>
          <w:color w:val="auto"/>
          <w:sz w:val="40"/>
        </w:rPr>
        <w:t>推进新型城镇化，建设美丽滨湖花园城市</w:t>
      </w:r>
      <w:bookmarkEnd w:id="131"/>
      <w:bookmarkEnd w:id="132"/>
      <w:bookmarkEnd w:id="133"/>
      <w:bookmarkEnd w:id="134"/>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坚持以人为核心，以规划为引领，按照以城聚产、以产兴城、产城互动、同城一体的要求，积极融入滇中城市群发展规划建设，破除城乡要素自由流动的壁垒，突出滨湖、花园、文化特色，高起点、高品质推进江川老城区提质扩容和更新改造，加快城市西片区开发建设步伐，拓展承东启西</w:t>
      </w:r>
      <w:r>
        <w:rPr>
          <w:rFonts w:hint="eastAsia" w:ascii="Times New Roman" w:hAnsi="Times New Roman" w:eastAsia="方正仿宋_GBK"/>
          <w:color w:val="auto"/>
          <w:sz w:val="32"/>
          <w:szCs w:val="32"/>
          <w:lang w:eastAsia="zh-CN"/>
        </w:rPr>
        <w:t>、</w:t>
      </w:r>
      <w:r>
        <w:rPr>
          <w:rFonts w:hint="eastAsia" w:ascii="Times New Roman" w:hAnsi="Times New Roman" w:eastAsia="方正仿宋_GBK"/>
          <w:color w:val="auto"/>
          <w:sz w:val="32"/>
          <w:szCs w:val="32"/>
        </w:rPr>
        <w:t>接转南北、辐射带动的全新城市空间格局，提升对外开放与合作交流层次和水平，优化产业布局，加快产业转型升级，提高发展质量和效益，成为新型城镇化建设引领区，让更多人民群众享有安全健康、较高品质的城镇生活，为全面建设社会主义现代化江川提供强大支撑。到</w:t>
      </w:r>
      <w:r>
        <w:rPr>
          <w:rFonts w:ascii="Times New Roman" w:hAnsi="Times New Roman" w:eastAsia="方正仿宋_GBK"/>
          <w:color w:val="auto"/>
          <w:sz w:val="32"/>
          <w:szCs w:val="32"/>
        </w:rPr>
        <w:t>2025</w:t>
      </w:r>
      <w:r>
        <w:rPr>
          <w:rFonts w:hint="eastAsia" w:ascii="Times New Roman" w:hAnsi="Times New Roman" w:eastAsia="方正仿宋_GBK"/>
          <w:color w:val="auto"/>
          <w:sz w:val="32"/>
          <w:szCs w:val="32"/>
        </w:rPr>
        <w:t>年，全区城镇化率达到</w:t>
      </w:r>
      <w:r>
        <w:rPr>
          <w:rFonts w:ascii="Times New Roman" w:hAnsi="Times New Roman" w:eastAsia="方正仿宋_GBK"/>
          <w:color w:val="auto"/>
          <w:sz w:val="32"/>
          <w:szCs w:val="32"/>
        </w:rPr>
        <w:t>60%</w:t>
      </w:r>
      <w:r>
        <w:rPr>
          <w:rFonts w:hint="eastAsia" w:ascii="Times New Roman" w:hAnsi="Times New Roman" w:eastAsia="方正仿宋_GBK"/>
          <w:color w:val="auto"/>
          <w:sz w:val="32"/>
          <w:szCs w:val="32"/>
        </w:rPr>
        <w:t>。</w:t>
      </w:r>
    </w:p>
    <w:p>
      <w:pPr>
        <w:pStyle w:val="4"/>
        <w:ind w:firstLine="723"/>
        <w:rPr>
          <w:b w:val="0"/>
          <w:bCs w:val="0"/>
          <w:color w:val="auto"/>
          <w:sz w:val="36"/>
        </w:rPr>
      </w:pPr>
      <w:bookmarkStart w:id="135" w:name="_Toc5181"/>
      <w:bookmarkStart w:id="136" w:name="_Toc446364484"/>
      <w:bookmarkStart w:id="137" w:name="_Toc25810"/>
      <w:bookmarkStart w:id="138" w:name="_Toc2000"/>
      <w:r>
        <w:rPr>
          <w:rFonts w:hint="eastAsia"/>
          <w:b w:val="0"/>
          <w:bCs w:val="0"/>
          <w:color w:val="auto"/>
          <w:sz w:val="36"/>
        </w:rPr>
        <w:t>第二十三章</w:t>
      </w:r>
      <w:r>
        <w:rPr>
          <w:b w:val="0"/>
          <w:bCs w:val="0"/>
          <w:color w:val="auto"/>
          <w:sz w:val="36"/>
        </w:rPr>
        <w:t xml:space="preserve">  </w:t>
      </w:r>
      <w:r>
        <w:rPr>
          <w:rFonts w:hint="eastAsia"/>
          <w:b w:val="0"/>
          <w:bCs w:val="0"/>
          <w:color w:val="auto"/>
          <w:sz w:val="36"/>
        </w:rPr>
        <w:t>优化新型城镇化布局</w:t>
      </w:r>
      <w:bookmarkEnd w:id="135"/>
      <w:bookmarkEnd w:id="136"/>
      <w:bookmarkEnd w:id="137"/>
      <w:bookmarkEnd w:id="138"/>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按照“一年一变样、三年大变样”</w:t>
      </w:r>
      <w:r>
        <w:rPr>
          <w:rFonts w:hint="eastAsia" w:ascii="Times New Roman" w:hAnsi="Times New Roman" w:eastAsia="方正仿宋_GBK"/>
          <w:color w:val="auto"/>
          <w:sz w:val="32"/>
          <w:szCs w:val="32"/>
          <w:lang w:eastAsia="zh-CN"/>
        </w:rPr>
        <w:t>工作</w:t>
      </w:r>
      <w:r>
        <w:rPr>
          <w:rFonts w:hint="eastAsia" w:ascii="Times New Roman" w:hAnsi="Times New Roman" w:eastAsia="方正仿宋_GBK"/>
          <w:color w:val="auto"/>
          <w:sz w:val="32"/>
          <w:szCs w:val="32"/>
        </w:rPr>
        <w:t>要求，统筹推进新型城镇化和乡村振兴发展战略，提升城市建设管理运营水平，巩固拓展星云湖保护治理成果，做强旅游文化康养产业，形成以中心城区为核心、小城镇为支撑、农村新型社区为单元的城镇化体系，把江川打造成绿色生态、特色鲜明、产城融合、宜居宜业、文明和谐、智慧智联的美丽滨湖花园城市。</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一、打造新型城镇化引领区</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坚持以人为核心的新型城镇化，遵循科学规律，加强顶层设计，加快城镇建设步伐，用足用活用好撤县设区的各项政策，主动承接中心城区职能，</w:t>
      </w:r>
      <w:r>
        <w:rPr>
          <w:rFonts w:hint="eastAsia" w:ascii="Times New Roman" w:hAnsi="Times New Roman" w:eastAsia="方正仿宋_GBK"/>
          <w:color w:val="auto"/>
          <w:sz w:val="32"/>
          <w:szCs w:val="32"/>
        </w:rPr>
        <w:t>提升中心城区承载能力，更好吸纳</w:t>
      </w:r>
      <w:r>
        <w:rPr>
          <w:rFonts w:ascii="Times New Roman" w:hAnsi="Times New Roman" w:eastAsia="方正仿宋_GBK"/>
          <w:color w:val="auto"/>
          <w:sz w:val="32"/>
          <w:szCs w:val="32"/>
        </w:rPr>
        <w:t>农业转移人口</w:t>
      </w:r>
      <w:r>
        <w:rPr>
          <w:rFonts w:hint="eastAsia" w:ascii="Times New Roman" w:hAnsi="Times New Roman" w:eastAsia="方正仿宋_GBK"/>
          <w:color w:val="auto"/>
          <w:sz w:val="32"/>
          <w:szCs w:val="32"/>
        </w:rPr>
        <w:t>，建立健全统筹城乡的发展体系、服务体系、治理体系，促进一二三产</w:t>
      </w:r>
      <w:r>
        <w:rPr>
          <w:rFonts w:hint="eastAsia" w:ascii="Times New Roman" w:hAnsi="Times New Roman" w:eastAsia="方正仿宋_GBK"/>
          <w:color w:val="auto"/>
          <w:sz w:val="32"/>
          <w:szCs w:val="32"/>
          <w:lang w:eastAsia="zh-CN"/>
        </w:rPr>
        <w:t>业</w:t>
      </w:r>
      <w:r>
        <w:rPr>
          <w:rFonts w:hint="eastAsia" w:ascii="Times New Roman" w:hAnsi="Times New Roman" w:eastAsia="方正仿宋_GBK"/>
          <w:color w:val="auto"/>
          <w:sz w:val="32"/>
          <w:szCs w:val="32"/>
        </w:rPr>
        <w:t>融合发展。积极融入滇中城市群发展规划建设，深刻领会滇中城市群发展对玉溪建设文化旅游与大健康产业基地、科教创新型城市、面向南亚东南亚的开放枢纽、美丽高原湖区健康宜居城市的要求，以及我市打造</w:t>
      </w:r>
      <w:r>
        <w:rPr>
          <w:rFonts w:ascii="Times New Roman" w:hAnsi="Times New Roman" w:eastAsia="方正仿宋_GBK"/>
          <w:color w:val="auto"/>
          <w:sz w:val="32"/>
          <w:szCs w:val="32"/>
        </w:rPr>
        <w:t>云南社会主义现代化</w:t>
      </w:r>
      <w:r>
        <w:rPr>
          <w:rFonts w:hint="eastAsia" w:ascii="Times New Roman" w:hAnsi="Times New Roman" w:eastAsia="方正仿宋_GBK"/>
          <w:color w:val="auto"/>
          <w:sz w:val="32"/>
          <w:szCs w:val="32"/>
        </w:rPr>
        <w:t>建设</w:t>
      </w:r>
      <w:r>
        <w:rPr>
          <w:rFonts w:ascii="Times New Roman" w:hAnsi="Times New Roman" w:eastAsia="方正仿宋_GBK"/>
          <w:color w:val="auto"/>
          <w:sz w:val="32"/>
          <w:szCs w:val="32"/>
        </w:rPr>
        <w:t>先行区、全国绿色创新发展示范区、国际高品质康养旅居新高地的要求，按照以城聚产、以产兴城、产城互动、同城一体的要求，</w:t>
      </w:r>
      <w:r>
        <w:rPr>
          <w:rFonts w:hint="eastAsia" w:ascii="Times New Roman" w:hAnsi="Times New Roman" w:eastAsia="方正仿宋_GBK"/>
          <w:color w:val="auto"/>
          <w:sz w:val="32"/>
          <w:szCs w:val="32"/>
        </w:rPr>
        <w:t>加快推进与红塔区、高新区一体化发展，实现“规划、城市、产业、人人”融合，</w:t>
      </w:r>
      <w:r>
        <w:rPr>
          <w:rFonts w:ascii="Times New Roman" w:hAnsi="Times New Roman" w:eastAsia="方正仿宋_GBK"/>
          <w:color w:val="auto"/>
          <w:sz w:val="32"/>
          <w:szCs w:val="32"/>
        </w:rPr>
        <w:t>突出滨湖、花园、文化特色，把江川打造成</w:t>
      </w:r>
      <w:r>
        <w:rPr>
          <w:rFonts w:hint="eastAsia" w:ascii="Times New Roman" w:hAnsi="Times New Roman" w:eastAsia="方正仿宋_GBK"/>
          <w:color w:val="auto"/>
          <w:sz w:val="32"/>
          <w:szCs w:val="32"/>
        </w:rPr>
        <w:t>引领玉溪发展的核心区</w:t>
      </w:r>
      <w:r>
        <w:rPr>
          <w:rFonts w:ascii="Times New Roman" w:hAnsi="Times New Roman" w:eastAsia="方正仿宋_GBK"/>
          <w:color w:val="auto"/>
          <w:sz w:val="32"/>
          <w:szCs w:val="32"/>
        </w:rPr>
        <w:t>。重点抓好市政基础设施建设、城市综合体建设、</w:t>
      </w:r>
      <w:r>
        <w:rPr>
          <w:rFonts w:hint="eastAsia" w:ascii="Times New Roman" w:hAnsi="Times New Roman" w:eastAsia="方正仿宋_GBK"/>
          <w:color w:val="auto"/>
          <w:sz w:val="32"/>
          <w:szCs w:val="32"/>
          <w:lang w:eastAsia="zh-CN"/>
        </w:rPr>
        <w:t>城市风貌提升、</w:t>
      </w:r>
      <w:r>
        <w:rPr>
          <w:rFonts w:ascii="Times New Roman" w:hAnsi="Times New Roman" w:eastAsia="方正仿宋_GBK"/>
          <w:color w:val="auto"/>
          <w:sz w:val="32"/>
          <w:szCs w:val="32"/>
        </w:rPr>
        <w:t>老旧小区</w:t>
      </w:r>
      <w:r>
        <w:rPr>
          <w:rFonts w:hint="eastAsia" w:ascii="Times New Roman" w:hAnsi="Times New Roman" w:eastAsia="方正仿宋_GBK"/>
          <w:color w:val="auto"/>
          <w:sz w:val="32"/>
          <w:szCs w:val="32"/>
          <w:lang w:eastAsia="zh-CN"/>
        </w:rPr>
        <w:t>改造</w:t>
      </w:r>
      <w:r>
        <w:rPr>
          <w:rFonts w:ascii="Times New Roman" w:hAnsi="Times New Roman" w:eastAsia="方正仿宋_GBK"/>
          <w:color w:val="auto"/>
          <w:sz w:val="32"/>
          <w:szCs w:val="32"/>
        </w:rPr>
        <w:t>，优化城乡空间和产业布局，走资源节约型和环境友好型发展道路，提升区域生态环境品质与特色，拓展玉溪中心城区发展空间，完善城市功能，提升对外开放与合作交流的层次和水平，加快产业转型升级，提高发展质量和效益，将江川打造成真正的新型城镇化引领区。</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二、做大做强做美中心城区</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做好中心城区提质扩容，落实最高标准、最严制度、最实举措、最佳环境要求，注重挖掘城市内涵，延伸城市文脉，以“历史、人文、山水、田园”为方向，科学确定城市中轴线，控制和保护好城市天际线、山际线和水际线，优化城市形态格局，明确公共空间体系，提升城市通透性，延续城市文脉、保留城市色彩，突出人文特色和自然景观相互融合，打造气候舒适、环境优良、山水融城的城市环境，打造城市品牌，提升城市品质。</w:t>
      </w:r>
      <w:r>
        <w:rPr>
          <w:rFonts w:ascii="Times New Roman" w:hAnsi="Times New Roman" w:eastAsia="方正仿宋_GBK"/>
          <w:color w:val="auto"/>
          <w:sz w:val="32"/>
          <w:szCs w:val="32"/>
        </w:rPr>
        <w:t>以生态优先、绿色发展为导向发展产业，促进产业生态化和生态产业化同频共振，推动经济高质量发展，探索绿水青山向金山银山的有效转化之路，以绿色发展引领高质量发展</w:t>
      </w:r>
      <w:r>
        <w:rPr>
          <w:rFonts w:hint="eastAsia" w:ascii="Times New Roman" w:hAnsi="Times New Roman" w:eastAsia="方正仿宋_GBK"/>
          <w:color w:val="auto"/>
          <w:sz w:val="32"/>
          <w:szCs w:val="32"/>
        </w:rPr>
        <w:t>，实现绿色发展</w:t>
      </w:r>
      <w:r>
        <w:rPr>
          <w:rFonts w:ascii="Times New Roman" w:hAnsi="Times New Roman" w:eastAsia="方正仿宋_GBK"/>
          <w:color w:val="auto"/>
          <w:sz w:val="32"/>
          <w:szCs w:val="32"/>
        </w:rPr>
        <w:t>。弘扬江川悠久的古滇青铜文化、渔</w:t>
      </w:r>
      <w:r>
        <w:rPr>
          <w:rFonts w:hint="eastAsia" w:ascii="Times New Roman" w:hAnsi="Times New Roman" w:eastAsia="方正仿宋_GBK"/>
          <w:color w:val="auto"/>
          <w:sz w:val="32"/>
          <w:szCs w:val="32"/>
        </w:rPr>
        <w:t>耕</w:t>
      </w:r>
      <w:r>
        <w:rPr>
          <w:rFonts w:ascii="Times New Roman" w:hAnsi="Times New Roman" w:eastAsia="方正仿宋_GBK"/>
          <w:color w:val="auto"/>
          <w:sz w:val="32"/>
          <w:szCs w:val="32"/>
        </w:rPr>
        <w:t>文化、白药文化等优秀历史文化，注重建筑风格、产业的特色发展，与周边县区形成错位发展的优势</w:t>
      </w:r>
      <w:r>
        <w:rPr>
          <w:rFonts w:hint="eastAsia" w:ascii="Times New Roman" w:hAnsi="Times New Roman" w:eastAsia="方正仿宋_GBK"/>
          <w:color w:val="auto"/>
          <w:sz w:val="32"/>
          <w:szCs w:val="32"/>
        </w:rPr>
        <w:t>，实现</w:t>
      </w:r>
      <w:r>
        <w:rPr>
          <w:rFonts w:ascii="Times New Roman" w:hAnsi="Times New Roman" w:eastAsia="方正仿宋_GBK"/>
          <w:color w:val="auto"/>
          <w:sz w:val="32"/>
          <w:szCs w:val="32"/>
        </w:rPr>
        <w:t>特色发展。协调好工业发展和环境保护、资源集约节约利用的关系，积极推动传统工业转型升级，鼓励工业企业进入园区，依托</w:t>
      </w:r>
      <w:r>
        <w:rPr>
          <w:rFonts w:hint="eastAsia" w:ascii="Times New Roman" w:hAnsi="Times New Roman" w:eastAsia="方正仿宋_GBK"/>
          <w:color w:val="auto"/>
          <w:sz w:val="32"/>
          <w:szCs w:val="32"/>
        </w:rPr>
        <w:t>高新区</w:t>
      </w:r>
      <w:r>
        <w:rPr>
          <w:rFonts w:ascii="Times New Roman" w:hAnsi="Times New Roman" w:eastAsia="方正仿宋_GBK"/>
          <w:color w:val="auto"/>
          <w:sz w:val="32"/>
          <w:szCs w:val="32"/>
        </w:rPr>
        <w:t>龙泉</w:t>
      </w:r>
      <w:r>
        <w:rPr>
          <w:rFonts w:hint="eastAsia" w:ascii="Times New Roman" w:hAnsi="Times New Roman" w:eastAsia="方正仿宋_GBK"/>
          <w:color w:val="auto"/>
          <w:sz w:val="32"/>
          <w:szCs w:val="32"/>
        </w:rPr>
        <w:t>片</w:t>
      </w:r>
      <w:r>
        <w:rPr>
          <w:rFonts w:ascii="Times New Roman" w:hAnsi="Times New Roman" w:eastAsia="方正仿宋_GBK"/>
          <w:color w:val="auto"/>
          <w:sz w:val="32"/>
          <w:szCs w:val="32"/>
        </w:rPr>
        <w:t>区建设产业新城，结合江川西片区发展规划，大力发展金融、科技、信息、会展、商务等生产性服务业，提升旅游、大健康等服务业品质，实现生产要素聚集、产业链完备的产城融合发展。进一步协调好城区绿地、市政基础设施、公共服务设施、地下空间和综合管廊的规划建设，持续完善中心城区综合服务功能，做好城市绿化、亮化、美化、净化，大力推进城区提质扩容，高水平建设已规划好的14平方公里中心城区，做好老旧小区改造，持续提升城市</w:t>
      </w:r>
      <w:r>
        <w:rPr>
          <w:rFonts w:hint="eastAsia" w:ascii="Times New Roman" w:hAnsi="Times New Roman" w:eastAsia="方正仿宋_GBK"/>
          <w:color w:val="auto"/>
          <w:sz w:val="32"/>
          <w:szCs w:val="32"/>
        </w:rPr>
        <w:t>品位</w:t>
      </w:r>
      <w:r>
        <w:rPr>
          <w:rFonts w:ascii="Times New Roman" w:hAnsi="Times New Roman" w:eastAsia="方正仿宋_GBK"/>
          <w:color w:val="auto"/>
          <w:sz w:val="32"/>
          <w:szCs w:val="32"/>
        </w:rPr>
        <w:t xml:space="preserve">，大力提升园林绿化建设水平,精心打造功能完善、生态优美、宜居宜业、宜游宜商的“品质城市”。 </w:t>
      </w:r>
      <w:r>
        <w:rPr>
          <w:rFonts w:hint="eastAsia" w:ascii="Times New Roman" w:hAnsi="Times New Roman" w:eastAsia="方正仿宋_GBK"/>
          <w:color w:val="auto"/>
          <w:sz w:val="32"/>
          <w:szCs w:val="32"/>
        </w:rPr>
        <w:t>注重文明和谐发展，</w:t>
      </w:r>
      <w:r>
        <w:rPr>
          <w:rFonts w:ascii="Times New Roman" w:hAnsi="Times New Roman" w:eastAsia="方正仿宋_GBK"/>
          <w:color w:val="auto"/>
          <w:sz w:val="32"/>
          <w:szCs w:val="32"/>
        </w:rPr>
        <w:t>不断提高公共文化服务水平，逐步完善社会治理体系、社会保障体系，重视文化事业和文化产业发展，注重全民健身和竞技体育全面发展，维持社会稳定，建设“平安江川”，提升人民群众获得感和幸福感。启动智慧城管、智慧停车项目建设，着力打通城市主次干道的各类断点、阻点，优化路网结构，提升互联互通能力，畅通城市“微循环”，切实把城市运营好</w:t>
      </w:r>
      <w:r>
        <w:rPr>
          <w:rFonts w:hint="eastAsia" w:ascii="Times New Roman" w:hAnsi="Times New Roman" w:eastAsia="方正仿宋_GBK"/>
          <w:color w:val="auto"/>
          <w:sz w:val="32"/>
          <w:szCs w:val="32"/>
        </w:rPr>
        <w:t>，实现智慧智联</w:t>
      </w:r>
      <w:r>
        <w:rPr>
          <w:rFonts w:ascii="Times New Roman" w:hAnsi="Times New Roman" w:eastAsia="方正仿宋_GBK"/>
          <w:color w:val="auto"/>
          <w:sz w:val="32"/>
          <w:szCs w:val="32"/>
        </w:rPr>
        <w:t>，不断激发城市发展的动力和活力。</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三、提升小城镇特色发展水平</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聚焦环境、功能、品位、文化、生活、管理等要素，对照全国文明城市、国家卫生城市的创建标准，提高城市经济绿色化程度，加快发展城市绿色产业，促进人与自然和谐共生，构建科学合理的生态安全格局、自然合理格局、科学合理的城市化格局体系。充分考虑资源禀赋、交通区位等条件，引导城镇分类发展，深入推进城镇行政管理体制改革。紧扣“特色、产业、生态、易达、宜居、智慧、成网”七大要素，弘扬江川悠久的古滇青铜文化、渔耕文化、白药文化等优秀历史文化，深挖资源特征、推动产业发展、完善基础设施和公共服务配套，增强集镇人口集聚和综合服务功能，培育发展重点城镇，提升特色发展水平，构建特色小镇发展梯队。加快推进古滇青铜小镇、江城星湖康养小镇、雄关物流小镇、九溪花卉科创小镇等特色小镇建设步伐。</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b w:val="0"/>
          <w:color w:val="auto"/>
          <w:sz w:val="32"/>
          <w:szCs w:val="32"/>
        </w:rPr>
        <w:t>四、促进产城融合发展</w:t>
      </w:r>
    </w:p>
    <w:p>
      <w:pPr>
        <w:spacing w:line="560" w:lineRule="exact"/>
        <w:ind w:firstLine="640" w:firstLineChars="200"/>
        <w:rPr>
          <w:rFonts w:ascii="Calibri" w:hAnsi="Calibri" w:eastAsia="宋体"/>
          <w:color w:val="auto"/>
          <w:sz w:val="21"/>
          <w:szCs w:val="22"/>
        </w:rPr>
      </w:pPr>
      <w:r>
        <w:rPr>
          <w:rFonts w:hint="eastAsia" w:ascii="Times New Roman" w:hAnsi="Times New Roman" w:eastAsia="方正仿宋_GBK"/>
          <w:color w:val="auto"/>
          <w:sz w:val="32"/>
          <w:szCs w:val="32"/>
        </w:rPr>
        <w:t>牢牢把握滇中城市群“六个一体化”发展机遇，充分发挥昆玉一体化带来的政策优势，着力推进以产促城、以城兴产，使江川成为具有湖滨山水特色的现代生态宜居城市及滇中城市群 “六城同创”先行军。依托政策及区位优势，瞄准“四化”新方向，做强先进装备制造、现代物流产业，做优高原特色农业、磷化工等传统产业，做实旅游文化及健康养老、航空产业，焕发产业新旧动能转换新活力，形成绿色发展样板区。以政府为核心，引导高新产业发展，吸引高端人才聚集，深挖整合政策、资本、人才、信息、技术资源，建立以企业为主体、市场为导向、产学研相结合的发展体系，因地制宜、因城施策，高效驱动经济转型升级，形成产学研一体创新发展。加快转变政府职能，拓宽投融资渠道，规范投融资管理，提高投融资效益，创新金融产品和服务方式，逐步形成“政府引导、市场主导、社会参与”的多元投融资体系。以“生产空间集约高效、生活空间宜居适度、生态空间山清水秀”为目标，建设新型产业社区、综合社区，完善城市服务功能，打造“生态节约、服务健全、经济发展、生活小康”的产城融合样板区。</w:t>
      </w:r>
    </w:p>
    <w:p>
      <w:pPr>
        <w:pStyle w:val="4"/>
        <w:ind w:firstLine="723"/>
        <w:rPr>
          <w:b w:val="0"/>
          <w:bCs w:val="0"/>
          <w:color w:val="auto"/>
          <w:sz w:val="36"/>
        </w:rPr>
      </w:pPr>
      <w:bookmarkStart w:id="139" w:name="_Toc2172"/>
      <w:bookmarkStart w:id="140" w:name="_Toc446364485"/>
      <w:bookmarkStart w:id="141" w:name="_Toc23910"/>
      <w:bookmarkStart w:id="142" w:name="_Toc15822"/>
      <w:r>
        <w:rPr>
          <w:rFonts w:hint="eastAsia"/>
          <w:b w:val="0"/>
          <w:bCs w:val="0"/>
          <w:color w:val="auto"/>
          <w:sz w:val="36"/>
        </w:rPr>
        <w:t>第二十四章</w:t>
      </w:r>
      <w:r>
        <w:rPr>
          <w:b w:val="0"/>
          <w:bCs w:val="0"/>
          <w:color w:val="auto"/>
          <w:sz w:val="36"/>
        </w:rPr>
        <w:t xml:space="preserve">  </w:t>
      </w:r>
      <w:r>
        <w:rPr>
          <w:rFonts w:hint="eastAsia"/>
          <w:b w:val="0"/>
          <w:bCs w:val="0"/>
          <w:color w:val="auto"/>
          <w:sz w:val="36"/>
        </w:rPr>
        <w:t>推进以人为核心的新型城镇化</w:t>
      </w:r>
      <w:bookmarkEnd w:id="139"/>
      <w:bookmarkEnd w:id="140"/>
      <w:bookmarkEnd w:id="141"/>
      <w:bookmarkEnd w:id="142"/>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坚持以“人的城镇化”为核心，遵循科学规律，加强顶层设计，更加注重提高户籍人口城镇化率、城乡基本公共服务均等化、环境宜居和历史文脉传承，提升人民群众获得感和幸福感。</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一、提升农业转移人口市民化质量</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把促进有能力在城镇稳定就业和生活的常住人口有序实现市民化作为首要任务，深入推进居住证制度和户籍制度融合并轨，对进城落户农业转移人口保留土地承包经营权、宅基地使用权及农房所有权等农村各项权益，与城镇居民同等享有养老、医疗、教育等各类待遇，推动基本公共服务均等化，建立健全城乡要素双向流动机制，在城乡形成人才、土地、资金等要素流动的良性循环，提高人口城镇化率。</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二、增强市域社会治理现代化水平</w:t>
      </w:r>
    </w:p>
    <w:p>
      <w:pPr>
        <w:spacing w:line="560" w:lineRule="exact"/>
        <w:ind w:firstLine="640" w:firstLineChars="200"/>
        <w:rPr>
          <w:rFonts w:hint="eastAsia" w:ascii="Times New Roman" w:hAnsi="Times New Roman" w:eastAsia="方正仿宋_GBK"/>
          <w:color w:val="auto"/>
          <w:sz w:val="32"/>
          <w:szCs w:val="32"/>
        </w:rPr>
      </w:pPr>
      <w:r>
        <w:rPr>
          <w:rFonts w:hint="eastAsia" w:ascii="Times New Roman" w:hAnsi="Times New Roman" w:eastAsia="方正仿宋_GBK"/>
          <w:color w:val="auto"/>
          <w:sz w:val="32"/>
          <w:szCs w:val="32"/>
        </w:rPr>
        <w:t>按照市委、市政府“一核三带”生产力空间布局新格局，以加快推进红塔区、江川区、高新区一体化发展为目标和标准，全力构建系统完备、科学规范、运行有效的江川现代城市制度体系，不断提升政府行政效能和公信力，健全完善防范化解重大风险体制机制，增强突发公共事件和灾害应急能力，推动传统县域治理走向现代市域治理。结合江川区本土文化气息，重视对城市主要道路景观、植物色彩搭配、园林小品等景观改造的设计，让绿水青山既是自然财富、生态财富，又是社会财富、经济财富的观念深入人心，全力治理好星云湖，让江川因水而美、因水而名、因水而兴，加快星云湖南岸乡村振兴示范区建设，继续探索星云湖南岸乡村振兴带推广的退田还湖、调整产业结构、栽种荷藕、发展民宿等创新实践，充分彰显生态效益转化释放出来的经济效益，不断美化城市总体环境，将江川打造成名副其实的“滇中碧玉”</w:t>
      </w:r>
      <w:r>
        <w:rPr>
          <w:rFonts w:hint="eastAsia" w:ascii="Times New Roman" w:hAnsi="Times New Roman" w:eastAsia="方正仿宋_GBK"/>
          <w:color w:val="auto"/>
          <w:sz w:val="32"/>
          <w:szCs w:val="32"/>
          <w:lang w:eastAsia="zh-CN"/>
        </w:rPr>
        <w:t>、</w:t>
      </w:r>
      <w:r>
        <w:rPr>
          <w:rFonts w:hint="eastAsia" w:ascii="Times New Roman" w:hAnsi="Times New Roman" w:eastAsia="方正仿宋_GBK"/>
          <w:color w:val="auto"/>
          <w:sz w:val="32"/>
          <w:szCs w:val="32"/>
        </w:rPr>
        <w:t>“高原水乡”。</w:t>
      </w:r>
    </w:p>
    <w:p>
      <w:pPr>
        <w:spacing w:line="560" w:lineRule="exact"/>
        <w:ind w:firstLine="640" w:firstLineChars="200"/>
        <w:rPr>
          <w:rFonts w:hint="eastAsia" w:eastAsia="方正仿宋_GBK"/>
          <w:bCs w:val="0"/>
          <w:color w:val="auto"/>
          <w:kern w:val="2"/>
          <w:sz w:val="32"/>
          <w:szCs w:val="32"/>
        </w:rPr>
      </w:pPr>
      <w:r>
        <w:rPr>
          <w:rFonts w:hint="eastAsia" w:ascii="Times New Roman" w:hAnsi="Times New Roman" w:eastAsia="方正仿宋_GBK"/>
          <w:bCs w:val="0"/>
          <w:color w:val="auto"/>
          <w:kern w:val="2"/>
          <w:sz w:val="32"/>
          <w:szCs w:val="32"/>
        </w:rPr>
        <w:t>全面改善人居环境，加强公共卫生环境基础设施建设，推进城乡环境卫生整治，倡导文明健康绿色环保的生活方式。加快建设适应城镇化快速发展、人口密集特点的公共卫生体系，全力塑造城市新风貌，建设文明和谐社区、居民小区，树牢江川文明和谐的根基</w:t>
      </w:r>
    </w:p>
    <w:p>
      <w:pPr>
        <w:pStyle w:val="4"/>
        <w:ind w:firstLine="723"/>
        <w:rPr>
          <w:b w:val="0"/>
          <w:bCs w:val="0"/>
          <w:color w:val="auto"/>
          <w:sz w:val="36"/>
        </w:rPr>
      </w:pPr>
      <w:bookmarkStart w:id="143" w:name="_Toc2733"/>
      <w:bookmarkStart w:id="144" w:name="_Toc9844"/>
      <w:bookmarkStart w:id="145" w:name="_Toc446364486"/>
      <w:bookmarkStart w:id="146" w:name="_Toc28626"/>
      <w:r>
        <w:rPr>
          <w:rFonts w:hint="eastAsia"/>
          <w:b w:val="0"/>
          <w:bCs w:val="0"/>
          <w:color w:val="auto"/>
          <w:sz w:val="36"/>
        </w:rPr>
        <w:t>第二十五章</w:t>
      </w:r>
      <w:r>
        <w:rPr>
          <w:b w:val="0"/>
          <w:bCs w:val="0"/>
          <w:color w:val="auto"/>
          <w:sz w:val="36"/>
        </w:rPr>
        <w:t xml:space="preserve"> </w:t>
      </w:r>
      <w:r>
        <w:rPr>
          <w:rFonts w:hint="eastAsia"/>
          <w:b w:val="0"/>
          <w:bCs w:val="0"/>
          <w:color w:val="auto"/>
          <w:sz w:val="36"/>
        </w:rPr>
        <w:t xml:space="preserve"> 深入实施城市更新行动</w:t>
      </w:r>
      <w:bookmarkEnd w:id="143"/>
      <w:bookmarkEnd w:id="144"/>
      <w:bookmarkEnd w:id="145"/>
      <w:bookmarkEnd w:id="146"/>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建设宜居城市、绿色城市、韧性城市、智慧城市、人文城市，不断提升城市人居环境质量、人民生活质量、城市竞争力。</w:t>
      </w:r>
      <w:r>
        <w:rPr>
          <w:rFonts w:ascii="Times New Roman" w:hAnsi="Times New Roman" w:eastAsia="方正仿宋_GBK"/>
          <w:color w:val="auto"/>
          <w:sz w:val="32"/>
          <w:szCs w:val="32"/>
        </w:rPr>
        <w:t>尽快补齐城市规划、建设、管理方面的短板，尽快完善教育、医疗、住房等优质民生保障方面的不足，高品位规划、高标准建设、高效能管理城市</w:t>
      </w:r>
      <w:r>
        <w:rPr>
          <w:rFonts w:hint="eastAsia" w:ascii="Times New Roman" w:hAnsi="Times New Roman" w:eastAsia="方正仿宋_GBK"/>
          <w:color w:val="auto"/>
          <w:sz w:val="32"/>
          <w:szCs w:val="32"/>
        </w:rPr>
        <w:t>。</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一、完善城市空间结构</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促进国土空间均衡开发，健全城镇体系，构建城乡协调发展的城镇格局，推进重大基础设施和公共服务设施共建共享，提升城市综合承载能力。加快推进“城市更新三年行动计划”，围绕“西扩、南保、北联、东留”的城市发展格局，</w:t>
      </w:r>
      <w:r>
        <w:rPr>
          <w:rFonts w:ascii="Times New Roman" w:hAnsi="Times New Roman" w:eastAsia="方正仿宋_GBK"/>
          <w:color w:val="auto"/>
          <w:sz w:val="32"/>
          <w:szCs w:val="32"/>
        </w:rPr>
        <w:t>高起点、高品质推进江川老城区提质扩容和更新改造，加快江川城市西片区开发建设步伐，激发江川承东启西、接转南北、辐射带动的潜力，形成全新的城市空间格局</w:t>
      </w:r>
      <w:r>
        <w:rPr>
          <w:rFonts w:hint="eastAsia" w:ascii="Times New Roman" w:hAnsi="Times New Roman" w:eastAsia="方正仿宋_GBK"/>
          <w:color w:val="auto"/>
          <w:sz w:val="32"/>
          <w:szCs w:val="32"/>
        </w:rPr>
        <w:t>。按照以城聚产、以产兴城、产城互动、同城一体的要求，突出滨湖、花园、文化特色，完善城市空间结构。</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二、实施城市生态修复塑造城市风貌</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坚持以资源环境承载能力为刚性约束条件，以建设美好人居环境为目标，合理确定城市规模、人口密度，优化城市布局，控制中心城区建设密度，促进公共服务设施合理布局。建立连续完整的生态基础设施标准和政策体系，完善城市生态系统，保护城市</w:t>
      </w:r>
      <w:r>
        <w:rPr>
          <w:rFonts w:hint="eastAsia" w:ascii="Times New Roman" w:hAnsi="Times New Roman" w:eastAsia="方正仿宋_GBK"/>
          <w:color w:val="auto"/>
          <w:sz w:val="32"/>
          <w:szCs w:val="32"/>
          <w:lang w:eastAsia="zh-CN"/>
        </w:rPr>
        <w:t>原有</w:t>
      </w:r>
      <w:r>
        <w:rPr>
          <w:rFonts w:hint="eastAsia" w:ascii="Times New Roman" w:hAnsi="Times New Roman" w:eastAsia="方正仿宋_GBK"/>
          <w:color w:val="auto"/>
          <w:sz w:val="32"/>
          <w:szCs w:val="32"/>
        </w:rPr>
        <w:t>自然风貌，修复河湖水系和湿地等水体，充分利用市政道路周边区域，打造城市</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带状公园</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口袋公园</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，提高城市绿化覆盖率，加强绿色生态网络建设。</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建立城市历史文化保护和传承体系，加大历史文化保护力度，保护具有历史文化价值的街区、建筑及影响地段的传统格局和风貌，推进历史文化遗产活化利用。开展城市设计工作，加强建筑设计管理，优化城市空间和建筑布局，加强新建高层建筑管控，加强公共空间界面管控，塑造各具特色、层次丰富、疏密有致、高低错落的城市空间形态，塑造城市时代特色风貌。</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三、加强城市基础设施建设</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构建快速路、主次干路和支路级配合理的城市路网系统</w:t>
      </w:r>
      <w:r>
        <w:rPr>
          <w:rFonts w:hint="eastAsia" w:ascii="Times New Roman" w:hAnsi="Times New Roman" w:eastAsia="方正仿宋_GBK"/>
          <w:color w:val="auto"/>
          <w:sz w:val="32"/>
          <w:szCs w:val="32"/>
          <w:lang w:eastAsia="zh-CN"/>
        </w:rPr>
        <w:t>，</w:t>
      </w:r>
      <w:r>
        <w:rPr>
          <w:rFonts w:hint="eastAsia" w:ascii="Times New Roman" w:hAnsi="Times New Roman" w:eastAsia="方正仿宋_GBK"/>
          <w:color w:val="auto"/>
          <w:sz w:val="32"/>
          <w:szCs w:val="32"/>
        </w:rPr>
        <w:t>优化道路线型，打通断头路</w:t>
      </w:r>
      <w:r>
        <w:rPr>
          <w:rFonts w:hint="eastAsia" w:ascii="Times New Roman" w:hAnsi="Times New Roman" w:eastAsia="方正仿宋_GBK"/>
          <w:color w:val="auto"/>
          <w:sz w:val="32"/>
          <w:szCs w:val="32"/>
          <w:lang w:eastAsia="zh-CN"/>
        </w:rPr>
        <w:t>，</w:t>
      </w:r>
      <w:r>
        <w:rPr>
          <w:rFonts w:hint="eastAsia" w:ascii="Times New Roman" w:hAnsi="Times New Roman" w:eastAsia="方正仿宋_GBK"/>
          <w:color w:val="auto"/>
          <w:sz w:val="32"/>
          <w:szCs w:val="32"/>
        </w:rPr>
        <w:t>提高次干路和支路的密度，加强城市道路维护管理，提高道路品质，提升通行能力。完善非机动车、行人交通系统及行人过街设施，建设满足舒适步行需求的城市慢行系统，合理规划建设公共停车场所。加快修复城市自然生态，加强排水管网维护和管理，实现垃圾转运和处理设施、公共厕所、洗手设施全达标、全覆盖。深入推进城镇污水处理提质增效行动，加快城市污水处理厂及配套管网建设，全面整治管网错接混接和雨污不分等问题，加强中水回用设施配套建设，统筹城市防洪排涝工作，科学规划和改造完善城市河道、堤防、水库、排水系统设施，加快建设和完善城市防洪排涝设施体系，推进海绵城市、地下综合管廊建设，加快完善城镇燃气管网及配套设施。</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四、加快推进老旧小区改造</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全面推进老旧小区改造工作，进一步摸清底数，合理确定改造内容，科学编制改造规划和年度改造计划，有序组织实施。不断健全统筹协调、居民参与、项目推进、长效管理等机制，建立改造资金政府与居民、社会力量合理共担机制，完善项目审批、技术标准、存量资源整合利用、财税金融土地支持等配套政策，确保改造工作顺利推进。对建成年代较早、失养失修失管、市政配套设施不完善、社区服务设施不健全、居民改造意愿强烈的老旧住宅小区（含单栋住宅楼）进行改造，推动建设安全健康、设施完善、管理有序的完整居住社区。</w:t>
      </w:r>
    </w:p>
    <w:p>
      <w:pPr>
        <w:pStyle w:val="4"/>
        <w:ind w:firstLine="0"/>
        <w:rPr>
          <w:b w:val="0"/>
          <w:bCs w:val="0"/>
          <w:color w:val="auto"/>
          <w:sz w:val="36"/>
        </w:rPr>
      </w:pPr>
      <w:bookmarkStart w:id="147" w:name="_Toc11350"/>
      <w:bookmarkStart w:id="148" w:name="_Toc446364487"/>
      <w:bookmarkStart w:id="149" w:name="_Toc11017"/>
      <w:bookmarkStart w:id="150" w:name="_Toc24635"/>
      <w:r>
        <w:rPr>
          <w:rFonts w:hint="eastAsia"/>
          <w:b w:val="0"/>
          <w:bCs w:val="0"/>
          <w:color w:val="auto"/>
          <w:sz w:val="36"/>
        </w:rPr>
        <w:t>第二十六章</w:t>
      </w:r>
      <w:r>
        <w:rPr>
          <w:b w:val="0"/>
          <w:bCs w:val="0"/>
          <w:color w:val="auto"/>
          <w:sz w:val="36"/>
        </w:rPr>
        <w:t xml:space="preserve">  </w:t>
      </w:r>
      <w:r>
        <w:rPr>
          <w:rFonts w:hint="eastAsia"/>
          <w:b w:val="0"/>
          <w:bCs w:val="0"/>
          <w:color w:val="auto"/>
          <w:sz w:val="36"/>
        </w:rPr>
        <w:t>促进城乡一体化发展</w:t>
      </w:r>
      <w:bookmarkEnd w:id="147"/>
      <w:bookmarkEnd w:id="148"/>
      <w:bookmarkEnd w:id="149"/>
      <w:bookmarkEnd w:id="150"/>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遵循自然规律、经济规律和社会规律，坚持城乡空间结构一体塑造，破除城乡要素自由流动的壁垒，促进城乡公共服务均等化，深入实施新型城镇化和乡村振兴战略，进一步调整优化城乡发展空间布局，完善以中心城区为核心、以小集镇为支撑、以农村新型社区为单元的城镇化体系，构建统筹城乡区域发展的良性互动格局。</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创新城乡规划编制理念，系统前瞻科学地谋划好人口、空间、生态、文化、交通、科技、产业等要素，科学修编城市总体规划，加快编制乡镇总体规划、村庄规划和城镇建设区控制性详细规划，做好建设项目修建性详细规划，编制历史文化名域（镇村街）保护规划、传统村落及风景名胜区保护和发展规划。依法加强城乡空间管制，切实维护城乡规划的严肃性、约束性和权威性，决不让任何一个新增建设项目脱离规划管控，决不让任何一间新建民房散落在规划以外，从整体上提高城市设计水平，彰显城市地域特征、民族特色和时代风貌。</w:t>
      </w:r>
    </w:p>
    <w:p>
      <w:pPr>
        <w:spacing w:line="560" w:lineRule="exact"/>
        <w:ind w:firstLine="640" w:firstLineChars="200"/>
        <w:rPr>
          <w:rFonts w:ascii="Times New Roman" w:hAnsi="Times New Roman" w:eastAsia="仿宋"/>
          <w:color w:val="auto"/>
          <w:sz w:val="32"/>
          <w:szCs w:val="32"/>
        </w:rPr>
      </w:pPr>
      <w:r>
        <w:rPr>
          <w:rFonts w:hint="eastAsia" w:ascii="Times New Roman" w:hAnsi="Times New Roman" w:eastAsia="方正仿宋_GBK"/>
          <w:color w:val="auto"/>
          <w:sz w:val="32"/>
          <w:szCs w:val="32"/>
        </w:rPr>
        <w:t>进一步提高城乡管理水平，建立健全管理长效机制，推进城乡管理规范化、精细化、智能化，持续巩固提升城乡建设和整治成果。明确城、镇、村功能定位，坚持城乡统筹、产城互动、节约集约、生态宜居、和谐发展，实现中心城区、重点城镇、新型农村协调发展、互促共进。大力推进绿色城镇建设，推动形成中心突出、布局合理、设施配套、协调发展、富有特色的现代城镇体系。把重点集镇作为推进城镇化的关键节点和重要支撑，培育一批中心集镇，抓好居民聚居点、新农村综合体建设，形成以城带乡、以工促农、工农互惠的城乡产业一体化格局。</w:t>
      </w:r>
    </w:p>
    <w:tbl>
      <w:tblPr>
        <w:tblStyle w:val="2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color w:val="auto"/>
              </w:rPr>
            </w:pPr>
            <w:r>
              <w:rPr>
                <w:rFonts w:hint="eastAsia" w:ascii="Times New Roman" w:hAnsi="Times New Roman" w:eastAsia="方正仿宋_GBK"/>
                <w:b/>
                <w:color w:val="auto"/>
                <w:sz w:val="32"/>
                <w:szCs w:val="28"/>
              </w:rPr>
              <w:t xml:space="preserve">专栏8： </w:t>
            </w:r>
            <w:r>
              <w:rPr>
                <w:rFonts w:ascii="Times New Roman" w:hAnsi="Times New Roman" w:eastAsia="方正仿宋_GBK"/>
                <w:b/>
                <w:color w:val="auto"/>
                <w:sz w:val="32"/>
                <w:szCs w:val="28"/>
              </w:rPr>
              <w:t>新型城镇化重点项目专栏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trPr>
        <w:tc>
          <w:tcPr>
            <w:tcW w:w="9060" w:type="dxa"/>
          </w:tcPr>
          <w:p>
            <w:pPr>
              <w:spacing w:line="360" w:lineRule="exact"/>
              <w:rPr>
                <w:rFonts w:ascii="Times New Roman" w:hAnsi="Times New Roman" w:eastAsia="方正仿宋_GBK"/>
                <w:color w:val="auto"/>
                <w:szCs w:val="21"/>
              </w:rPr>
            </w:pPr>
            <w:r>
              <w:rPr>
                <w:rFonts w:hint="eastAsia" w:ascii="Times New Roman" w:hAnsi="Times New Roman" w:eastAsia="方正仿宋_GBK"/>
                <w:b/>
                <w:color w:val="auto"/>
                <w:szCs w:val="21"/>
              </w:rPr>
              <w:t>美丽县城项目：</w:t>
            </w:r>
            <w:r>
              <w:rPr>
                <w:rFonts w:hint="eastAsia" w:ascii="Times New Roman" w:hAnsi="Times New Roman" w:eastAsia="方正仿宋_GBK"/>
                <w:color w:val="auto"/>
                <w:szCs w:val="21"/>
              </w:rPr>
              <w:t>江川区智慧停车场建设项目、城市公园绿地建设项目、江川区城市市政基础设施建设项目、宝凤路延长线（湖滨路—大庄路段）道路工程、江川建城区道路老旧路灯升级改造工程、江川区特色街区及外立面改造提升工程。</w:t>
            </w:r>
          </w:p>
          <w:p>
            <w:pPr>
              <w:spacing w:line="360" w:lineRule="exact"/>
              <w:rPr>
                <w:rFonts w:ascii="Times New Roman" w:hAnsi="Times New Roman" w:eastAsia="方正仿宋_GBK"/>
                <w:color w:val="auto"/>
                <w:szCs w:val="21"/>
              </w:rPr>
            </w:pPr>
            <w:r>
              <w:rPr>
                <w:rFonts w:ascii="Times New Roman" w:hAnsi="Times New Roman" w:eastAsia="方正仿宋_GBK"/>
                <w:b/>
                <w:color w:val="auto"/>
                <w:szCs w:val="21"/>
              </w:rPr>
              <w:t>特色小镇建设项目：</w:t>
            </w:r>
            <w:r>
              <w:rPr>
                <w:rFonts w:hint="eastAsia" w:ascii="Times New Roman" w:hAnsi="Times New Roman" w:eastAsia="方正仿宋_GBK"/>
                <w:color w:val="auto"/>
                <w:szCs w:val="21"/>
              </w:rPr>
              <w:t>江城星抚康养小镇、江川古滇青铜小镇、雄关物流小镇、九溪花卉科创小镇。</w:t>
            </w:r>
          </w:p>
          <w:p>
            <w:pPr>
              <w:spacing w:line="360" w:lineRule="exact"/>
              <w:rPr>
                <w:rFonts w:ascii="Times New Roman" w:hAnsi="Times New Roman" w:eastAsia="方正仿宋_GBK"/>
                <w:color w:val="auto"/>
                <w:szCs w:val="21"/>
              </w:rPr>
            </w:pPr>
            <w:r>
              <w:rPr>
                <w:rFonts w:hint="eastAsia" w:ascii="Times New Roman" w:hAnsi="Times New Roman" w:eastAsia="方正仿宋_GBK"/>
                <w:b/>
                <w:color w:val="auto"/>
                <w:szCs w:val="21"/>
              </w:rPr>
              <w:t>老旧小区改造项目：</w:t>
            </w:r>
            <w:r>
              <w:rPr>
                <w:rFonts w:hint="eastAsia" w:ascii="Times New Roman" w:hAnsi="Times New Roman" w:eastAsia="方正仿宋_GBK"/>
                <w:color w:val="auto"/>
                <w:szCs w:val="21"/>
              </w:rPr>
              <w:t>对辖区</w:t>
            </w:r>
            <w:r>
              <w:rPr>
                <w:rFonts w:hint="eastAsia" w:ascii="Times New Roman" w:hAnsi="Times New Roman" w:eastAsia="方正仿宋_GBK"/>
                <w:color w:val="auto"/>
                <w:szCs w:val="21"/>
                <w:highlight w:val="none"/>
              </w:rPr>
              <w:t>内</w:t>
            </w:r>
            <w:r>
              <w:rPr>
                <w:rFonts w:hint="eastAsia" w:ascii="Times New Roman" w:hAnsi="Times New Roman" w:eastAsia="方正仿宋_GBK"/>
                <w:color w:val="auto"/>
                <w:szCs w:val="21"/>
                <w:highlight w:val="none"/>
                <w:lang w:val="en-US" w:eastAsia="zh-CN"/>
              </w:rPr>
              <w:t>2005</w:t>
            </w:r>
            <w:r>
              <w:rPr>
                <w:rFonts w:hint="eastAsia" w:ascii="Times New Roman" w:hAnsi="Times New Roman" w:eastAsia="方正仿宋_GBK"/>
                <w:color w:val="auto"/>
                <w:szCs w:val="21"/>
                <w:highlight w:val="none"/>
              </w:rPr>
              <w:t>年前建成的</w:t>
            </w:r>
            <w:r>
              <w:rPr>
                <w:rFonts w:hint="eastAsia" w:ascii="Times New Roman" w:hAnsi="Times New Roman" w:eastAsia="方正仿宋_GBK"/>
                <w:color w:val="auto"/>
                <w:szCs w:val="21"/>
              </w:rPr>
              <w:t>配套设施不完善、环境脏乱差的老旧小区进行改造，计划改造剩余的40个小区。</w:t>
            </w:r>
          </w:p>
          <w:p>
            <w:pPr>
              <w:spacing w:line="360" w:lineRule="exact"/>
              <w:rPr>
                <w:rFonts w:ascii="Times New Roman" w:hAnsi="Times New Roman" w:eastAsia="方正仿宋_GBK"/>
                <w:color w:val="auto"/>
                <w:szCs w:val="21"/>
              </w:rPr>
            </w:pPr>
            <w:r>
              <w:rPr>
                <w:rFonts w:hint="eastAsia" w:ascii="Times New Roman" w:hAnsi="Times New Roman" w:eastAsia="方正仿宋_GBK"/>
                <w:b/>
                <w:color w:val="auto"/>
                <w:szCs w:val="21"/>
              </w:rPr>
              <w:t>棚户区改造项目：</w:t>
            </w:r>
            <w:r>
              <w:rPr>
                <w:rFonts w:hint="eastAsia" w:ascii="Times New Roman" w:hAnsi="Times New Roman" w:eastAsia="方正仿宋_GBK"/>
                <w:color w:val="auto"/>
                <w:szCs w:val="21"/>
              </w:rPr>
              <w:t>江城古镇棚户区改造、大街棚户区改造、建成区城中村改造等项目；</w:t>
            </w:r>
          </w:p>
          <w:p>
            <w:pPr>
              <w:spacing w:line="360" w:lineRule="exact"/>
              <w:rPr>
                <w:rFonts w:ascii="Times New Roman" w:hAnsi="Times New Roman" w:eastAsia="方正仿宋_GBK"/>
                <w:color w:val="auto"/>
                <w:szCs w:val="21"/>
              </w:rPr>
            </w:pPr>
            <w:r>
              <w:rPr>
                <w:rFonts w:ascii="Times New Roman" w:hAnsi="Times New Roman" w:eastAsia="方正仿宋_GBK"/>
                <w:b/>
                <w:color w:val="auto"/>
                <w:szCs w:val="21"/>
              </w:rPr>
              <w:t>市政基础设施项目：</w:t>
            </w:r>
            <w:r>
              <w:rPr>
                <w:rFonts w:hint="eastAsia" w:ascii="Times New Roman" w:hAnsi="Times New Roman" w:eastAsia="方正仿宋_GBK"/>
                <w:color w:val="auto"/>
                <w:szCs w:val="21"/>
              </w:rPr>
              <w:t>江川区城市道路提升改造工程、江川区雨污水主管网建设工程、江川区排水防涝工程、江川区城市西片区开发项目、</w:t>
            </w:r>
            <w:r>
              <w:rPr>
                <w:rFonts w:hint="eastAsia" w:ascii="Times New Roman" w:hAnsi="Times New Roman" w:eastAsia="方正仿宋_GBK"/>
                <w:color w:val="auto"/>
                <w:szCs w:val="21"/>
                <w:highlight w:val="none"/>
              </w:rPr>
              <w:t>江川区中心城区西片区防洪应急工程、</w:t>
            </w:r>
            <w:r>
              <w:rPr>
                <w:rFonts w:hint="eastAsia" w:ascii="Times New Roman" w:hAnsi="Times New Roman" w:eastAsia="方正仿宋_GBK"/>
                <w:color w:val="auto"/>
                <w:szCs w:val="21"/>
              </w:rPr>
              <w:t>江川区城市更新项目。</w:t>
            </w:r>
          </w:p>
          <w:p>
            <w:pPr>
              <w:spacing w:line="360" w:lineRule="exact"/>
              <w:rPr>
                <w:rFonts w:ascii="Calibri" w:hAnsi="Calibri"/>
                <w:color w:val="auto"/>
                <w:szCs w:val="21"/>
              </w:rPr>
            </w:pPr>
            <w:r>
              <w:rPr>
                <w:rFonts w:hint="eastAsia" w:ascii="Times New Roman" w:hAnsi="Times New Roman" w:eastAsia="方正仿宋_GBK"/>
                <w:b/>
                <w:color w:val="auto"/>
                <w:szCs w:val="21"/>
              </w:rPr>
              <w:t>商业地产项目</w:t>
            </w:r>
            <w:r>
              <w:rPr>
                <w:rFonts w:ascii="Times New Roman" w:hAnsi="Times New Roman" w:eastAsia="方正仿宋_GBK"/>
                <w:b/>
                <w:color w:val="auto"/>
                <w:szCs w:val="21"/>
              </w:rPr>
              <w:t>：</w:t>
            </w:r>
            <w:r>
              <w:rPr>
                <w:rFonts w:hint="eastAsia" w:ascii="Times New Roman" w:hAnsi="Times New Roman" w:eastAsia="方正仿宋_GBK"/>
                <w:bCs/>
                <w:color w:val="auto"/>
                <w:szCs w:val="21"/>
              </w:rPr>
              <w:t>星云首府、瀛景国际康养项目、玉江华庭、玉溪佳兴房地产开发有限公司江川城区五岔路口房地产项目。</w:t>
            </w:r>
          </w:p>
        </w:tc>
      </w:tr>
    </w:tbl>
    <w:p>
      <w:pPr>
        <w:spacing w:line="560" w:lineRule="exact"/>
        <w:ind w:firstLine="640" w:firstLineChars="200"/>
        <w:rPr>
          <w:rFonts w:ascii="Times New Roman" w:hAnsi="Times New Roman" w:eastAsia="方正仿宋_GBK"/>
          <w:color w:val="auto"/>
          <w:sz w:val="32"/>
          <w:szCs w:val="32"/>
        </w:rPr>
        <w:sectPr>
          <w:pgSz w:w="11906" w:h="16838"/>
          <w:pgMar w:top="1814" w:right="1531" w:bottom="2098" w:left="1531" w:header="851" w:footer="1417" w:gutter="0"/>
          <w:pgNumType w:fmt="decimal"/>
          <w:cols w:space="0" w:num="1"/>
          <w:rtlGutter w:val="0"/>
          <w:docGrid w:type="lines" w:linePitch="312" w:charSpace="0"/>
        </w:sectPr>
      </w:pPr>
    </w:p>
    <w:p>
      <w:pPr>
        <w:pStyle w:val="3"/>
        <w:rPr>
          <w:rFonts w:eastAsia="方正小标宋简体"/>
          <w:b w:val="0"/>
          <w:bCs w:val="0"/>
          <w:color w:val="auto"/>
          <w:spacing w:val="-17"/>
          <w:sz w:val="40"/>
        </w:rPr>
      </w:pPr>
      <w:bookmarkStart w:id="151" w:name="_Toc446364488"/>
      <w:bookmarkStart w:id="152" w:name="_Toc22817"/>
      <w:bookmarkStart w:id="153" w:name="_Toc6835"/>
      <w:bookmarkStart w:id="154" w:name="_Toc13389"/>
      <w:r>
        <w:rPr>
          <w:rFonts w:hint="eastAsia" w:eastAsia="方正小标宋简体"/>
          <w:b w:val="0"/>
          <w:bCs w:val="0"/>
          <w:color w:val="auto"/>
          <w:spacing w:val="-17"/>
          <w:sz w:val="40"/>
        </w:rPr>
        <w:t>第八篇　深入实施乡村振兴战略，促进城乡共同繁荣</w:t>
      </w:r>
      <w:bookmarkEnd w:id="151"/>
      <w:bookmarkEnd w:id="152"/>
      <w:bookmarkEnd w:id="153"/>
      <w:bookmarkEnd w:id="154"/>
    </w:p>
    <w:p>
      <w:pPr>
        <w:spacing w:line="560" w:lineRule="exact"/>
        <w:ind w:firstLine="640" w:firstLineChars="200"/>
        <w:rPr>
          <w:rFonts w:hint="eastAsia" w:ascii="Times New Roman" w:hAnsi="Times New Roman" w:eastAsia="方正仿宋_GBK"/>
          <w:color w:val="auto"/>
          <w:sz w:val="32"/>
          <w:szCs w:val="32"/>
        </w:rPr>
      </w:pPr>
      <w:bookmarkStart w:id="155" w:name="_Toc55540772"/>
      <w:r>
        <w:rPr>
          <w:rFonts w:hint="eastAsia" w:ascii="Times New Roman" w:hAnsi="Times New Roman" w:eastAsia="方正仿宋_GBK"/>
          <w:color w:val="auto"/>
          <w:sz w:val="32"/>
          <w:szCs w:val="32"/>
        </w:rPr>
        <w:t>坚持把解决好“三农”问题作为工作重中之重，坚持农业农村优先发展的总方针，深入实施乡村振兴战略，强化以工补农、以城带乡，落实乡村振兴“二十字”总要求，</w:t>
      </w:r>
      <w:r>
        <w:rPr>
          <w:rFonts w:ascii="Times New Roman" w:hAnsi="Times New Roman" w:eastAsia="方正仿宋_GBK"/>
          <w:color w:val="auto"/>
          <w:sz w:val="32"/>
          <w:szCs w:val="32"/>
        </w:rPr>
        <w:t>深入推进乡村振兴战略和农村人居环境整治行动，</w:t>
      </w:r>
      <w:r>
        <w:rPr>
          <w:rFonts w:hint="eastAsia" w:ascii="Times New Roman" w:hAnsi="Times New Roman" w:eastAsia="方正仿宋_GBK"/>
          <w:color w:val="auto"/>
          <w:sz w:val="32"/>
          <w:szCs w:val="32"/>
        </w:rPr>
        <w:t>以“六个明显变化”为着力点，贯彻落实《玉溪市江川区乡村振兴战略规划（</w:t>
      </w:r>
      <w:r>
        <w:rPr>
          <w:rFonts w:ascii="Times New Roman" w:hAnsi="Times New Roman" w:eastAsia="方正仿宋_GBK"/>
          <w:color w:val="auto"/>
          <w:sz w:val="32"/>
          <w:szCs w:val="32"/>
        </w:rPr>
        <w:t>2018-2022</w:t>
      </w:r>
      <w:r>
        <w:rPr>
          <w:rFonts w:hint="eastAsia" w:ascii="Times New Roman" w:hAnsi="Times New Roman" w:eastAsia="方正仿宋_GBK"/>
          <w:color w:val="auto"/>
          <w:sz w:val="32"/>
          <w:szCs w:val="32"/>
        </w:rPr>
        <w:t>）》，持续实施基础设施、产业发展、民生保障、精神文化、生态治理等提升工程，推动形成工农互促、城乡互补、协调发展、共同繁荣的新型工农城乡关系，推动江川乡村振兴走在全市、全省前列，推进农业农村现代化。</w:t>
      </w:r>
    </w:p>
    <w:p>
      <w:pPr>
        <w:pStyle w:val="4"/>
        <w:rPr>
          <w:b w:val="0"/>
          <w:bCs w:val="0"/>
          <w:color w:val="auto"/>
          <w:sz w:val="36"/>
        </w:rPr>
      </w:pPr>
      <w:bookmarkStart w:id="156" w:name="_Toc29166"/>
      <w:bookmarkStart w:id="157" w:name="_Toc446364489"/>
      <w:bookmarkStart w:id="158" w:name="_Toc31015"/>
      <w:bookmarkStart w:id="159" w:name="_Toc24098"/>
      <w:r>
        <w:rPr>
          <w:rFonts w:hint="eastAsia"/>
          <w:b w:val="0"/>
          <w:bCs w:val="0"/>
          <w:color w:val="auto"/>
          <w:sz w:val="36"/>
        </w:rPr>
        <w:t>第二十七章</w:t>
      </w:r>
      <w:r>
        <w:rPr>
          <w:b w:val="0"/>
          <w:bCs w:val="0"/>
          <w:color w:val="auto"/>
          <w:sz w:val="36"/>
        </w:rPr>
        <w:t xml:space="preserve">  </w:t>
      </w:r>
      <w:r>
        <w:rPr>
          <w:rFonts w:hint="eastAsia"/>
          <w:b w:val="0"/>
          <w:bCs w:val="0"/>
          <w:color w:val="auto"/>
          <w:sz w:val="36"/>
        </w:rPr>
        <w:t>巩固拓展脱贫攻坚成果</w:t>
      </w:r>
      <w:bookmarkEnd w:id="156"/>
      <w:bookmarkEnd w:id="157"/>
      <w:bookmarkEnd w:id="158"/>
      <w:bookmarkEnd w:id="159"/>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坚决守住脱贫攻坚成果，做好巩固拓展脱贫攻坚成果同乡村振兴有效衔接，继续实行“摘帽不摘责任、摘帽不摘政策、摘帽不摘帮扶、摘帽不摘监管”的“四个不摘”政策措施，保持主要帮扶政策总体稳定，做到工作不留空档，政策不留空白，处理好长期目标和短期目标、顶层设计和基层探索、精准扶贫和内生动力三大关系，全面巩固脱贫成果，提升脱贫质量。</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将巩固拓展脱贫攻坚成果放在全区经济社会发展的突出位置，以实现巩固拓展脱贫攻坚成果同乡村振兴有效衔接为主线，以脱贫攻坚成果巩固拓展、防止返贫致贫为目标，建立农村低收入人口和欠发达地区帮扶长效机制，把巩固拓展脱贫攻坚成果作为为乡村振兴的优先任务、把脱贫地区作为乡村振兴的优先地区，把脱贫人口作为乡村振兴的优先群体，加强组织领导、完善帮扶机制，强化支持重点，抓好美好生活重点帮扶村和集体经济先行示范村两项工程，深入实施乡村特色产业帮扶、稳定就业帮扶、生态经济发展、乡村基础设施建设、乡村公共服务提升五大工程。</w:t>
      </w:r>
    </w:p>
    <w:p>
      <w:pPr>
        <w:pStyle w:val="4"/>
        <w:rPr>
          <w:b w:val="0"/>
          <w:bCs w:val="0"/>
          <w:color w:val="auto"/>
          <w:sz w:val="36"/>
        </w:rPr>
      </w:pPr>
      <w:bookmarkStart w:id="160" w:name="_Toc60042395"/>
      <w:bookmarkStart w:id="161" w:name="_Toc20558"/>
      <w:bookmarkStart w:id="162" w:name="_Toc18946"/>
      <w:bookmarkStart w:id="163" w:name="_Toc446364490"/>
      <w:bookmarkStart w:id="164" w:name="_Toc27829"/>
      <w:r>
        <w:rPr>
          <w:rFonts w:hint="eastAsia"/>
          <w:b w:val="0"/>
          <w:bCs w:val="0"/>
          <w:color w:val="auto"/>
          <w:sz w:val="36"/>
        </w:rPr>
        <w:t>第二十八章　</w:t>
      </w:r>
      <w:bookmarkEnd w:id="160"/>
      <w:r>
        <w:rPr>
          <w:rFonts w:hint="eastAsia"/>
          <w:b w:val="0"/>
          <w:bCs w:val="0"/>
          <w:color w:val="auto"/>
          <w:sz w:val="36"/>
        </w:rPr>
        <w:t>提高农业质量效益和竞争力</w:t>
      </w:r>
      <w:bookmarkEnd w:id="161"/>
      <w:bookmarkEnd w:id="162"/>
      <w:bookmarkEnd w:id="163"/>
      <w:bookmarkEnd w:id="164"/>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提高农业质量效益和竞争力，是保障农产品安全的战略举措，是推动乡村振兴产业振兴的重要途径，也是推进农业农村现代化的重要任务。</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一、深入实施藏粮于地、藏粮于技战略</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严格执行耕地保护制度，坚决守住耕地红线，强化资源管控，完善约束政策，加快构建乡村资源可持续发展的制度体系，明确国土资源开发红线，实现资源有序开发，实施高标准农田建设、土地整治、农业综合开发田间工程等农业基础设施建设项目，开展农田整治，完善机耕道路，提高农田综合生产能力。科学规划设计，将工程措施和生物农艺措施有机结合，集中连片打造高稳产农田。结合烟水工程的开展，加强小水窖等农田水利基础设施建设，增加农田有效灌溉面积。</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二、持续深化农业供给侧结构性改革</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以适应人民群众高品质生活新需求为目标，推动农产品供给从“有”向“好”转变，着力构建现代农业产业体系、生产体系、经营体系、走产出高效、产品安全、资源节约、环境友好的农业现代化道路。优化乡村布局，科学有序布局农业开发空间，围绕云南打造世界一流“绿色食品牌”部署，以绿色优质、品牌特色、智慧高效为导向，走质量兴农、绿色兴农之路，加快发展外向型农业，积极拓展“互联网</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农业”，全力打造“蔬菜、烤烟、花卉、渔业”四条产业链，培育壮大农产品加工企业，不断提升高原特色农业生产能力和市场竞争力。</w:t>
      </w:r>
    </w:p>
    <w:p>
      <w:pPr>
        <w:spacing w:line="56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三、推动农村三产融合发展</w:t>
      </w:r>
    </w:p>
    <w:p>
      <w:pPr>
        <w:spacing w:line="560" w:lineRule="exact"/>
        <w:ind w:firstLine="640" w:firstLineChars="200"/>
        <w:rPr>
          <w:rFonts w:hint="eastAsia" w:ascii="Times New Roman" w:hAnsi="Times New Roman" w:eastAsia="方正仿宋_GBK"/>
          <w:color w:val="auto"/>
          <w:sz w:val="32"/>
          <w:szCs w:val="32"/>
        </w:rPr>
      </w:pPr>
      <w:r>
        <w:rPr>
          <w:rFonts w:ascii="Times New Roman" w:hAnsi="Times New Roman" w:eastAsia="方正仿宋_GBK"/>
          <w:color w:val="auto"/>
          <w:sz w:val="32"/>
          <w:szCs w:val="32"/>
        </w:rPr>
        <w:t>把发展农村生产力放在突出位置，持续推进农业供给侧结构性改革，</w:t>
      </w:r>
      <w:r>
        <w:rPr>
          <w:rFonts w:hint="eastAsia" w:ascii="Times New Roman" w:hAnsi="Times New Roman" w:eastAsia="方正仿宋_GBK"/>
          <w:color w:val="auto"/>
          <w:sz w:val="32"/>
          <w:szCs w:val="32"/>
        </w:rPr>
        <w:t>大力推进“一村一业、一村一品”建设，积极推进“一县一业”优势特色产品发展，加大</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三品一标</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认证力度，培育壮大农产品加工企业，不断提升高原特色农业生产能力和市场竞争力。</w:t>
      </w:r>
      <w:r>
        <w:rPr>
          <w:rFonts w:ascii="Times New Roman" w:hAnsi="Times New Roman" w:eastAsia="方正仿宋_GBK"/>
          <w:color w:val="auto"/>
          <w:sz w:val="32"/>
          <w:szCs w:val="32"/>
        </w:rPr>
        <w:t>继续发挥红塔集团“第一车间”的优势，不断提高优质烟叶原料保障水平，擦亮江川“云烟之乡”名片，做强“云菜”品牌，同时加大花卉、渔业、林下经济等成熟度高的主导特色产业扶持力度，优化产业布局，调整产业结构，提高传统优势产业发展的质量和效益，发挥农业“接二连三”的作用，产出更多优质化、绿色化、品牌化的农特产品，引导高原特色蔬菜、精品花卉等农产品走出江川，进入国内国际大循环系统，不断增强农业农村经济发展新动能。</w:t>
      </w:r>
    </w:p>
    <w:p>
      <w:pPr>
        <w:pStyle w:val="4"/>
        <w:rPr>
          <w:b w:val="0"/>
          <w:bCs w:val="0"/>
          <w:color w:val="auto"/>
          <w:sz w:val="36"/>
        </w:rPr>
      </w:pPr>
      <w:bookmarkStart w:id="165" w:name="_Toc60042396"/>
      <w:bookmarkStart w:id="166" w:name="_Toc446364491"/>
      <w:bookmarkStart w:id="167" w:name="_Toc30508"/>
      <w:bookmarkStart w:id="168" w:name="_Toc26080"/>
      <w:bookmarkStart w:id="169" w:name="_Toc25141"/>
      <w:r>
        <w:rPr>
          <w:rFonts w:hint="eastAsia"/>
          <w:b w:val="0"/>
          <w:bCs w:val="0"/>
          <w:color w:val="auto"/>
          <w:sz w:val="36"/>
        </w:rPr>
        <w:t>第二十九章　</w:t>
      </w:r>
      <w:bookmarkEnd w:id="165"/>
      <w:r>
        <w:rPr>
          <w:rFonts w:hint="eastAsia"/>
          <w:b w:val="0"/>
          <w:bCs w:val="0"/>
          <w:color w:val="auto"/>
          <w:sz w:val="36"/>
        </w:rPr>
        <w:t>实施乡村建设行动</w:t>
      </w:r>
      <w:bookmarkEnd w:id="166"/>
      <w:bookmarkEnd w:id="167"/>
      <w:bookmarkEnd w:id="168"/>
      <w:bookmarkEnd w:id="169"/>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牢固树立农业农村优先发展政策导向，把乡村建设摆在社会主义现代化建设的重要位置，加快推进乡村全面振兴，要抢抓机遇，对标“百千万”入选要求，积极主动实施乡村建设行动，把乡村建设成为与城市共生共荣、各美其美的美好家园。</w:t>
      </w:r>
    </w:p>
    <w:p>
      <w:pPr>
        <w:spacing w:line="54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一、科学推进乡村规划建设</w:t>
      </w:r>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统筹中心城区、城镇和村庄规划建设，促进区域内整体提升和均衡发展，综合考虑土地利用、产业发展</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居民点布局、生态保护和历史文化传承等因素，适应村庄发展演变规律，科学布局乡村生产生活生态空间，推动多规合一的实用性村庄规划全覆盖，落实全省美丽乡村建设万村示范行动，分类推进城郊融合型、集聚提升型、特色保护型村庄发展，强化村镇规划管控，强化乡村建设规划许可和服务管理，规划设计融入江川文化元素，实施村庄、集镇风貌管控，促进村庄规划建设许可制度严格落实，加大村容村貌提升力度，健全常态化人居环境整治监管机制。</w:t>
      </w:r>
    </w:p>
    <w:p>
      <w:pPr>
        <w:spacing w:line="54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二、持续提升乡村宜居水平</w:t>
      </w:r>
    </w:p>
    <w:p>
      <w:pPr>
        <w:spacing w:line="54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牢固树立绿水青山就是金山银山的理念，以省级可持续发展实验区和文明乡镇创建为依托，坚守生态底线、严格生态保护、强化环境治理、坚决打好打赢污染防治攻坚战，做好乡村人居环境整治提升工作，挖掘生态经济潜力，实现农村生态环境保护和农村经济发展有机融合，打造人与自然和谐共生的生态宜居江川美丽乡村。</w:t>
      </w:r>
      <w:r>
        <w:rPr>
          <w:rFonts w:hint="eastAsia" w:ascii="Times New Roman" w:hAnsi="Times New Roman" w:eastAsia="方正仿宋_GBK"/>
          <w:color w:val="auto"/>
          <w:sz w:val="32"/>
          <w:szCs w:val="32"/>
        </w:rPr>
        <w:t>深入实施村庄基础设施改善工程，加快推动水、电、路、气、通信、广播电视等传统基础设施提档升级，逐渐形成布局合理、城乡互通的基础设施体系，健全运营管护长效机制，满足农村居民对高质量农业生产、高品质美好生活的现实需要；加强农村生态环境治理，实施生态循环农业工程，深化农村人居环境巩固提升行动，常态化开展“</w:t>
      </w:r>
      <w:r>
        <w:rPr>
          <w:rFonts w:ascii="Times New Roman" w:hAnsi="Times New Roman" w:eastAsia="方正仿宋_GBK"/>
          <w:color w:val="auto"/>
          <w:sz w:val="32"/>
          <w:szCs w:val="32"/>
        </w:rPr>
        <w:t>520</w:t>
      </w:r>
      <w:r>
        <w:rPr>
          <w:rFonts w:hint="eastAsia" w:ascii="Times New Roman" w:hAnsi="Times New Roman" w:eastAsia="方正仿宋_GBK"/>
          <w:color w:val="auto"/>
          <w:sz w:val="32"/>
          <w:szCs w:val="32"/>
        </w:rPr>
        <w:t>”美丽家园环境整治。加大村容村貌提升力度，保留乡村历史记忆，塑造富有地域特色、民族特征的村庄风貌和建筑风格，打造一批历史底蕴厚重、时代特色鲜明的宜居乡村。</w:t>
      </w:r>
    </w:p>
    <w:p>
      <w:pPr>
        <w:spacing w:line="54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三、推升乡村社会</w:t>
      </w:r>
      <w:r>
        <w:rPr>
          <w:rFonts w:ascii="Times New Roman" w:hAnsi="Times New Roman" w:eastAsia="黑体"/>
          <w:color w:val="auto"/>
          <w:sz w:val="32"/>
          <w:szCs w:val="32"/>
        </w:rPr>
        <w:t>治理</w:t>
      </w:r>
      <w:r>
        <w:rPr>
          <w:rFonts w:hint="eastAsia" w:ascii="Times New Roman" w:hAnsi="Times New Roman" w:eastAsia="黑体"/>
          <w:color w:val="auto"/>
          <w:sz w:val="32"/>
          <w:szCs w:val="32"/>
        </w:rPr>
        <w:t>水平</w:t>
      </w:r>
    </w:p>
    <w:p>
      <w:pPr>
        <w:spacing w:line="54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坚持自治、法治、德治相结合，健全现代乡村社会治理体制，打造共建共治共享的乡村善治格局，确保乡村社会持续稳定、充满活力、和谐有序、民族团结，深化平安江川建设。围绕农民最关心、最直接、最现实的利益问题，抓重点、补短板、强弱项，</w:t>
      </w:r>
      <w:r>
        <w:rPr>
          <w:rFonts w:hint="eastAsia" w:ascii="Times New Roman" w:hAnsi="Times New Roman" w:eastAsia="方正仿宋_GBK"/>
          <w:color w:val="auto"/>
          <w:sz w:val="32"/>
          <w:szCs w:val="32"/>
        </w:rPr>
        <w:t>着力构建</w:t>
      </w:r>
      <w:r>
        <w:rPr>
          <w:rFonts w:hint="eastAsia" w:ascii="Times New Roman" w:hAnsi="Times New Roman" w:eastAsia="方正仿宋_GBK"/>
          <w:color w:val="auto"/>
          <w:sz w:val="32"/>
          <w:szCs w:val="32"/>
          <w:lang w:eastAsia="zh-CN"/>
        </w:rPr>
        <w:t>区</w:t>
      </w:r>
      <w:r>
        <w:rPr>
          <w:rFonts w:hint="eastAsia" w:ascii="Times New Roman" w:hAnsi="Times New Roman" w:eastAsia="方正仿宋_GBK"/>
          <w:color w:val="auto"/>
          <w:sz w:val="32"/>
          <w:szCs w:val="32"/>
        </w:rPr>
        <w:t>域统筹规划布局、</w:t>
      </w:r>
      <w:r>
        <w:rPr>
          <w:rFonts w:hint="eastAsia" w:ascii="Times New Roman" w:hAnsi="Times New Roman" w:eastAsia="方正仿宋_GBK"/>
          <w:color w:val="auto"/>
          <w:sz w:val="32"/>
          <w:szCs w:val="32"/>
          <w:lang w:eastAsia="zh-CN"/>
        </w:rPr>
        <w:t>区</w:t>
      </w:r>
      <w:r>
        <w:rPr>
          <w:rFonts w:hint="eastAsia" w:ascii="Times New Roman" w:hAnsi="Times New Roman" w:eastAsia="方正仿宋_GBK"/>
          <w:color w:val="auto"/>
          <w:sz w:val="32"/>
          <w:szCs w:val="32"/>
        </w:rPr>
        <w:t>乡村功能衔接互补的公共服务体系，提升城乡公共服务均等化水平，强化</w:t>
      </w:r>
      <w:r>
        <w:rPr>
          <w:rFonts w:hint="eastAsia" w:ascii="Times New Roman" w:hAnsi="Times New Roman" w:eastAsia="方正仿宋_GBK"/>
          <w:color w:val="auto"/>
          <w:sz w:val="32"/>
          <w:szCs w:val="32"/>
          <w:lang w:eastAsia="zh-CN"/>
        </w:rPr>
        <w:t>城区</w:t>
      </w:r>
      <w:r>
        <w:rPr>
          <w:rFonts w:hint="eastAsia" w:ascii="Times New Roman" w:hAnsi="Times New Roman" w:eastAsia="方正仿宋_GBK"/>
          <w:color w:val="auto"/>
          <w:sz w:val="32"/>
          <w:szCs w:val="32"/>
        </w:rPr>
        <w:t>综合服务能力，加强乡镇公共服务功能，实现教育、医疗、卫生等公共服务资源在</w:t>
      </w:r>
      <w:r>
        <w:rPr>
          <w:rFonts w:hint="eastAsia" w:ascii="Times New Roman" w:hAnsi="Times New Roman" w:eastAsia="方正仿宋_GBK"/>
          <w:color w:val="auto"/>
          <w:sz w:val="32"/>
          <w:szCs w:val="32"/>
          <w:lang w:eastAsia="zh-CN"/>
        </w:rPr>
        <w:t>区</w:t>
      </w:r>
      <w:r>
        <w:rPr>
          <w:rFonts w:hint="eastAsia" w:ascii="Times New Roman" w:hAnsi="Times New Roman" w:eastAsia="方正仿宋_GBK"/>
          <w:color w:val="auto"/>
          <w:sz w:val="32"/>
          <w:szCs w:val="32"/>
        </w:rPr>
        <w:t>内优化配置，以</w:t>
      </w:r>
      <w:r>
        <w:rPr>
          <w:rFonts w:ascii="Times New Roman" w:hAnsi="Times New Roman" w:eastAsia="方正仿宋_GBK"/>
          <w:color w:val="auto"/>
          <w:sz w:val="32"/>
          <w:szCs w:val="32"/>
        </w:rPr>
        <w:t>农民群众的获得感、幸福感</w:t>
      </w:r>
      <w:r>
        <w:rPr>
          <w:rFonts w:hint="eastAsia" w:ascii="Times New Roman" w:hAnsi="Times New Roman" w:eastAsia="方正仿宋_GBK"/>
          <w:color w:val="auto"/>
          <w:sz w:val="32"/>
          <w:szCs w:val="32"/>
        </w:rPr>
        <w:t>、安全感</w:t>
      </w:r>
      <w:r>
        <w:rPr>
          <w:rFonts w:ascii="Times New Roman" w:hAnsi="Times New Roman" w:eastAsia="方正仿宋_GBK"/>
          <w:color w:val="auto"/>
          <w:sz w:val="32"/>
          <w:szCs w:val="32"/>
        </w:rPr>
        <w:t>为标尺，把乡村建设成幸福美丽新家园</w:t>
      </w:r>
      <w:r>
        <w:rPr>
          <w:rFonts w:hint="eastAsia" w:ascii="Times New Roman" w:hAnsi="Times New Roman" w:eastAsia="方正仿宋_GBK"/>
          <w:color w:val="auto"/>
          <w:sz w:val="32"/>
          <w:szCs w:val="32"/>
        </w:rPr>
        <w:t>。</w:t>
      </w:r>
    </w:p>
    <w:p>
      <w:pPr>
        <w:spacing w:line="540" w:lineRule="exact"/>
        <w:ind w:firstLine="640" w:firstLineChars="200"/>
        <w:rPr>
          <w:rFonts w:ascii="Times New Roman" w:hAnsi="Times New Roman" w:eastAsia="黑体"/>
          <w:color w:val="auto"/>
          <w:sz w:val="32"/>
          <w:szCs w:val="32"/>
        </w:rPr>
      </w:pPr>
      <w:r>
        <w:rPr>
          <w:rFonts w:hint="eastAsia" w:ascii="Times New Roman" w:hAnsi="Times New Roman" w:eastAsia="黑体"/>
          <w:color w:val="auto"/>
          <w:sz w:val="32"/>
          <w:szCs w:val="32"/>
        </w:rPr>
        <w:t>四、开展乡风文明建设</w:t>
      </w:r>
    </w:p>
    <w:p>
      <w:pPr>
        <w:spacing w:line="540" w:lineRule="exact"/>
        <w:ind w:firstLine="640" w:firstLineChars="200"/>
        <w:rPr>
          <w:rFonts w:ascii="Times New Roman" w:hAnsi="Times New Roman" w:eastAsia="黑体"/>
          <w:color w:val="auto"/>
          <w:sz w:val="32"/>
          <w:szCs w:val="32"/>
        </w:rPr>
      </w:pPr>
      <w:r>
        <w:rPr>
          <w:rFonts w:hint="eastAsia" w:ascii="Times New Roman" w:hAnsi="Times New Roman" w:eastAsia="方正仿宋_GBK"/>
          <w:color w:val="auto"/>
          <w:sz w:val="32"/>
          <w:szCs w:val="32"/>
        </w:rPr>
        <w:t>加强社会主义精神文明建设，加强农村思想道德建设，弘扬和践行社会主义核心价值观，</w:t>
      </w:r>
      <w:r>
        <w:rPr>
          <w:rFonts w:ascii="Times New Roman" w:hAnsi="Times New Roman" w:eastAsia="方正仿宋_GBK"/>
          <w:color w:val="auto"/>
          <w:sz w:val="32"/>
          <w:szCs w:val="32"/>
        </w:rPr>
        <w:t>以</w:t>
      </w:r>
      <w:r>
        <w:rPr>
          <w:rFonts w:hint="eastAsia" w:ascii="Times New Roman" w:hAnsi="Times New Roman" w:eastAsia="方正仿宋_GBK"/>
          <w:color w:val="auto"/>
          <w:sz w:val="32"/>
          <w:szCs w:val="32"/>
        </w:rPr>
        <w:t>保护</w:t>
      </w:r>
      <w:r>
        <w:rPr>
          <w:rFonts w:ascii="Times New Roman" w:hAnsi="Times New Roman" w:eastAsia="方正仿宋_GBK"/>
          <w:color w:val="auto"/>
          <w:sz w:val="32"/>
          <w:szCs w:val="32"/>
        </w:rPr>
        <w:t>传承</w:t>
      </w:r>
      <w:r>
        <w:rPr>
          <w:rFonts w:hint="eastAsia" w:ascii="Times New Roman" w:hAnsi="Times New Roman" w:eastAsia="方正仿宋_GBK"/>
          <w:color w:val="auto"/>
          <w:sz w:val="32"/>
          <w:szCs w:val="32"/>
        </w:rPr>
        <w:t>发展</w:t>
      </w:r>
      <w:r>
        <w:rPr>
          <w:rFonts w:ascii="Times New Roman" w:hAnsi="Times New Roman" w:eastAsia="方正仿宋_GBK"/>
          <w:color w:val="auto"/>
          <w:sz w:val="32"/>
          <w:szCs w:val="32"/>
        </w:rPr>
        <w:t>江川悠久的古滇、青铜、渔耕、白药等优秀历史文化为核心，以乡村公共文化服务体系建设为载体，</w:t>
      </w:r>
      <w:r>
        <w:rPr>
          <w:rFonts w:hint="eastAsia" w:ascii="Times New Roman" w:hAnsi="Times New Roman" w:eastAsia="方正仿宋_GBK"/>
          <w:color w:val="auto"/>
          <w:sz w:val="32"/>
          <w:szCs w:val="32"/>
        </w:rPr>
        <w:t>深入挖掘乡贤文化，将社会公德、家庭美德、个人品德建设融入乡村文化建设，遏制陈规陋习、狠刹歪风邪气、推进移风易俗，形成文明乡风、良好家风、淳朴民风</w:t>
      </w:r>
      <w:r>
        <w:rPr>
          <w:rFonts w:ascii="Times New Roman" w:hAnsi="Times New Roman" w:eastAsia="方正仿宋_GBK"/>
          <w:color w:val="auto"/>
          <w:sz w:val="32"/>
          <w:szCs w:val="32"/>
        </w:rPr>
        <w:t>，推动乡村文化振兴，培育节庆文化产品，建设文明乡村。</w:t>
      </w:r>
    </w:p>
    <w:p>
      <w:pPr>
        <w:spacing w:line="540" w:lineRule="exact"/>
        <w:ind w:firstLine="640" w:firstLineChars="200"/>
        <w:rPr>
          <w:rFonts w:ascii="Times New Roman" w:hAnsi="Times New Roman" w:eastAsia="黑体"/>
          <w:b w:val="0"/>
          <w:bCs/>
          <w:color w:val="auto"/>
          <w:sz w:val="32"/>
          <w:szCs w:val="32"/>
        </w:rPr>
      </w:pPr>
      <w:bookmarkStart w:id="170" w:name="_Toc60042397"/>
      <w:r>
        <w:rPr>
          <w:rFonts w:hint="eastAsia" w:ascii="Times New Roman" w:hAnsi="Times New Roman" w:eastAsia="黑体"/>
          <w:color w:val="auto"/>
          <w:sz w:val="32"/>
          <w:szCs w:val="32"/>
        </w:rPr>
        <w:t>五、</w:t>
      </w:r>
      <w:r>
        <w:rPr>
          <w:rFonts w:hint="eastAsia" w:ascii="Times New Roman" w:hAnsi="Times New Roman" w:eastAsia="黑体"/>
          <w:b w:val="0"/>
          <w:bCs/>
          <w:color w:val="auto"/>
          <w:sz w:val="32"/>
          <w:szCs w:val="32"/>
        </w:rPr>
        <w:t>加强农村生态环境治理</w:t>
      </w:r>
      <w:bookmarkEnd w:id="170"/>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加强农村突出环境问题综合治理，加强农业面源污染防治，开展农业绿色发展行动，实现投入减量化、生产清洁化、废弃物资源化、产业模式生态化。加强农业资源环境管控，节约集约利用资源，实施生态循环农业工程，推广农牧结合循环经济发展模式，加大污染管控和修复治理力度，推进农业清洁生产，有效治理农业生产环境。推进星云湖南岸乡村振兴示范区的生态修复、服务休闲功能建设，打造星云湖南岸成为集乡村旅游、民宿民居、生态种植、振兴经济为一体的生态景观廊道。</w:t>
      </w:r>
    </w:p>
    <w:p>
      <w:pPr>
        <w:pStyle w:val="4"/>
        <w:spacing w:line="540" w:lineRule="exact"/>
        <w:rPr>
          <w:b w:val="0"/>
          <w:bCs w:val="0"/>
          <w:color w:val="auto"/>
          <w:sz w:val="36"/>
        </w:rPr>
      </w:pPr>
      <w:bookmarkStart w:id="171" w:name="_Toc21000"/>
      <w:bookmarkStart w:id="172" w:name="_Toc446364492"/>
      <w:bookmarkStart w:id="173" w:name="_Toc9072"/>
      <w:bookmarkStart w:id="174" w:name="_Toc3516"/>
      <w:r>
        <w:rPr>
          <w:rFonts w:hint="eastAsia"/>
          <w:b w:val="0"/>
          <w:bCs w:val="0"/>
          <w:color w:val="auto"/>
          <w:sz w:val="36"/>
        </w:rPr>
        <w:t>第三十章</w:t>
      </w:r>
      <w:r>
        <w:rPr>
          <w:b w:val="0"/>
          <w:bCs w:val="0"/>
          <w:color w:val="auto"/>
          <w:sz w:val="36"/>
        </w:rPr>
        <w:t xml:space="preserve">  </w:t>
      </w:r>
      <w:r>
        <w:rPr>
          <w:rFonts w:hint="eastAsia"/>
          <w:b w:val="0"/>
          <w:bCs w:val="0"/>
          <w:color w:val="auto"/>
          <w:sz w:val="36"/>
        </w:rPr>
        <w:t>深化农村改革</w:t>
      </w:r>
      <w:bookmarkEnd w:id="171"/>
      <w:bookmarkEnd w:id="172"/>
      <w:bookmarkEnd w:id="173"/>
      <w:bookmarkEnd w:id="174"/>
    </w:p>
    <w:p>
      <w:pPr>
        <w:spacing w:line="540" w:lineRule="exact"/>
        <w:ind w:firstLine="640" w:firstLineChars="200"/>
        <w:rPr>
          <w:rFonts w:hint="eastAsia"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深化农村改革，推进农业农村现代化，激活农村资源要素，破除制约农业农村发展的制度障碍，拓展农村集体经济发展路径，改变农村要素单向流出格局，激发农村发展强劲内生动力</w:t>
      </w:r>
      <w:r>
        <w:rPr>
          <w:rFonts w:hint="eastAsia" w:ascii="Times New Roman" w:hAnsi="Times New Roman" w:eastAsia="方正仿宋_GBK"/>
          <w:color w:val="auto"/>
          <w:sz w:val="32"/>
          <w:szCs w:val="32"/>
        </w:rPr>
        <w:t>。</w:t>
      </w:r>
    </w:p>
    <w:p>
      <w:pPr>
        <w:spacing w:line="540" w:lineRule="exact"/>
        <w:ind w:firstLine="640" w:firstLineChars="200"/>
        <w:rPr>
          <w:rFonts w:hint="eastAsia" w:ascii="Times New Roman" w:hAnsi="Times New Roman" w:eastAsia="黑体"/>
          <w:color w:val="auto"/>
          <w:sz w:val="32"/>
          <w:szCs w:val="32"/>
        </w:rPr>
      </w:pPr>
      <w:r>
        <w:rPr>
          <w:rFonts w:hint="eastAsia" w:ascii="Times New Roman" w:hAnsi="Times New Roman" w:eastAsia="黑体"/>
          <w:color w:val="auto"/>
          <w:sz w:val="32"/>
          <w:szCs w:val="32"/>
          <w:highlight w:val="none"/>
        </w:rPr>
        <w:t>一、</w:t>
      </w:r>
      <w:r>
        <w:rPr>
          <w:rFonts w:hint="eastAsia" w:ascii="Times New Roman" w:hAnsi="Times New Roman" w:eastAsia="黑体"/>
          <w:color w:val="auto"/>
          <w:sz w:val="32"/>
          <w:szCs w:val="32"/>
        </w:rPr>
        <w:t>深化</w:t>
      </w:r>
      <w:r>
        <w:rPr>
          <w:rFonts w:hint="eastAsia" w:ascii="Times New Roman" w:hAnsi="Times New Roman" w:eastAsia="黑体"/>
          <w:color w:val="auto"/>
          <w:sz w:val="32"/>
          <w:szCs w:val="32"/>
          <w:highlight w:val="none"/>
        </w:rPr>
        <w:t>农村土地</w:t>
      </w:r>
      <w:r>
        <w:rPr>
          <w:rFonts w:hint="eastAsia" w:ascii="Times New Roman" w:hAnsi="Times New Roman" w:eastAsia="黑体"/>
          <w:color w:val="auto"/>
          <w:sz w:val="32"/>
          <w:szCs w:val="32"/>
        </w:rPr>
        <w:t>制度</w:t>
      </w:r>
      <w:r>
        <w:rPr>
          <w:rFonts w:hint="eastAsia" w:ascii="Times New Roman" w:hAnsi="Times New Roman" w:eastAsia="黑体"/>
          <w:color w:val="auto"/>
          <w:sz w:val="32"/>
          <w:szCs w:val="32"/>
          <w:highlight w:val="none"/>
        </w:rPr>
        <w:t>改革</w:t>
      </w:r>
    </w:p>
    <w:p>
      <w:pPr>
        <w:spacing w:line="540" w:lineRule="exact"/>
        <w:ind w:firstLine="640" w:firstLineChars="200"/>
        <w:rPr>
          <w:rFonts w:hint="eastAsia" w:ascii="Times New Roman" w:hAnsi="Times New Roman" w:eastAsia="方正仿宋_GBK"/>
          <w:color w:val="auto"/>
          <w:sz w:val="32"/>
          <w:szCs w:val="32"/>
        </w:rPr>
      </w:pPr>
      <w:r>
        <w:rPr>
          <w:rFonts w:hint="eastAsia" w:ascii="Times New Roman" w:hAnsi="Times New Roman" w:eastAsia="方正仿宋_GBK"/>
          <w:color w:val="auto"/>
          <w:sz w:val="32"/>
          <w:szCs w:val="32"/>
        </w:rPr>
        <w:t>落实第二轮土地承包到期后再延长三十年政策，保持土地承包关系稳定并长久不变，</w:t>
      </w:r>
      <w:r>
        <w:rPr>
          <w:rFonts w:hint="eastAsia" w:ascii="Times New Roman" w:hAnsi="Times New Roman" w:eastAsia="方正仿宋_GBK"/>
          <w:color w:val="auto"/>
          <w:sz w:val="32"/>
          <w:szCs w:val="32"/>
          <w:highlight w:val="none"/>
        </w:rPr>
        <w:t>推进农村土地承包经营纠纷调解仲裁体系建设，巩固提升农村承包地确权登记颁证成果。加快推进农村承包土地经营权流转，发展多种形式农业适度规模经营</w:t>
      </w:r>
      <w:r>
        <w:rPr>
          <w:rFonts w:hint="eastAsia" w:ascii="Times New Roman" w:hAnsi="Times New Roman" w:eastAsia="方正仿宋_GBK"/>
          <w:color w:val="auto"/>
          <w:sz w:val="32"/>
          <w:szCs w:val="32"/>
        </w:rPr>
        <w:t>，积极探索实施农村集体经营性建设用地入市制度，更好用活乡村土地资源，调整完善土地出让收入使用范围，稳步提高土地出让收入用于农业农村比例。</w:t>
      </w:r>
      <w:r>
        <w:rPr>
          <w:rFonts w:hint="eastAsia" w:ascii="Times New Roman" w:hAnsi="Times New Roman" w:eastAsia="方正仿宋_GBK"/>
          <w:color w:val="auto"/>
          <w:sz w:val="32"/>
          <w:szCs w:val="32"/>
          <w:highlight w:val="none"/>
        </w:rPr>
        <w:t>探索资源变资产、资金变股金、农民变股东经验，强化落实支持农村集体经济发展政策，指导开展扶持村级集体经济试点，发展壮大农村集体经济。</w:t>
      </w:r>
    </w:p>
    <w:p>
      <w:pPr>
        <w:spacing w:line="540" w:lineRule="exact"/>
        <w:ind w:firstLine="640" w:firstLineChars="200"/>
        <w:rPr>
          <w:rFonts w:hint="eastAsia" w:ascii="Times New Roman" w:hAnsi="Times New Roman" w:eastAsia="黑体"/>
          <w:color w:val="auto"/>
          <w:sz w:val="32"/>
          <w:szCs w:val="32"/>
          <w:highlight w:val="none"/>
        </w:rPr>
      </w:pPr>
      <w:r>
        <w:rPr>
          <w:rFonts w:hint="eastAsia" w:ascii="Times New Roman" w:hAnsi="Times New Roman" w:eastAsia="黑体"/>
          <w:color w:val="auto"/>
          <w:sz w:val="32"/>
          <w:szCs w:val="32"/>
          <w:highlight w:val="none"/>
        </w:rPr>
        <w:t>二、</w:t>
      </w:r>
      <w:r>
        <w:rPr>
          <w:rFonts w:hint="eastAsia" w:ascii="Times New Roman" w:hAnsi="Times New Roman" w:eastAsia="黑体"/>
          <w:color w:val="auto"/>
          <w:sz w:val="32"/>
          <w:szCs w:val="32"/>
        </w:rPr>
        <w:t>深化农村集体产权制度改革</w:t>
      </w:r>
    </w:p>
    <w:p>
      <w:pPr>
        <w:spacing w:line="540" w:lineRule="exact"/>
        <w:ind w:firstLine="640" w:firstLineChars="200"/>
        <w:rPr>
          <w:rFonts w:hint="eastAsia" w:ascii="Times New Roman" w:hAnsi="Times New Roman" w:eastAsia="方正仿宋_GBK"/>
          <w:color w:val="auto"/>
          <w:sz w:val="32"/>
          <w:szCs w:val="32"/>
        </w:rPr>
      </w:pPr>
      <w:r>
        <w:rPr>
          <w:rFonts w:hint="eastAsia" w:ascii="Times New Roman" w:hAnsi="Times New Roman" w:eastAsia="方正仿宋_GBK"/>
          <w:color w:val="auto"/>
          <w:sz w:val="32"/>
          <w:szCs w:val="32"/>
          <w:highlight w:val="none"/>
        </w:rPr>
        <w:t>制定农村宅基地管理工作机制，加强农村宅基地规范化的管理，探索建立宅基地管理信息系统，加强宅基地审批监管。</w:t>
      </w:r>
      <w:r>
        <w:rPr>
          <w:rFonts w:hint="eastAsia" w:ascii="Times New Roman" w:hAnsi="Times New Roman" w:eastAsia="方正仿宋_GBK"/>
          <w:color w:val="auto"/>
          <w:sz w:val="32"/>
          <w:szCs w:val="32"/>
        </w:rPr>
        <w:t>探索宅基地所有权、资格权、使用权“三权分置”，保障进城落户农民土地承包权、宅基地使用权、集体收益分配权，畅通“三权”自愿有偿市场化退出渠道，</w:t>
      </w:r>
      <w:r>
        <w:rPr>
          <w:rFonts w:hint="eastAsia" w:ascii="Times New Roman" w:hAnsi="Times New Roman" w:eastAsia="方正仿宋_GBK"/>
          <w:color w:val="auto"/>
          <w:sz w:val="32"/>
          <w:szCs w:val="32"/>
          <w:highlight w:val="none"/>
        </w:rPr>
        <w:t>推进好宅基地制度改革试点。</w:t>
      </w:r>
      <w:r>
        <w:rPr>
          <w:rFonts w:hint="eastAsia" w:ascii="Times New Roman" w:hAnsi="Times New Roman" w:eastAsia="方正仿宋_GBK"/>
          <w:color w:val="auto"/>
          <w:sz w:val="32"/>
          <w:szCs w:val="32"/>
        </w:rPr>
        <w:t>深入实施“节地上楼”新型集约化居住模式，盘活农村土地、房屋、林权等，释放财产增值、农民增收潜力。</w:t>
      </w:r>
    </w:p>
    <w:p>
      <w:pPr>
        <w:spacing w:line="540" w:lineRule="exact"/>
        <w:ind w:firstLine="640" w:firstLineChars="200"/>
        <w:rPr>
          <w:rFonts w:hint="eastAsia" w:ascii="Times New Roman" w:hAnsi="Times New Roman" w:eastAsia="黑体"/>
          <w:color w:val="auto"/>
          <w:sz w:val="32"/>
          <w:szCs w:val="32"/>
        </w:rPr>
      </w:pPr>
      <w:r>
        <w:rPr>
          <w:rFonts w:hint="eastAsia" w:ascii="Times New Roman" w:hAnsi="Times New Roman" w:eastAsia="黑体"/>
          <w:color w:val="auto"/>
          <w:sz w:val="32"/>
          <w:szCs w:val="32"/>
        </w:rPr>
        <w:t>三、完善农村基本经营制度</w:t>
      </w:r>
    </w:p>
    <w:p>
      <w:pPr>
        <w:spacing w:line="540" w:lineRule="exact"/>
        <w:ind w:firstLine="640" w:firstLineChars="200"/>
        <w:rPr>
          <w:rFonts w:ascii="Times New Roman" w:hAnsi="Times New Roman" w:eastAsia="仿宋"/>
          <w:color w:val="auto"/>
          <w:sz w:val="32"/>
          <w:szCs w:val="32"/>
        </w:rPr>
      </w:pPr>
      <w:r>
        <w:rPr>
          <w:rFonts w:hint="eastAsia" w:ascii="Times New Roman" w:hAnsi="Times New Roman" w:eastAsia="方正仿宋_GBK"/>
          <w:color w:val="auto"/>
          <w:sz w:val="32"/>
          <w:szCs w:val="32"/>
        </w:rPr>
        <w:t>大力推进合作化发展、规模化经营，培育壮大新型经营主体，把过去一家一户，自给自足的小农生产方式转变为经营主体引领之下的现代化生产方式，让农民成为农业工人，加快土地有序流转和适度规模经营，使更多农民从土地上解放出来，让土地变成高产、稳产的现代化生产资料。健全农村金融服务体系，完善农业信贷担保体系。</w:t>
      </w:r>
      <w:r>
        <w:rPr>
          <w:rFonts w:hint="eastAsia" w:ascii="Times New Roman" w:hAnsi="Times New Roman" w:eastAsia="方正仿宋_GBK"/>
          <w:color w:val="auto"/>
          <w:sz w:val="32"/>
          <w:szCs w:val="32"/>
          <w:highlight w:val="none"/>
        </w:rPr>
        <w:t>完善农业防灾减灾应急预案，提高农业突发事件工作预见性和农业灾害应急处置及时性</w:t>
      </w:r>
      <w:r>
        <w:rPr>
          <w:rFonts w:hint="eastAsia" w:ascii="Times New Roman" w:hAnsi="Times New Roman" w:eastAsia="方正仿宋_GBK"/>
          <w:color w:val="auto"/>
          <w:sz w:val="32"/>
          <w:szCs w:val="32"/>
        </w:rPr>
        <w:t>，发展农业保险。</w:t>
      </w:r>
      <w:r>
        <w:rPr>
          <w:rFonts w:hint="eastAsia" w:ascii="Times New Roman" w:hAnsi="Times New Roman" w:eastAsia="方正仿宋_GBK"/>
          <w:color w:val="auto"/>
          <w:sz w:val="32"/>
          <w:szCs w:val="32"/>
          <w:highlight w:val="none"/>
        </w:rPr>
        <w:t>完善区级农业综合行政执法事项清单，加强事中事后监管，强化对重大案件查处的监督，定期、长期开展农资打假执法活动，严厉打击生猪私屠滥宰违法行为，加强渔业安全和渔船质量安全监督。提高执法规范化程度，协同推进农业综合执法。</w:t>
      </w:r>
    </w:p>
    <w:tbl>
      <w:tblPr>
        <w:tblStyle w:val="2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spacing w:line="540" w:lineRule="exact"/>
              <w:jc w:val="center"/>
              <w:rPr>
                <w:rFonts w:ascii="Times New Roman" w:hAnsi="Times New Roman"/>
                <w:color w:val="auto"/>
              </w:rPr>
            </w:pPr>
            <w:r>
              <w:rPr>
                <w:rFonts w:hint="eastAsia" w:ascii="Times New Roman" w:hAnsi="Times New Roman" w:eastAsia="方正仿宋_GBK"/>
                <w:b/>
                <w:color w:val="auto"/>
                <w:sz w:val="32"/>
                <w:szCs w:val="28"/>
              </w:rPr>
              <w:t>专栏</w:t>
            </w:r>
            <w:r>
              <w:rPr>
                <w:rFonts w:ascii="Times New Roman" w:hAnsi="Times New Roman" w:eastAsia="方正仿宋_GBK"/>
                <w:b/>
                <w:color w:val="auto"/>
                <w:sz w:val="32"/>
                <w:szCs w:val="28"/>
              </w:rPr>
              <w:t>9</w:t>
            </w:r>
            <w:r>
              <w:rPr>
                <w:rFonts w:hint="eastAsia" w:ascii="Times New Roman" w:hAnsi="Times New Roman" w:eastAsia="方正仿宋_GBK"/>
                <w:b/>
                <w:color w:val="auto"/>
                <w:sz w:val="32"/>
                <w:szCs w:val="28"/>
              </w:rPr>
              <w:t>：</w:t>
            </w:r>
            <w:r>
              <w:rPr>
                <w:rFonts w:ascii="Times New Roman" w:hAnsi="Times New Roman" w:eastAsia="方正仿宋_GBK"/>
                <w:b/>
                <w:color w:val="auto"/>
                <w:sz w:val="32"/>
                <w:szCs w:val="28"/>
              </w:rPr>
              <w:t xml:space="preserve"> </w:t>
            </w:r>
            <w:r>
              <w:rPr>
                <w:rFonts w:hint="eastAsia" w:ascii="Times New Roman" w:hAnsi="Times New Roman" w:eastAsia="方正仿宋_GBK"/>
                <w:b/>
                <w:color w:val="auto"/>
                <w:sz w:val="32"/>
                <w:szCs w:val="28"/>
              </w:rPr>
              <w:t>乡村振兴重点项目专栏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spacing w:line="360" w:lineRule="exact"/>
              <w:rPr>
                <w:rFonts w:ascii="Times New Roman" w:hAnsi="Times New Roman"/>
                <w:color w:val="auto"/>
                <w:szCs w:val="21"/>
              </w:rPr>
            </w:pPr>
            <w:r>
              <w:rPr>
                <w:rFonts w:hint="eastAsia" w:ascii="Times New Roman" w:hAnsi="Times New Roman" w:eastAsia="方正仿宋_GBK"/>
                <w:b/>
                <w:color w:val="auto"/>
                <w:szCs w:val="21"/>
              </w:rPr>
              <w:t>乡村振兴项目：</w:t>
            </w:r>
            <w:r>
              <w:rPr>
                <w:rFonts w:hint="eastAsia" w:ascii="Times New Roman" w:hAnsi="Times New Roman" w:eastAsia="方正仿宋_GBK"/>
                <w:bCs/>
                <w:color w:val="auto"/>
                <w:szCs w:val="21"/>
              </w:rPr>
              <w:t>江川区乡村振兴项目、江川区“绿色食品”建设项目、江川区农业产业强镇建设项目、江川区家禽集中屠宰场建设项目、星云湖临湖文旅聚集带及乡村振兴项目、安化乡民族文化乡村旅游风情小镇建设项目、江川区大平地康养农旅融合项目、前卫镇国际人文颐养旅居度假小镇。</w:t>
            </w:r>
          </w:p>
        </w:tc>
      </w:tr>
    </w:tbl>
    <w:p>
      <w:pPr>
        <w:widowControl/>
        <w:jc w:val="left"/>
        <w:rPr>
          <w:rFonts w:ascii="Times New Roman" w:hAnsi="Times New Roman" w:eastAsia="方正仿宋_GBK"/>
          <w:color w:val="auto"/>
          <w:sz w:val="32"/>
          <w:szCs w:val="32"/>
        </w:rPr>
      </w:pPr>
      <w:r>
        <w:rPr>
          <w:rFonts w:ascii="Times New Roman" w:hAnsi="Times New Roman" w:eastAsia="方正仿宋_GBK"/>
          <w:color w:val="auto"/>
          <w:sz w:val="32"/>
          <w:szCs w:val="32"/>
        </w:rPr>
        <w:br w:type="page"/>
      </w:r>
    </w:p>
    <w:p>
      <w:pPr>
        <w:pStyle w:val="3"/>
        <w:rPr>
          <w:rFonts w:eastAsia="方正小标宋简体"/>
          <w:b w:val="0"/>
          <w:bCs w:val="0"/>
          <w:color w:val="auto"/>
          <w:sz w:val="40"/>
        </w:rPr>
      </w:pPr>
      <w:bookmarkStart w:id="175" w:name="_Toc60044129"/>
      <w:bookmarkStart w:id="176" w:name="_Toc446364493"/>
      <w:bookmarkStart w:id="177" w:name="_Toc18315"/>
      <w:bookmarkStart w:id="178" w:name="_Toc19755"/>
      <w:bookmarkStart w:id="179" w:name="_Toc22528"/>
      <w:r>
        <w:rPr>
          <w:rFonts w:hint="eastAsia" w:eastAsia="方正小标宋简体"/>
          <w:b w:val="0"/>
          <w:bCs w:val="0"/>
          <w:color w:val="auto"/>
          <w:sz w:val="40"/>
        </w:rPr>
        <w:t>第九篇　深入实施创新驱动</w:t>
      </w:r>
      <w:r>
        <w:rPr>
          <w:rFonts w:hint="eastAsia" w:eastAsia="方正小标宋简体"/>
          <w:b w:val="0"/>
          <w:bCs w:val="0"/>
          <w:color w:val="auto"/>
          <w:sz w:val="40"/>
          <w:lang w:eastAsia="zh-CN"/>
        </w:rPr>
        <w:t>发展</w:t>
      </w:r>
      <w:r>
        <w:rPr>
          <w:rFonts w:hint="eastAsia" w:eastAsia="方正小标宋简体"/>
          <w:b w:val="0"/>
          <w:bCs w:val="0"/>
          <w:color w:val="auto"/>
          <w:sz w:val="40"/>
        </w:rPr>
        <w:t>战略</w:t>
      </w:r>
      <w:bookmarkEnd w:id="175"/>
      <w:r>
        <w:rPr>
          <w:rFonts w:hint="eastAsia" w:eastAsia="方正小标宋简体"/>
          <w:b w:val="0"/>
          <w:bCs w:val="0"/>
          <w:color w:val="auto"/>
          <w:sz w:val="40"/>
        </w:rPr>
        <w:t>，增强高质量发展新优势</w:t>
      </w:r>
      <w:bookmarkEnd w:id="176"/>
      <w:bookmarkEnd w:id="177"/>
      <w:bookmarkEnd w:id="178"/>
      <w:bookmarkEnd w:id="179"/>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推进以科技创新为核心的全面创新，坚定不移把创新作为引领发展的第一动力。牢牢把握科技创新重点任务，以促进科技成果转化、提升产业核心竞争力为目标，坚持以人才为推动创新发展第一资源，坚持创新链与产业链、资金链整合，坚持以体制机制改革激发创新活力和内生驱动力，推动</w:t>
      </w:r>
      <w:r>
        <w:rPr>
          <w:rFonts w:hint="eastAsia" w:ascii="Times New Roman" w:hAnsi="Times New Roman" w:eastAsia="方正仿宋_GBK"/>
          <w:color w:val="auto"/>
          <w:sz w:val="32"/>
          <w:szCs w:val="32"/>
        </w:rPr>
        <w:t>全区</w:t>
      </w:r>
      <w:r>
        <w:rPr>
          <w:rFonts w:ascii="Times New Roman" w:hAnsi="Times New Roman" w:eastAsia="方正仿宋_GBK"/>
          <w:color w:val="auto"/>
          <w:sz w:val="32"/>
          <w:szCs w:val="32"/>
        </w:rPr>
        <w:t>经济社会发展动力根本转换，为</w:t>
      </w:r>
      <w:r>
        <w:rPr>
          <w:rFonts w:hint="eastAsia" w:ascii="Times New Roman" w:hAnsi="Times New Roman" w:eastAsia="方正仿宋_GBK"/>
          <w:color w:val="auto"/>
          <w:sz w:val="32"/>
          <w:szCs w:val="32"/>
        </w:rPr>
        <w:t>江川</w:t>
      </w:r>
      <w:r>
        <w:rPr>
          <w:rFonts w:ascii="Times New Roman" w:hAnsi="Times New Roman" w:eastAsia="方正仿宋_GBK"/>
          <w:color w:val="auto"/>
          <w:sz w:val="32"/>
          <w:szCs w:val="32"/>
        </w:rPr>
        <w:t>高质量发展提供强大的科技支撑。</w:t>
      </w:r>
    </w:p>
    <w:p>
      <w:pPr>
        <w:pStyle w:val="4"/>
        <w:rPr>
          <w:b w:val="0"/>
          <w:bCs w:val="0"/>
          <w:color w:val="auto"/>
          <w:sz w:val="36"/>
        </w:rPr>
      </w:pPr>
      <w:bookmarkStart w:id="180" w:name="_Toc2653"/>
      <w:bookmarkStart w:id="181" w:name="_Toc60044130"/>
      <w:bookmarkStart w:id="182" w:name="_Toc21494"/>
      <w:bookmarkStart w:id="183" w:name="_Toc446364494"/>
      <w:bookmarkStart w:id="184" w:name="_Toc32729"/>
      <w:r>
        <w:rPr>
          <w:rFonts w:hint="eastAsia"/>
          <w:b w:val="0"/>
          <w:bCs w:val="0"/>
          <w:color w:val="auto"/>
          <w:sz w:val="36"/>
        </w:rPr>
        <w:t>第三十一章　强化企业创新能力提升</w:t>
      </w:r>
      <w:bookmarkEnd w:id="180"/>
      <w:bookmarkEnd w:id="181"/>
      <w:bookmarkEnd w:id="182"/>
      <w:bookmarkEnd w:id="183"/>
      <w:bookmarkEnd w:id="184"/>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解决好“有谁来创新”“动力在哪里”“成果如何用”等问题，以增强企业内生创新动力为重点，促进创新主体充满活力、创新链条有机衔接、创新成效大幅提高，不断激发企业创新活力和动能。</w:t>
      </w:r>
    </w:p>
    <w:p>
      <w:pPr>
        <w:spacing w:line="560" w:lineRule="exact"/>
        <w:ind w:firstLine="640" w:firstLineChars="200"/>
        <w:rPr>
          <w:rFonts w:ascii="黑体" w:hAnsi="黑体" w:eastAsia="黑体"/>
          <w:color w:val="auto"/>
          <w:sz w:val="32"/>
          <w:szCs w:val="32"/>
        </w:rPr>
      </w:pPr>
      <w:r>
        <w:rPr>
          <w:rFonts w:hint="eastAsia" w:ascii="黑体" w:hAnsi="黑体" w:eastAsia="黑体"/>
          <w:color w:val="auto"/>
          <w:sz w:val="32"/>
          <w:szCs w:val="32"/>
        </w:rPr>
        <w:t>一、强化企业创新主体地位</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要发挥企业技术创新主体作用，推动创新要素向企业集聚，以增强企业内生创新动力为重点，不断激发企业创新活力和动能</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提升政产学研用协同水平。</w:t>
      </w:r>
      <w:r>
        <w:rPr>
          <w:rFonts w:hint="eastAsia" w:ascii="Times New Roman" w:hAnsi="Times New Roman" w:eastAsia="方正仿宋_GBK"/>
          <w:color w:val="auto"/>
          <w:sz w:val="32"/>
          <w:szCs w:val="32"/>
        </w:rPr>
        <w:t>积极组织培育企业申报高新技术企业认定工作，深入开展企业科技创新能力调研，抓好企业科技计划项目管理、储备、申报工作。加大企业在创新资源配置中的主导权，发挥企业在技术创新决策、研发投入、科研组织和成果转化应用方面主体作用。</w:t>
      </w:r>
      <w:r>
        <w:rPr>
          <w:rFonts w:ascii="Times New Roman" w:hAnsi="Times New Roman" w:eastAsia="方正仿宋_GBK"/>
          <w:color w:val="auto"/>
          <w:sz w:val="32"/>
          <w:szCs w:val="32"/>
        </w:rPr>
        <w:t>推动科学研究向高精尖发展，加快应用基础研究成果转化，打通产学研用通道</w:t>
      </w:r>
      <w:r>
        <w:rPr>
          <w:rFonts w:hint="eastAsia" w:ascii="Times New Roman" w:hAnsi="Times New Roman" w:eastAsia="方正仿宋_GBK"/>
          <w:color w:val="auto"/>
          <w:sz w:val="32"/>
          <w:szCs w:val="32"/>
        </w:rPr>
        <w:t>，引导企业打造自主可控、安全高效并融入全国新发展格局的产业链供应链。</w:t>
      </w:r>
    </w:p>
    <w:p>
      <w:pPr>
        <w:spacing w:line="560" w:lineRule="exact"/>
        <w:ind w:firstLine="640" w:firstLineChars="200"/>
        <w:rPr>
          <w:rFonts w:ascii="黑体" w:hAnsi="黑体" w:eastAsia="黑体"/>
          <w:color w:val="auto"/>
          <w:sz w:val="32"/>
          <w:szCs w:val="32"/>
        </w:rPr>
      </w:pPr>
      <w:r>
        <w:rPr>
          <w:rFonts w:hint="eastAsia" w:ascii="黑体" w:hAnsi="黑体" w:eastAsia="黑体"/>
          <w:color w:val="auto"/>
          <w:sz w:val="32"/>
          <w:szCs w:val="32"/>
        </w:rPr>
        <w:t>二、发挥大企业引领作用</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积极引导大</w:t>
      </w:r>
      <w:r>
        <w:rPr>
          <w:rFonts w:ascii="Times New Roman" w:hAnsi="Times New Roman" w:eastAsia="方正仿宋_GBK"/>
          <w:color w:val="auto"/>
          <w:sz w:val="32"/>
          <w:szCs w:val="32"/>
        </w:rPr>
        <w:t>企业在推动科技创新、激发市场活性、吸引企业聚集、整合市场资源方面发挥重要作用</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注重发挥</w:t>
      </w:r>
      <w:r>
        <w:rPr>
          <w:rFonts w:hint="eastAsia" w:ascii="Times New Roman" w:hAnsi="Times New Roman" w:eastAsia="方正仿宋_GBK"/>
          <w:color w:val="auto"/>
          <w:sz w:val="32"/>
          <w:szCs w:val="32"/>
        </w:rPr>
        <w:t>大型</w:t>
      </w:r>
      <w:r>
        <w:rPr>
          <w:rFonts w:ascii="Times New Roman" w:hAnsi="Times New Roman" w:eastAsia="方正仿宋_GBK"/>
          <w:color w:val="auto"/>
          <w:sz w:val="32"/>
          <w:szCs w:val="32"/>
        </w:rPr>
        <w:t>企业在产学研融合中的主导作用，推动企业、资本、高校、中介机构等多方互动，建立起以企业为主体、市场为导向、产学研深度融合的技术创新体系</w:t>
      </w:r>
      <w:r>
        <w:rPr>
          <w:rFonts w:hint="eastAsia" w:ascii="Times New Roman" w:hAnsi="Times New Roman" w:eastAsia="方正仿宋_GBK"/>
          <w:color w:val="auto"/>
          <w:sz w:val="32"/>
          <w:szCs w:val="32"/>
        </w:rPr>
        <w:t>。推动大企业积极开放供应链资源，支持大中小企业和各主体融通创新。鼓励大企业积极探索、发展供应链金融模式，打造行业内融资便利的大中小微企业协同创新发展秩序。</w:t>
      </w:r>
    </w:p>
    <w:p>
      <w:pPr>
        <w:spacing w:line="560" w:lineRule="exact"/>
        <w:ind w:firstLine="640" w:firstLineChars="200"/>
        <w:rPr>
          <w:rFonts w:ascii="黑体" w:hAnsi="黑体" w:eastAsia="黑体"/>
          <w:color w:val="auto"/>
          <w:sz w:val="32"/>
          <w:szCs w:val="32"/>
        </w:rPr>
      </w:pPr>
      <w:r>
        <w:rPr>
          <w:rFonts w:hint="eastAsia" w:ascii="黑体" w:hAnsi="黑体" w:eastAsia="黑体"/>
          <w:color w:val="auto"/>
          <w:sz w:val="32"/>
          <w:szCs w:val="32"/>
        </w:rPr>
        <w:t>三、推进产学研深度融合</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鼓励企业与高校、科研机构建立多种形式合作关系，构建产学研协作新模式，支持行业骨干企业牵头组建创新联合体。引导建立产学研深度融合的利益分配机制和风险控制机制，构建</w:t>
      </w:r>
      <w:r>
        <w:rPr>
          <w:rFonts w:ascii="Times New Roman" w:hAnsi="Times New Roman" w:eastAsia="方正仿宋_GBK"/>
          <w:color w:val="auto"/>
          <w:sz w:val="32"/>
          <w:szCs w:val="32"/>
        </w:rPr>
        <w:t>以市场为导向、企业为主体、政策为引导的产学研合作创新机制</w:t>
      </w:r>
      <w:r>
        <w:rPr>
          <w:rFonts w:hint="eastAsia" w:ascii="Times New Roman" w:hAnsi="Times New Roman" w:eastAsia="方正仿宋_GBK"/>
          <w:color w:val="auto"/>
          <w:sz w:val="32"/>
          <w:szCs w:val="32"/>
        </w:rPr>
        <w:t>。强化与高新区一体化发展，</w:t>
      </w:r>
      <w:r>
        <w:rPr>
          <w:rFonts w:ascii="Times New Roman" w:hAnsi="Times New Roman" w:eastAsia="方正仿宋_GBK"/>
          <w:color w:val="auto"/>
          <w:sz w:val="32"/>
          <w:szCs w:val="32"/>
        </w:rPr>
        <w:t>打造</w:t>
      </w:r>
      <w:r>
        <w:rPr>
          <w:rFonts w:hint="eastAsia" w:ascii="Times New Roman" w:hAnsi="Times New Roman" w:eastAsia="方正仿宋_GBK"/>
          <w:color w:val="auto"/>
          <w:sz w:val="32"/>
          <w:szCs w:val="32"/>
          <w:lang w:eastAsia="zh-CN"/>
        </w:rPr>
        <w:t>高新区</w:t>
      </w:r>
      <w:r>
        <w:rPr>
          <w:rFonts w:hint="eastAsia" w:ascii="Times New Roman" w:hAnsi="Times New Roman" w:eastAsia="方正仿宋_GBK"/>
          <w:color w:val="auto"/>
          <w:sz w:val="32"/>
          <w:szCs w:val="32"/>
        </w:rPr>
        <w:t>龙泉片区为</w:t>
      </w:r>
      <w:r>
        <w:rPr>
          <w:rFonts w:ascii="Times New Roman" w:hAnsi="Times New Roman" w:eastAsia="方正仿宋_GBK"/>
          <w:color w:val="auto"/>
          <w:sz w:val="32"/>
          <w:szCs w:val="32"/>
        </w:rPr>
        <w:t>集产、研、学、居为一</w:t>
      </w:r>
      <w:r>
        <w:rPr>
          <w:rFonts w:hint="eastAsia" w:ascii="Times New Roman" w:hAnsi="Times New Roman" w:eastAsia="方正仿宋_GBK"/>
          <w:color w:val="auto"/>
          <w:sz w:val="32"/>
          <w:szCs w:val="32"/>
        </w:rPr>
        <w:t>体的</w:t>
      </w:r>
      <w:r>
        <w:rPr>
          <w:rFonts w:ascii="Times New Roman" w:hAnsi="Times New Roman" w:eastAsia="方正仿宋_GBK"/>
          <w:color w:val="auto"/>
          <w:sz w:val="32"/>
          <w:szCs w:val="32"/>
        </w:rPr>
        <w:t>多功能复合型产城融合区。</w:t>
      </w:r>
      <w:r>
        <w:rPr>
          <w:rFonts w:hint="eastAsia" w:ascii="Times New Roman" w:hAnsi="Times New Roman" w:eastAsia="方正仿宋_GBK"/>
          <w:color w:val="auto"/>
          <w:sz w:val="32"/>
          <w:szCs w:val="32"/>
        </w:rPr>
        <w:t>积极争取与云南省重点实验室开展合作，推动产学研结合、军民融合、国际创新合作，全力攻克一批关键核心技术。</w:t>
      </w:r>
    </w:p>
    <w:p>
      <w:pPr>
        <w:spacing w:line="560" w:lineRule="exact"/>
        <w:ind w:firstLine="640" w:firstLineChars="200"/>
        <w:rPr>
          <w:rFonts w:ascii="Times New Roman" w:hAnsi="Times New Roman" w:eastAsia="方正仿宋_GBK"/>
          <w:color w:val="auto"/>
          <w:sz w:val="32"/>
          <w:szCs w:val="32"/>
        </w:rPr>
      </w:pPr>
      <w:r>
        <w:rPr>
          <w:rFonts w:hint="eastAsia" w:ascii="黑体" w:hAnsi="黑体" w:eastAsia="黑体"/>
          <w:color w:val="auto"/>
          <w:sz w:val="32"/>
          <w:szCs w:val="32"/>
        </w:rPr>
        <w:t>四、强化重点领域创新发展</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要依托自身基础特色和比较优势，瞄准</w:t>
      </w:r>
      <w:r>
        <w:rPr>
          <w:rFonts w:hint="eastAsia" w:ascii="Times New Roman" w:hAnsi="Times New Roman" w:eastAsia="方正仿宋_GBK"/>
          <w:color w:val="auto"/>
          <w:sz w:val="32"/>
          <w:szCs w:val="32"/>
        </w:rPr>
        <w:t>江川主导</w:t>
      </w:r>
      <w:r>
        <w:rPr>
          <w:rFonts w:ascii="Times New Roman" w:hAnsi="Times New Roman" w:eastAsia="方正仿宋_GBK"/>
          <w:color w:val="auto"/>
          <w:sz w:val="32"/>
          <w:szCs w:val="32"/>
        </w:rPr>
        <w:t>产业中高端、中上游，围绕产业链部署创新链，提升科技创新对产业转型升级的贡献率。</w:t>
      </w:r>
      <w:r>
        <w:rPr>
          <w:rFonts w:hint="eastAsia" w:ascii="Times New Roman" w:hAnsi="Times New Roman" w:eastAsia="方正仿宋_GBK"/>
          <w:color w:val="auto"/>
          <w:sz w:val="32"/>
          <w:szCs w:val="32"/>
        </w:rPr>
        <w:t>构建</w:t>
      </w:r>
      <w:r>
        <w:rPr>
          <w:rFonts w:ascii="Times New Roman" w:hAnsi="Times New Roman" w:eastAsia="方正仿宋_GBK"/>
          <w:color w:val="auto"/>
          <w:sz w:val="32"/>
          <w:szCs w:val="32"/>
        </w:rPr>
        <w:t>技术先进、绿色安全的高原特色现代农业，</w:t>
      </w:r>
      <w:r>
        <w:rPr>
          <w:rFonts w:hint="eastAsia" w:ascii="Times New Roman" w:hAnsi="Times New Roman" w:eastAsia="方正仿宋_GBK"/>
          <w:color w:val="auto"/>
          <w:sz w:val="32"/>
          <w:szCs w:val="32"/>
        </w:rPr>
        <w:t>着力打造</w:t>
      </w:r>
      <w:r>
        <w:rPr>
          <w:rFonts w:ascii="Times New Roman" w:hAnsi="Times New Roman" w:eastAsia="方正仿宋_GBK"/>
          <w:color w:val="auto"/>
          <w:sz w:val="32"/>
          <w:szCs w:val="32"/>
        </w:rPr>
        <w:t>知名</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绿色</w:t>
      </w:r>
      <w:r>
        <w:rPr>
          <w:rFonts w:hint="eastAsia" w:ascii="Times New Roman" w:hAnsi="Times New Roman" w:eastAsia="方正仿宋_GBK"/>
          <w:color w:val="auto"/>
          <w:sz w:val="32"/>
          <w:szCs w:val="32"/>
        </w:rPr>
        <w:t>食</w:t>
      </w:r>
      <w:r>
        <w:rPr>
          <w:rFonts w:ascii="Times New Roman" w:hAnsi="Times New Roman" w:eastAsia="方正仿宋_GBK"/>
          <w:color w:val="auto"/>
          <w:sz w:val="32"/>
          <w:szCs w:val="32"/>
        </w:rPr>
        <w:t>品牌</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强化绿色生产</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推进磷化工、纸制品等重点传统产业技术创新</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积极培育装备制造、新能源新材料、生物医药等新兴产业，构建新型现代化工业体系</w:t>
      </w:r>
      <w:r>
        <w:rPr>
          <w:rFonts w:hint="eastAsia" w:ascii="Times New Roman" w:hAnsi="Times New Roman" w:eastAsia="方正仿宋_GBK"/>
          <w:color w:val="auto"/>
          <w:sz w:val="32"/>
          <w:szCs w:val="32"/>
        </w:rPr>
        <w:t>。强化文旅康养产业智慧化发展，高质量推进现代服务业。</w:t>
      </w:r>
      <w:r>
        <w:rPr>
          <w:rFonts w:ascii="Times New Roman" w:hAnsi="Times New Roman" w:eastAsia="方正仿宋_GBK"/>
          <w:color w:val="auto"/>
          <w:sz w:val="32"/>
          <w:szCs w:val="32"/>
        </w:rPr>
        <w:t>加快5G</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云计算、大数据等技术</w:t>
      </w:r>
      <w:r>
        <w:rPr>
          <w:rFonts w:hint="eastAsia" w:ascii="Times New Roman" w:hAnsi="Times New Roman" w:eastAsia="方正仿宋_GBK"/>
          <w:color w:val="auto"/>
          <w:sz w:val="32"/>
          <w:szCs w:val="32"/>
        </w:rPr>
        <w:t>推广</w:t>
      </w:r>
      <w:r>
        <w:rPr>
          <w:rFonts w:ascii="Times New Roman" w:hAnsi="Times New Roman" w:eastAsia="方正仿宋_GBK"/>
          <w:color w:val="auto"/>
          <w:sz w:val="32"/>
          <w:szCs w:val="32"/>
        </w:rPr>
        <w:t>，打造工业互联网应用模式，加大智能基础设施建设力度，打造</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有生命、会思考</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的智慧城市。</w:t>
      </w:r>
    </w:p>
    <w:p>
      <w:pPr>
        <w:pStyle w:val="4"/>
        <w:rPr>
          <w:b w:val="0"/>
          <w:bCs w:val="0"/>
          <w:color w:val="auto"/>
          <w:sz w:val="36"/>
        </w:rPr>
      </w:pPr>
      <w:bookmarkStart w:id="185" w:name="_Toc10798"/>
      <w:bookmarkStart w:id="186" w:name="_Toc60044131"/>
      <w:bookmarkStart w:id="187" w:name="_Toc16040"/>
      <w:bookmarkStart w:id="188" w:name="_Toc446364495"/>
      <w:bookmarkStart w:id="189" w:name="_Toc27858"/>
      <w:r>
        <w:rPr>
          <w:rFonts w:hint="eastAsia"/>
          <w:b w:val="0"/>
          <w:bCs w:val="0"/>
          <w:color w:val="auto"/>
          <w:sz w:val="36"/>
        </w:rPr>
        <w:t>第三十二章　激发人才创新活力</w:t>
      </w:r>
      <w:bookmarkEnd w:id="185"/>
      <w:bookmarkEnd w:id="186"/>
      <w:bookmarkEnd w:id="187"/>
      <w:bookmarkEnd w:id="188"/>
      <w:bookmarkEnd w:id="189"/>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坚持需求导向、问题导向和激励导向，建立政府激励创新创造创业、社会支持创新创造创业、劳动者勇于创新创业新机制，确立以质量、贡献、绩效为核心的评价导向</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大力弘扬科学精神，激发科技人员创新活力。</w:t>
      </w:r>
    </w:p>
    <w:p>
      <w:pPr>
        <w:spacing w:line="560" w:lineRule="exact"/>
        <w:ind w:firstLine="640" w:firstLineChars="200"/>
        <w:rPr>
          <w:rFonts w:ascii="Times New Roman" w:hAnsi="Times New Roman" w:eastAsia="方正仿宋_GBK"/>
          <w:color w:val="auto"/>
          <w:sz w:val="32"/>
          <w:szCs w:val="32"/>
        </w:rPr>
      </w:pPr>
      <w:r>
        <w:rPr>
          <w:rFonts w:hint="eastAsia" w:ascii="黑体" w:hAnsi="黑体" w:eastAsia="黑体"/>
          <w:color w:val="auto"/>
          <w:sz w:val="32"/>
          <w:szCs w:val="32"/>
        </w:rPr>
        <w:t>一、健全科技成果转化机制</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贯彻落实科技成果转移转化法规，开展区域经济社会发展关键共性技术的需求分析研究。加快区域成果转移转化公共服务平台搭建、运营，提供孵化、培育等公共服务。健全以价值为导向的成果转化激励机制，进一步推进科技成果权属、转化收益分配等制度改革，完善以价值为导向的成果转化激励机制，激发成果转化主体活力。建立以目标为导向的全链条长效服务机制，围绕科技成果转化主体、中介机构、技术市场等主要环节，畅通科技成果转化全链条。高水平推进知识产权运用，提升高效专利质量促进转化运用。</w:t>
      </w:r>
    </w:p>
    <w:p>
      <w:pPr>
        <w:spacing w:line="560" w:lineRule="exact"/>
        <w:ind w:firstLine="640" w:firstLineChars="200"/>
        <w:rPr>
          <w:rFonts w:ascii="黑体" w:hAnsi="黑体" w:eastAsia="黑体"/>
          <w:color w:val="auto"/>
          <w:sz w:val="32"/>
          <w:szCs w:val="32"/>
        </w:rPr>
      </w:pPr>
      <w:r>
        <w:rPr>
          <w:rFonts w:hint="eastAsia" w:ascii="黑体" w:hAnsi="黑体" w:eastAsia="黑体"/>
          <w:color w:val="auto"/>
          <w:sz w:val="32"/>
          <w:szCs w:val="32"/>
        </w:rPr>
        <w:t>二、加强创新性应用型技能型人才培养引进</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高度重视科技人才队伍建设，完善深化人才发展体制机制，构建充分体现知识、技术等创新要素价值的收益分配机制，建立完善科研人员职务发明成果权益分配机制，实施知识更新工程、技能提升工程。推动教育链、人才链与江川产业链、创新链的有机衔接，以产教融合的机制推动应用型技术技能型人才的培养，壮大高水平工程师和高技能人才队伍。加强</w:t>
      </w:r>
      <w:r>
        <w:rPr>
          <w:rFonts w:ascii="Times New Roman" w:hAnsi="Times New Roman" w:eastAsia="方正仿宋_GBK"/>
          <w:color w:val="auto"/>
          <w:sz w:val="32"/>
          <w:szCs w:val="32"/>
        </w:rPr>
        <w:t>校企合作，</w:t>
      </w:r>
      <w:r>
        <w:rPr>
          <w:rFonts w:hint="eastAsia" w:ascii="Times New Roman" w:hAnsi="Times New Roman" w:eastAsia="方正仿宋_GBK"/>
          <w:color w:val="auto"/>
          <w:sz w:val="32"/>
          <w:szCs w:val="32"/>
        </w:rPr>
        <w:t>不断推进</w:t>
      </w:r>
      <w:r>
        <w:rPr>
          <w:rFonts w:ascii="Times New Roman" w:hAnsi="Times New Roman" w:eastAsia="方正仿宋_GBK"/>
          <w:color w:val="auto"/>
          <w:sz w:val="32"/>
          <w:szCs w:val="32"/>
        </w:rPr>
        <w:t>院士工作站</w:t>
      </w:r>
      <w:r>
        <w:rPr>
          <w:rFonts w:hint="eastAsia" w:ascii="Times New Roman" w:hAnsi="Times New Roman" w:eastAsia="方正仿宋_GBK"/>
          <w:color w:val="auto"/>
          <w:sz w:val="32"/>
          <w:szCs w:val="32"/>
        </w:rPr>
        <w:t>建设</w:t>
      </w:r>
      <w:r>
        <w:rPr>
          <w:rFonts w:ascii="Times New Roman" w:hAnsi="Times New Roman" w:eastAsia="方正仿宋_GBK"/>
          <w:color w:val="auto"/>
          <w:sz w:val="32"/>
          <w:szCs w:val="32"/>
        </w:rPr>
        <w:t>。建立产学研用全链条的人才培养体系，为企业创新提供源源不断的人才</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夯实企业创新主体作用</w:t>
      </w:r>
      <w:r>
        <w:rPr>
          <w:rFonts w:hint="eastAsia" w:ascii="Times New Roman" w:hAnsi="Times New Roman" w:eastAsia="方正仿宋_GBK"/>
          <w:color w:val="auto"/>
          <w:sz w:val="32"/>
          <w:szCs w:val="32"/>
        </w:rPr>
        <w:t>。切实加强科技政策解读与宣传、培训，科学技术普及、科技特派员和“三区”科技人员选派工作。</w:t>
      </w:r>
    </w:p>
    <w:p>
      <w:pPr>
        <w:spacing w:line="560" w:lineRule="exact"/>
        <w:ind w:firstLine="640" w:firstLineChars="200"/>
        <w:rPr>
          <w:rFonts w:ascii="黑体" w:hAnsi="黑体" w:eastAsia="黑体"/>
          <w:color w:val="auto"/>
          <w:sz w:val="32"/>
          <w:szCs w:val="32"/>
        </w:rPr>
      </w:pPr>
      <w:r>
        <w:rPr>
          <w:rFonts w:hint="eastAsia" w:ascii="黑体" w:hAnsi="黑体" w:eastAsia="黑体"/>
          <w:color w:val="auto"/>
          <w:sz w:val="32"/>
          <w:szCs w:val="32"/>
        </w:rPr>
        <w:t>三、培养尊重人才的风气</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要大力弘扬科学家精神和创新精神，实施人才政策，</w:t>
      </w:r>
      <w:r>
        <w:rPr>
          <w:rFonts w:ascii="Times New Roman" w:hAnsi="Times New Roman" w:eastAsia="方正仿宋_GBK"/>
          <w:color w:val="auto"/>
          <w:sz w:val="32"/>
          <w:szCs w:val="32"/>
        </w:rPr>
        <w:t>激发</w:t>
      </w:r>
      <w:r>
        <w:rPr>
          <w:rFonts w:hint="eastAsia" w:ascii="Times New Roman" w:hAnsi="Times New Roman" w:eastAsia="方正仿宋_GBK"/>
          <w:color w:val="auto"/>
          <w:sz w:val="32"/>
          <w:szCs w:val="32"/>
        </w:rPr>
        <w:t>科技工作者</w:t>
      </w:r>
      <w:r>
        <w:rPr>
          <w:rFonts w:ascii="Times New Roman" w:hAnsi="Times New Roman" w:eastAsia="方正仿宋_GBK"/>
          <w:color w:val="auto"/>
          <w:sz w:val="32"/>
          <w:szCs w:val="32"/>
        </w:rPr>
        <w:t>科技研发、科研服务社会热情</w:t>
      </w:r>
      <w:r>
        <w:rPr>
          <w:rFonts w:hint="eastAsia" w:ascii="Times New Roman" w:hAnsi="Times New Roman" w:eastAsia="方正仿宋_GBK"/>
          <w:color w:val="auto"/>
          <w:sz w:val="32"/>
          <w:szCs w:val="32"/>
        </w:rPr>
        <w:t>，引导科技工作者秉持国家利益和人民利益至上。落实用人单位的人才评价自主权，减少政府性评价活动。</w:t>
      </w:r>
      <w:r>
        <w:rPr>
          <w:rFonts w:ascii="Times New Roman" w:hAnsi="Times New Roman" w:eastAsia="方正仿宋_GBK"/>
          <w:color w:val="auto"/>
          <w:sz w:val="32"/>
          <w:szCs w:val="32"/>
        </w:rPr>
        <w:t>要确立以科技创新为导向的收入分配制度，建立人才创新成果保护机制、科技成果处置收益制度，提高知识产权在分配中所占比重，建立完善养老、医疗、退休等社会保障制度，</w:t>
      </w:r>
      <w:r>
        <w:rPr>
          <w:rFonts w:hint="eastAsia" w:ascii="Times New Roman" w:hAnsi="Times New Roman" w:eastAsia="方正仿宋_GBK"/>
          <w:color w:val="auto"/>
          <w:sz w:val="32"/>
          <w:szCs w:val="32"/>
        </w:rPr>
        <w:t>营造拴心留才环境。重视“人民科学家”等功勋荣誉表彰奖励获得者的精神宣传，大力表彰科技界人才，推动科学家精神进校园、进课堂、进头脑，以“最美科技工作者”、“大国工匠”等宣传项目为榜样，广泛宣传基层一线科技工作者和创新团队典型。</w:t>
      </w:r>
    </w:p>
    <w:p>
      <w:pPr>
        <w:spacing w:line="560" w:lineRule="exact"/>
        <w:ind w:firstLine="640" w:firstLineChars="200"/>
        <w:rPr>
          <w:rFonts w:ascii="黑体" w:hAnsi="黑体" w:eastAsia="黑体"/>
          <w:color w:val="auto"/>
          <w:sz w:val="32"/>
          <w:szCs w:val="32"/>
        </w:rPr>
      </w:pPr>
      <w:r>
        <w:rPr>
          <w:rFonts w:hint="eastAsia" w:ascii="黑体" w:hAnsi="黑体" w:eastAsia="黑体"/>
          <w:color w:val="auto"/>
          <w:sz w:val="32"/>
          <w:szCs w:val="32"/>
        </w:rPr>
        <w:t>四、建立更加灵活的人才技术交流平台</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发挥政府桥梁纽带作用，整合人才资源和人才流通渠道，搭建交流平台，以更加灵活的方式开展人才交流。进一步提升创新资源配置能力、促进科技人才交流、加强科技平台建设、引导企业积极“走出去”。积极培育技术转移服务中介，促进关键技术在国内、国际转移，助推全区创新主体对接国际创新资源，缩小全区与全国、世界先进水平的技术差距。</w:t>
      </w:r>
      <w:r>
        <w:rPr>
          <w:rFonts w:ascii="Times New Roman" w:hAnsi="Times New Roman" w:eastAsia="方正仿宋_GBK"/>
          <w:color w:val="auto"/>
          <w:sz w:val="32"/>
          <w:szCs w:val="32"/>
        </w:rPr>
        <w:t>积极探索赋予企业人才工程配额权、人才选拔自主权、人才评价主导权，以项目带动人才加快集聚</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积极打造科技创新园等创新平台，发展研发设计、创业孵化、技术转移等科技服务</w:t>
      </w:r>
      <w:r>
        <w:rPr>
          <w:rFonts w:hint="eastAsia" w:ascii="Times New Roman" w:hAnsi="Times New Roman" w:eastAsia="方正仿宋_GBK"/>
          <w:color w:val="auto"/>
          <w:sz w:val="32"/>
          <w:szCs w:val="32"/>
        </w:rPr>
        <w:t>。加强与两院院士为重点的高端人才的产学研合作平台建设，打造创新人才高地和独具特色的乡土人才基地。</w:t>
      </w:r>
    </w:p>
    <w:p>
      <w:pPr>
        <w:pStyle w:val="4"/>
        <w:rPr>
          <w:b w:val="0"/>
          <w:bCs w:val="0"/>
          <w:color w:val="auto"/>
          <w:sz w:val="36"/>
        </w:rPr>
      </w:pPr>
      <w:bookmarkStart w:id="190" w:name="_Toc14099"/>
      <w:bookmarkStart w:id="191" w:name="_Toc17423"/>
      <w:bookmarkStart w:id="192" w:name="_Toc446364496"/>
      <w:bookmarkStart w:id="193" w:name="_Toc60044132"/>
      <w:bookmarkStart w:id="194" w:name="_Toc20230"/>
      <w:r>
        <w:rPr>
          <w:rFonts w:hint="eastAsia"/>
          <w:b w:val="0"/>
          <w:bCs w:val="0"/>
          <w:color w:val="auto"/>
          <w:sz w:val="36"/>
        </w:rPr>
        <w:t>第三十三章　完善科技创新体制机制</w:t>
      </w:r>
      <w:bookmarkEnd w:id="190"/>
      <w:bookmarkEnd w:id="191"/>
      <w:bookmarkEnd w:id="192"/>
      <w:bookmarkEnd w:id="193"/>
      <w:bookmarkEnd w:id="194"/>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推动科技创新体制机制改革，优化科技创新力量布局、要素配置、人才队伍进一步体系化、建制化、协同化，提升创新体系整体效能。</w:t>
      </w:r>
      <w:r>
        <w:rPr>
          <w:rFonts w:ascii="Times New Roman" w:hAnsi="Times New Roman" w:eastAsia="方正仿宋_GBK"/>
          <w:color w:val="auto"/>
          <w:sz w:val="32"/>
          <w:szCs w:val="32"/>
        </w:rPr>
        <w:t xml:space="preserve"> </w:t>
      </w:r>
    </w:p>
    <w:p>
      <w:pPr>
        <w:spacing w:line="560" w:lineRule="exact"/>
        <w:ind w:firstLine="640" w:firstLineChars="200"/>
        <w:rPr>
          <w:rFonts w:ascii="黑体" w:hAnsi="黑体" w:eastAsia="黑体"/>
          <w:color w:val="auto"/>
          <w:sz w:val="32"/>
          <w:szCs w:val="32"/>
        </w:rPr>
      </w:pPr>
      <w:r>
        <w:rPr>
          <w:rFonts w:hint="eastAsia" w:ascii="黑体" w:hAnsi="黑体" w:eastAsia="黑体"/>
          <w:color w:val="auto"/>
          <w:sz w:val="32"/>
          <w:szCs w:val="32"/>
        </w:rPr>
        <w:t>一、加大研发投入</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构建稳定、多元、长期的科研资金投入体系，形成企业资金、政府资金与其它社会资金共同参与的投入体系。不断增加财政和企业R&amp;D研发经费的投入，提高高新技术企业总产值在GDP中的占比。强化通过创新项目贴息的方式，引导商业性科技贷款支持产业发展。积极扩大创业投资引导基金、天使投资引导基金、科技成果转化基金规模。强化云南省高新技术企业和研发费用所得税优惠政策实施，加大玉溪国家创新型城市建设企业研发投入。加强对研发投入后补助政策、企业享受税前加计扣除等税收优惠政策执行。</w:t>
      </w:r>
    </w:p>
    <w:p>
      <w:pPr>
        <w:spacing w:line="560" w:lineRule="exact"/>
        <w:ind w:firstLine="640" w:firstLineChars="200"/>
        <w:rPr>
          <w:rFonts w:ascii="黑体" w:hAnsi="黑体" w:eastAsia="黑体"/>
          <w:color w:val="auto"/>
          <w:sz w:val="32"/>
          <w:szCs w:val="32"/>
        </w:rPr>
      </w:pPr>
      <w:r>
        <w:rPr>
          <w:rFonts w:hint="eastAsia" w:ascii="黑体" w:hAnsi="黑体" w:eastAsia="黑体"/>
          <w:color w:val="auto"/>
          <w:sz w:val="32"/>
          <w:szCs w:val="32"/>
        </w:rPr>
        <w:t>二、完善金融支持创新体系</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以</w:t>
      </w:r>
      <w:r>
        <w:rPr>
          <w:rFonts w:ascii="Times New Roman" w:hAnsi="Times New Roman" w:eastAsia="方正仿宋_GBK"/>
          <w:color w:val="auto"/>
          <w:sz w:val="32"/>
          <w:szCs w:val="32"/>
        </w:rPr>
        <w:t>玉溪高新区龙泉片区</w:t>
      </w:r>
      <w:r>
        <w:rPr>
          <w:rFonts w:hint="eastAsia" w:ascii="Times New Roman" w:hAnsi="Times New Roman" w:eastAsia="方正仿宋_GBK"/>
          <w:color w:val="auto"/>
          <w:sz w:val="32"/>
          <w:szCs w:val="32"/>
        </w:rPr>
        <w:t>等为切入点，</w:t>
      </w:r>
      <w:r>
        <w:rPr>
          <w:rFonts w:ascii="Times New Roman" w:hAnsi="Times New Roman" w:eastAsia="方正仿宋_GBK"/>
          <w:color w:val="auto"/>
          <w:sz w:val="32"/>
          <w:szCs w:val="32"/>
        </w:rPr>
        <w:t>建立健全与科技创新需求相适应的金融服务体系</w:t>
      </w:r>
      <w:r>
        <w:rPr>
          <w:rFonts w:hint="eastAsia" w:ascii="Times New Roman" w:hAnsi="Times New Roman" w:eastAsia="方正仿宋_GBK"/>
          <w:color w:val="auto"/>
          <w:sz w:val="32"/>
          <w:szCs w:val="32"/>
        </w:rPr>
        <w:t>。抢抓资本市场改革机遇，支持企业通过多层次资本市场融资发展。不断完善金融机构信贷管理机制，建立与企业，特别是创新型中小企业发展相适应的信贷经营管理机制，简化信贷业务办理手续，提高服务水平，开发适合各类企业特点的金融产品和贷款项目服务，运用更方便快捷、灵活多样的融资方式，加大银行对创新型企业的信贷支持力度。</w:t>
      </w:r>
    </w:p>
    <w:p>
      <w:pPr>
        <w:spacing w:line="560" w:lineRule="exact"/>
        <w:ind w:firstLine="640" w:firstLineChars="200"/>
        <w:rPr>
          <w:rFonts w:ascii="黑体" w:hAnsi="黑体" w:eastAsia="黑体"/>
          <w:color w:val="auto"/>
          <w:sz w:val="32"/>
          <w:szCs w:val="32"/>
        </w:rPr>
      </w:pPr>
      <w:r>
        <w:rPr>
          <w:rFonts w:hint="eastAsia" w:ascii="黑体" w:hAnsi="黑体" w:eastAsia="黑体"/>
          <w:color w:val="auto"/>
          <w:sz w:val="32"/>
          <w:szCs w:val="32"/>
        </w:rPr>
        <w:t>三、注重知识产权保护</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严格执行</w:t>
      </w:r>
      <w:r>
        <w:rPr>
          <w:rFonts w:ascii="Times New Roman" w:hAnsi="Times New Roman" w:eastAsia="方正仿宋_GBK"/>
          <w:color w:val="auto"/>
          <w:sz w:val="32"/>
          <w:szCs w:val="32"/>
        </w:rPr>
        <w:t>专利法、商标法、著作权法、反垄断法、科学技术进步法</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坚持知识产权严保护政策导向，加大侵权假冒行为惩戒力度，开展关键领域、重点环节、重点群体行政执法专项行动。优化科技服务体系，强化知识产权全链条保护，打造最优创新创业生态，促进创新要素自主有序流动、高效配置。</w:t>
      </w:r>
      <w:r>
        <w:rPr>
          <w:rFonts w:hint="eastAsia" w:ascii="Times New Roman" w:hAnsi="Times New Roman" w:eastAsia="方正仿宋_GBK"/>
          <w:color w:val="auto"/>
          <w:sz w:val="32"/>
          <w:szCs w:val="32"/>
        </w:rPr>
        <w:t>完善</w:t>
      </w:r>
      <w:r>
        <w:rPr>
          <w:rFonts w:ascii="Times New Roman" w:hAnsi="Times New Roman" w:eastAsia="方正仿宋_GBK"/>
          <w:color w:val="auto"/>
          <w:sz w:val="32"/>
          <w:szCs w:val="32"/>
        </w:rPr>
        <w:t>便民利民的知识产权公共服务体系，让创新成果更好惠及人民。加强知识产权保护宣传教育，增强全社会尊重和保护知识产权的意识。</w:t>
      </w:r>
      <w:r>
        <w:rPr>
          <w:rFonts w:hint="eastAsia" w:ascii="Times New Roman" w:hAnsi="Times New Roman" w:eastAsia="方正仿宋_GBK"/>
          <w:color w:val="auto"/>
          <w:sz w:val="32"/>
          <w:szCs w:val="32"/>
        </w:rPr>
        <w:t>高起点规划知识产权强区战略建设，加快知识产权保护政策实施，加大知识产权行政执法力度。</w:t>
      </w:r>
    </w:p>
    <w:p>
      <w:pPr>
        <w:spacing w:line="560" w:lineRule="exact"/>
        <w:ind w:firstLine="640" w:firstLineChars="200"/>
        <w:rPr>
          <w:rFonts w:ascii="Times New Roman" w:hAnsi="Times New Roman" w:eastAsia="方正仿宋_GBK"/>
          <w:color w:val="auto"/>
          <w:sz w:val="32"/>
          <w:szCs w:val="32"/>
        </w:rPr>
      </w:pPr>
      <w:r>
        <w:rPr>
          <w:rFonts w:hint="eastAsia" w:ascii="黑体" w:hAnsi="黑体" w:eastAsia="黑体"/>
          <w:color w:val="auto"/>
          <w:sz w:val="32"/>
          <w:szCs w:val="32"/>
        </w:rPr>
        <w:t>四、营造创新氛围</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抓实科普宣传，提升全民科学素质，</w:t>
      </w:r>
      <w:r>
        <w:rPr>
          <w:rFonts w:ascii="Times New Roman" w:hAnsi="Times New Roman" w:eastAsia="方正仿宋_GBK"/>
          <w:color w:val="auto"/>
          <w:sz w:val="32"/>
          <w:szCs w:val="32"/>
        </w:rPr>
        <w:t>2025</w:t>
      </w:r>
      <w:r>
        <w:rPr>
          <w:rFonts w:hint="eastAsia" w:ascii="Times New Roman" w:hAnsi="Times New Roman" w:eastAsia="方正仿宋_GBK"/>
          <w:color w:val="auto"/>
          <w:sz w:val="32"/>
          <w:szCs w:val="32"/>
        </w:rPr>
        <w:t>年公民具备基本科学素质的比例达</w:t>
      </w:r>
      <w:r>
        <w:rPr>
          <w:rFonts w:ascii="Times New Roman" w:hAnsi="Times New Roman" w:eastAsia="方正仿宋_GBK"/>
          <w:color w:val="auto"/>
          <w:sz w:val="32"/>
          <w:szCs w:val="32"/>
        </w:rPr>
        <w:t>15%</w:t>
      </w:r>
      <w:r>
        <w:rPr>
          <w:rFonts w:hint="eastAsia" w:ascii="Times New Roman" w:hAnsi="Times New Roman" w:eastAsia="方正仿宋_GBK"/>
          <w:color w:val="auto"/>
          <w:sz w:val="32"/>
          <w:szCs w:val="32"/>
        </w:rPr>
        <w:t>以上。营造浓厚的创新氛围</w:t>
      </w:r>
      <w:r>
        <w:rPr>
          <w:rFonts w:ascii="Times New Roman" w:hAnsi="Times New Roman" w:eastAsia="方正仿宋_GBK"/>
          <w:color w:val="auto"/>
          <w:sz w:val="32"/>
          <w:szCs w:val="32"/>
        </w:rPr>
        <w:t>，全力激发全社会创新创业活力。加大</w:t>
      </w:r>
      <w:r>
        <w:rPr>
          <w:rFonts w:hint="eastAsia" w:ascii="Times New Roman" w:hAnsi="Times New Roman" w:eastAsia="方正仿宋_GBK"/>
          <w:color w:val="auto"/>
          <w:sz w:val="32"/>
          <w:szCs w:val="32"/>
        </w:rPr>
        <w:t>科技创新</w:t>
      </w:r>
      <w:r>
        <w:rPr>
          <w:rFonts w:ascii="Times New Roman" w:hAnsi="Times New Roman" w:eastAsia="方正仿宋_GBK"/>
          <w:color w:val="auto"/>
          <w:sz w:val="32"/>
          <w:szCs w:val="32"/>
        </w:rPr>
        <w:t>载体吸引</w:t>
      </w:r>
      <w:r>
        <w:rPr>
          <w:rFonts w:hint="eastAsia" w:ascii="Times New Roman" w:hAnsi="Times New Roman" w:eastAsia="方正仿宋_GBK"/>
          <w:color w:val="auto"/>
          <w:sz w:val="32"/>
          <w:szCs w:val="32"/>
        </w:rPr>
        <w:t>高新技术企业</w:t>
      </w:r>
      <w:r>
        <w:rPr>
          <w:rFonts w:ascii="Times New Roman" w:hAnsi="Times New Roman" w:eastAsia="方正仿宋_GBK"/>
          <w:color w:val="auto"/>
          <w:sz w:val="32"/>
          <w:szCs w:val="32"/>
        </w:rPr>
        <w:t>力度，强化科技创新政策落地，</w:t>
      </w:r>
      <w:r>
        <w:rPr>
          <w:rFonts w:hint="eastAsia" w:ascii="Times New Roman" w:hAnsi="Times New Roman" w:eastAsia="方正仿宋_GBK"/>
          <w:color w:val="auto"/>
          <w:sz w:val="32"/>
          <w:szCs w:val="32"/>
        </w:rPr>
        <w:t>提升</w:t>
      </w:r>
      <w:r>
        <w:rPr>
          <w:rFonts w:ascii="Times New Roman" w:hAnsi="Times New Roman" w:eastAsia="方正仿宋_GBK"/>
          <w:color w:val="auto"/>
          <w:sz w:val="32"/>
          <w:szCs w:val="32"/>
        </w:rPr>
        <w:t>企业信心</w:t>
      </w:r>
      <w:r>
        <w:rPr>
          <w:rFonts w:hint="eastAsia" w:ascii="Times New Roman" w:hAnsi="Times New Roman" w:eastAsia="方正仿宋_GBK"/>
          <w:color w:val="auto"/>
          <w:sz w:val="32"/>
          <w:szCs w:val="32"/>
        </w:rPr>
        <w:t>增加</w:t>
      </w:r>
      <w:r>
        <w:rPr>
          <w:rFonts w:ascii="Times New Roman" w:hAnsi="Times New Roman" w:eastAsia="方正仿宋_GBK"/>
          <w:color w:val="auto"/>
          <w:sz w:val="32"/>
          <w:szCs w:val="32"/>
        </w:rPr>
        <w:t>科技创新投入。</w:t>
      </w:r>
      <w:r>
        <w:rPr>
          <w:rFonts w:hint="eastAsia" w:ascii="Times New Roman" w:hAnsi="Times New Roman" w:eastAsia="方正仿宋_GBK"/>
          <w:color w:val="auto"/>
          <w:sz w:val="32"/>
          <w:szCs w:val="32"/>
        </w:rPr>
        <w:t>构建各类主体协同创新、合作共赢的产业生态，建立以企业为主体、市场为导向、产学研深度融合的技术创新体系，积极营造江川全社会尊重科学、尊重人才的良好氛围。</w:t>
      </w:r>
    </w:p>
    <w:bookmarkEnd w:id="155"/>
    <w:p>
      <w:pPr>
        <w:widowControl/>
        <w:spacing w:line="240" w:lineRule="auto"/>
        <w:ind w:firstLine="0" w:firstLineChars="0"/>
        <w:jc w:val="left"/>
        <w:rPr>
          <w:rFonts w:ascii="Times New Roman" w:hAnsi="Times New Roman" w:eastAsia="方正仿宋_GBK"/>
          <w:color w:val="auto"/>
          <w:sz w:val="32"/>
          <w:szCs w:val="32"/>
        </w:rPr>
      </w:pPr>
      <w:r>
        <w:rPr>
          <w:rFonts w:ascii="Times New Roman" w:hAnsi="Times New Roman" w:eastAsia="方正仿宋_GBK"/>
          <w:color w:val="auto"/>
          <w:sz w:val="32"/>
          <w:szCs w:val="32"/>
        </w:rPr>
        <w:br w:type="page"/>
      </w:r>
    </w:p>
    <w:p>
      <w:pPr>
        <w:pStyle w:val="3"/>
        <w:rPr>
          <w:rFonts w:eastAsia="方正小标宋简体"/>
          <w:b w:val="0"/>
          <w:bCs w:val="0"/>
          <w:color w:val="auto"/>
          <w:sz w:val="40"/>
        </w:rPr>
      </w:pPr>
      <w:bookmarkStart w:id="195" w:name="_Toc17184"/>
      <w:bookmarkStart w:id="196" w:name="_Toc13307"/>
      <w:bookmarkStart w:id="197" w:name="_Toc446364497"/>
      <w:bookmarkStart w:id="198" w:name="_Toc26880"/>
      <w:r>
        <w:rPr>
          <w:rFonts w:hint="eastAsia" w:eastAsia="方正小标宋简体"/>
          <w:b w:val="0"/>
          <w:bCs w:val="0"/>
          <w:color w:val="auto"/>
          <w:sz w:val="40"/>
        </w:rPr>
        <w:t>第十篇　</w:t>
      </w:r>
      <w:r>
        <w:rPr>
          <w:rFonts w:eastAsia="方正小标宋简体"/>
          <w:b w:val="0"/>
          <w:bCs w:val="0"/>
          <w:color w:val="auto"/>
          <w:sz w:val="40"/>
        </w:rPr>
        <w:t>坚持绿色发展，促进人与自然和谐共生</w:t>
      </w:r>
      <w:bookmarkEnd w:id="195"/>
      <w:bookmarkEnd w:id="196"/>
      <w:bookmarkEnd w:id="197"/>
      <w:bookmarkEnd w:id="198"/>
    </w:p>
    <w:p>
      <w:pPr>
        <w:spacing w:line="53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坚持绿水青山就是金山银山理念，坚持尊重自然、顺应自然、保护自然，坚持节约优先、保护优先、自然恢复为主，深入实施可持续发展战略，以建设“美丽江川”为主线，加强生态文明建设，协同推进新型工业化、信息化、城镇化、农业现代化和绿色化发展，打好污染防治攻坚战，提升城乡人居环境和绿色生态产品供给能力，建设人与自然和谐共生的现代化。</w:t>
      </w:r>
    </w:p>
    <w:p>
      <w:pPr>
        <w:pStyle w:val="4"/>
        <w:spacing w:line="530" w:lineRule="exact"/>
        <w:rPr>
          <w:b w:val="0"/>
          <w:bCs w:val="0"/>
          <w:color w:val="auto"/>
          <w:sz w:val="36"/>
        </w:rPr>
      </w:pPr>
      <w:bookmarkStart w:id="199" w:name="_Toc446364498"/>
      <w:bookmarkStart w:id="200" w:name="_Toc12795"/>
      <w:bookmarkStart w:id="201" w:name="_Toc24449"/>
      <w:bookmarkStart w:id="202" w:name="_Toc25985"/>
      <w:r>
        <w:rPr>
          <w:rFonts w:hint="eastAsia"/>
          <w:b w:val="0"/>
          <w:bCs w:val="0"/>
          <w:color w:val="auto"/>
          <w:sz w:val="36"/>
        </w:rPr>
        <w:t>第三十四章  抓好星云湖保护治理</w:t>
      </w:r>
      <w:bookmarkEnd w:id="199"/>
      <w:bookmarkEnd w:id="200"/>
      <w:bookmarkEnd w:id="201"/>
      <w:bookmarkEnd w:id="202"/>
    </w:p>
    <w:p>
      <w:pPr>
        <w:spacing w:line="53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坚持山水林田湖草系统治理，</w:t>
      </w:r>
      <w:r>
        <w:rPr>
          <w:rFonts w:hint="eastAsia" w:ascii="Times New Roman" w:hAnsi="Times New Roman" w:eastAsia="方正仿宋_GBK"/>
          <w:color w:val="auto"/>
          <w:sz w:val="32"/>
          <w:szCs w:val="32"/>
        </w:rPr>
        <w:t>以革命性举措抓好星云湖保护治理，</w:t>
      </w:r>
      <w:r>
        <w:rPr>
          <w:rFonts w:ascii="Times New Roman" w:hAnsi="Times New Roman" w:eastAsia="方正仿宋_GBK"/>
          <w:color w:val="auto"/>
          <w:sz w:val="32"/>
          <w:szCs w:val="32"/>
        </w:rPr>
        <w:t>坚决落实</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四个彻底转变</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认真贯彻执行《云南省星云湖保护条例》，以最严格举措抓好星云湖保护治理。强化星云湖流域空间管控，着力构建污染防控、健康水循环、绿色低碳发展、监控管理四大体系。实施星云湖流域生态保护与修复工程，</w:t>
      </w:r>
      <w:r>
        <w:rPr>
          <w:rFonts w:hint="eastAsia" w:ascii="Times New Roman" w:hAnsi="Times New Roman" w:eastAsia="方正仿宋_GBK"/>
          <w:color w:val="auto"/>
          <w:sz w:val="32"/>
          <w:szCs w:val="32"/>
        </w:rPr>
        <w:t>加强</w:t>
      </w:r>
      <w:r>
        <w:rPr>
          <w:rFonts w:ascii="Times New Roman" w:hAnsi="Times New Roman" w:eastAsia="方正仿宋_GBK"/>
          <w:color w:val="auto"/>
          <w:sz w:val="32"/>
          <w:szCs w:val="32"/>
        </w:rPr>
        <w:t>湖滨缓冲带生态修复、水质提升、污水和垃圾收集处理、入湖河道生态治理、调水补水</w:t>
      </w:r>
      <w:r>
        <w:rPr>
          <w:rFonts w:hint="eastAsia" w:ascii="Times New Roman" w:hAnsi="Times New Roman" w:eastAsia="方正仿宋_GBK"/>
          <w:color w:val="auto"/>
          <w:sz w:val="32"/>
          <w:szCs w:val="32"/>
        </w:rPr>
        <w:t>、生态搬迁等项目</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持续提升蓝藻治理水平，做好星云湖生态廊道建设，</w:t>
      </w:r>
      <w:r>
        <w:rPr>
          <w:rFonts w:ascii="Times New Roman" w:hAnsi="Times New Roman" w:eastAsia="方正仿宋_GBK"/>
          <w:color w:val="auto"/>
          <w:sz w:val="32"/>
          <w:szCs w:val="32"/>
        </w:rPr>
        <w:t>确保星云湖水质稳定向好。</w:t>
      </w:r>
    </w:p>
    <w:p>
      <w:pPr>
        <w:spacing w:line="53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落实“一湖一策”，统筹生态生产生活水资源科学利用，构建以生态系统良性运行为核心的健康水循环体系；推动星云湖径流区重点行业和重要领域绿色化改造，构建以稳定健康可持续为导向的绿色低碳发展体系；推进“智慧星云湖”建设，加快搭建水陆统筹、天地一体、市</w:t>
      </w:r>
      <w:r>
        <w:rPr>
          <w:rFonts w:hint="eastAsia" w:ascii="Times New Roman" w:hAnsi="Times New Roman" w:eastAsia="方正仿宋_GBK"/>
          <w:color w:val="auto"/>
          <w:sz w:val="32"/>
          <w:szCs w:val="32"/>
          <w:lang w:eastAsia="zh-CN"/>
        </w:rPr>
        <w:t>区</w:t>
      </w:r>
      <w:r>
        <w:rPr>
          <w:rFonts w:hint="eastAsia" w:ascii="Times New Roman" w:hAnsi="Times New Roman" w:eastAsia="方正仿宋_GBK"/>
          <w:color w:val="auto"/>
          <w:sz w:val="32"/>
          <w:szCs w:val="32"/>
        </w:rPr>
        <w:t>联网共享的星云湖生态环境监控网络，构建以有效防控生态风险为重点的监控管理体系。</w:t>
      </w:r>
    </w:p>
    <w:p>
      <w:pPr>
        <w:spacing w:line="53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加快推进环星云湖“湖滨湿地+青铜文化+康体休闲”生态旅游圈建设，以保护生态环境和发挥生态优势为基础，以优化养生环境、发展养生经济、弘扬养生文化为重点，以生态休闲旅游景区、休闲养生（养老）基地和养生乡村建设为载体，建设现代康养产业大县，打造特色康养品牌。</w:t>
      </w:r>
    </w:p>
    <w:p>
      <w:pPr>
        <w:pStyle w:val="4"/>
        <w:spacing w:line="530" w:lineRule="exact"/>
        <w:rPr>
          <w:b w:val="0"/>
          <w:bCs w:val="0"/>
          <w:color w:val="auto"/>
          <w:sz w:val="36"/>
        </w:rPr>
      </w:pPr>
      <w:bookmarkStart w:id="203" w:name="_Toc10101"/>
      <w:bookmarkStart w:id="204" w:name="_Toc31585"/>
      <w:bookmarkStart w:id="205" w:name="_Toc446364499"/>
      <w:bookmarkStart w:id="206" w:name="_Toc11293"/>
      <w:r>
        <w:rPr>
          <w:rFonts w:hint="eastAsia"/>
          <w:b w:val="0"/>
          <w:bCs w:val="0"/>
          <w:color w:val="auto"/>
          <w:sz w:val="36"/>
        </w:rPr>
        <w:t>第三十五章  持续改善环境质量</w:t>
      </w:r>
      <w:bookmarkEnd w:id="203"/>
      <w:bookmarkEnd w:id="204"/>
      <w:bookmarkEnd w:id="205"/>
      <w:bookmarkEnd w:id="206"/>
    </w:p>
    <w:p>
      <w:pPr>
        <w:spacing w:line="53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毫不放松推进环境治理，持续改善环境质量，坚持方向不变、力度不减，突出精准治污、科学治污、依法治污，继续开展污染防治行动，注重生态系统整体性保护和修复、提升生态系统质量和稳定性，聚焦突出问题，抓重点、补短板、强弱项，全面改善环境质量。</w:t>
      </w:r>
    </w:p>
    <w:p>
      <w:pPr>
        <w:spacing w:line="530" w:lineRule="exact"/>
        <w:ind w:firstLine="640" w:firstLineChars="200"/>
        <w:rPr>
          <w:rFonts w:hint="eastAsia" w:ascii="黑体" w:hAnsi="黑体" w:eastAsia="黑体"/>
          <w:color w:val="auto"/>
          <w:sz w:val="32"/>
          <w:szCs w:val="32"/>
          <w:lang w:eastAsia="zh-CN"/>
        </w:rPr>
      </w:pPr>
      <w:r>
        <w:rPr>
          <w:rFonts w:hint="eastAsia" w:ascii="黑体" w:hAnsi="黑体" w:eastAsia="黑体"/>
          <w:b w:val="0"/>
          <w:color w:val="auto"/>
          <w:sz w:val="32"/>
          <w:szCs w:val="32"/>
        </w:rPr>
        <w:t>一、持续打好环境</w:t>
      </w:r>
      <w:r>
        <w:rPr>
          <w:rFonts w:hint="eastAsia" w:ascii="黑体" w:hAnsi="黑体" w:eastAsia="黑体"/>
          <w:b w:val="0"/>
          <w:color w:val="000000" w:themeColor="text1"/>
          <w:sz w:val="32"/>
          <w:szCs w:val="32"/>
          <w:lang w:eastAsia="zh-CN"/>
          <w:rPrChange w:id="0" w:author="马雪媛" w:date="2024-01-03T09:59:21Z">
            <w:rPr>
              <w:rFonts w:hint="eastAsia" w:ascii="黑体" w:hAnsi="黑体" w:eastAsia="黑体"/>
              <w:b w:val="0"/>
              <w:color w:val="auto"/>
              <w:sz w:val="32"/>
              <w:szCs w:val="32"/>
              <w:lang w:eastAsia="zh-CN"/>
            </w:rPr>
          </w:rPrChange>
          <w14:textFill>
            <w14:solidFill>
              <w14:schemeClr w14:val="tx1"/>
            </w14:solidFill>
          </w14:textFill>
        </w:rPr>
        <w:t>污染</w:t>
      </w:r>
      <w:r>
        <w:rPr>
          <w:rFonts w:hint="eastAsia" w:ascii="黑体" w:hAnsi="黑体" w:eastAsia="黑体"/>
          <w:b w:val="0"/>
          <w:color w:val="000000" w:themeColor="text1"/>
          <w:sz w:val="32"/>
          <w:szCs w:val="32"/>
          <w:lang w:eastAsia="zh-CN"/>
          <w:rPrChange w:id="1" w:author="马雪媛" w:date="2024-01-03T09:59:21Z">
            <w:rPr>
              <w:rFonts w:hint="eastAsia" w:ascii="黑体" w:hAnsi="黑体" w:eastAsia="黑体"/>
              <w:b w:val="0"/>
              <w:color w:val="auto"/>
              <w:sz w:val="32"/>
              <w:szCs w:val="32"/>
              <w:lang w:eastAsia="zh-CN"/>
            </w:rPr>
          </w:rPrChange>
          <w14:textFill>
            <w14:solidFill>
              <w14:schemeClr w14:val="tx1"/>
            </w14:solidFill>
          </w14:textFill>
        </w:rPr>
        <w:t>防治</w:t>
      </w:r>
      <w:r>
        <w:rPr>
          <w:rFonts w:hint="eastAsia" w:ascii="黑体" w:hAnsi="黑体" w:eastAsia="黑体"/>
          <w:b w:val="0"/>
          <w:color w:val="000000" w:themeColor="text1"/>
          <w:sz w:val="32"/>
          <w:szCs w:val="32"/>
          <w:lang w:eastAsia="zh-CN"/>
          <w:rPrChange w:id="2" w:author="马雪媛" w:date="2024-01-03T09:59:21Z">
            <w:rPr>
              <w:rFonts w:hint="eastAsia" w:ascii="黑体" w:hAnsi="黑体" w:eastAsia="黑体"/>
              <w:b w:val="0"/>
              <w:color w:val="auto"/>
              <w:sz w:val="32"/>
              <w:szCs w:val="32"/>
              <w:lang w:eastAsia="zh-CN"/>
            </w:rPr>
          </w:rPrChange>
          <w14:textFill>
            <w14:solidFill>
              <w14:schemeClr w14:val="tx1"/>
            </w14:solidFill>
          </w14:textFill>
        </w:rPr>
        <w:t>攻坚战</w:t>
      </w:r>
    </w:p>
    <w:p>
      <w:pPr>
        <w:spacing w:line="53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坚持精准治污、科学治污、依法治污，打好升级版污染防治攻坚战，把污染防治攻坚战向更高水平推进。坚决打赢蓝天碧水净土三大保卫战，让江川的天更蓝、山更绿、水更清。重点打好以星云湖保护治理为核心的治理攻坚战，全面落实河（湖）长制，落实工程措施和非工程性措施，多措并举，综合施策，集中力量对水源地环境进行综合整治，建立健全水资源战略储备体系。完成城市污水和农村污水的综合整治工作，深入推进全区固体废物的深度排查和整治工作。完成全区生态保护红线勘界定标，明确生产、生态、生活空间。坚决摒弃治污方式粗暴、简单以及“一刀切”方式，升级政策手段，强化市场经济激励机制，增强企业的减排动力。</w:t>
      </w:r>
    </w:p>
    <w:p>
      <w:pPr>
        <w:spacing w:line="530" w:lineRule="exact"/>
        <w:ind w:firstLine="640" w:firstLineChars="200"/>
        <w:rPr>
          <w:rFonts w:hint="eastAsia" w:ascii="方正黑体_GBK" w:hAnsi="方正黑体_GBK" w:eastAsia="方正黑体_GBK" w:cs="方正黑体_GBK"/>
          <w:b w:val="0"/>
          <w:bCs w:val="0"/>
          <w:color w:val="auto"/>
          <w:sz w:val="32"/>
        </w:rPr>
      </w:pPr>
      <w:r>
        <w:rPr>
          <w:rFonts w:hint="eastAsia" w:ascii="方正黑体_GBK" w:hAnsi="方正黑体_GBK" w:eastAsia="方正黑体_GBK" w:cs="方正黑体_GBK"/>
          <w:b w:val="0"/>
          <w:bCs w:val="0"/>
          <w:color w:val="auto"/>
          <w:sz w:val="32"/>
          <w:szCs w:val="32"/>
        </w:rPr>
        <w:t>二、构筑生态安全体系</w:t>
      </w:r>
    </w:p>
    <w:p>
      <w:pPr>
        <w:spacing w:line="580" w:lineRule="exact"/>
        <w:ind w:firstLine="640" w:firstLineChars="200"/>
        <w:rPr>
          <w:rFonts w:hint="eastAsia" w:ascii="Times New Roman" w:hAnsi="Times New Roman" w:eastAsia="方正仿宋_GBK"/>
          <w:color w:val="auto"/>
          <w:sz w:val="32"/>
          <w:szCs w:val="32"/>
        </w:rPr>
      </w:pPr>
      <w:r>
        <w:rPr>
          <w:rFonts w:ascii="Times New Roman" w:hAnsi="Times New Roman" w:eastAsia="方正仿宋_GBK"/>
          <w:color w:val="auto"/>
          <w:sz w:val="32"/>
          <w:szCs w:val="32"/>
        </w:rPr>
        <w:t>强化国土空间和用途管控，落实生态保护、基本农田、城镇开发等空间管控边界，明确生产、生态、生活空间。紧扣新发展理念，积极探索人与自然和谐共生，经济效益、社会效益、生态效益同步提升的绿色发展道路</w:t>
      </w:r>
      <w:r>
        <w:rPr>
          <w:rFonts w:hint="eastAsia" w:ascii="Times New Roman" w:hAnsi="Times New Roman" w:eastAsia="方正仿宋_GBK"/>
          <w:color w:val="auto"/>
          <w:sz w:val="32"/>
          <w:szCs w:val="32"/>
        </w:rPr>
        <w:t>。</w:t>
      </w:r>
    </w:p>
    <w:p>
      <w:pPr>
        <w:spacing w:line="58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提升生态系统的质量和稳定性，系统构建生态安全保护屏障。发挥主体功能区作为国土空间开发保护基础制度作用，统筹山水林田湖草</w:t>
      </w:r>
      <w:r>
        <w:rPr>
          <w:rFonts w:hint="eastAsia" w:ascii="Times New Roman" w:hAnsi="Times New Roman" w:eastAsia="方正仿宋_GBK"/>
          <w:color w:val="auto"/>
          <w:sz w:val="32"/>
          <w:szCs w:val="32"/>
          <w:lang w:eastAsia="zh-CN"/>
        </w:rPr>
        <w:t>沙</w:t>
      </w:r>
      <w:r>
        <w:rPr>
          <w:rFonts w:ascii="Times New Roman" w:hAnsi="Times New Roman" w:eastAsia="方正仿宋_GBK"/>
          <w:color w:val="auto"/>
          <w:sz w:val="32"/>
          <w:szCs w:val="32"/>
        </w:rPr>
        <w:t>系统治理，保护好主体功能区重要区域、田园生态系统。坚持保护优先，严守生态保护红线，严格“三线一单”全过程监管，对森林、草地、水域、农地等实行统一确权登记，明确自然资源资产产权制度，健全用途管制制度。</w:t>
      </w:r>
    </w:p>
    <w:p>
      <w:pPr>
        <w:spacing w:line="580" w:lineRule="exact"/>
        <w:ind w:firstLine="640" w:firstLineChars="200"/>
        <w:rPr>
          <w:rFonts w:ascii="Calibri" w:hAnsi="Calibri" w:eastAsia="宋体"/>
          <w:color w:val="auto"/>
          <w:sz w:val="21"/>
          <w:szCs w:val="22"/>
        </w:rPr>
      </w:pPr>
      <w:r>
        <w:rPr>
          <w:rFonts w:hint="eastAsia" w:ascii="Times New Roman" w:hAnsi="Times New Roman" w:eastAsia="方正仿宋_GBK"/>
          <w:color w:val="auto"/>
          <w:sz w:val="32"/>
          <w:szCs w:val="32"/>
          <w:lang w:val="en-US" w:eastAsia="zh-CN"/>
        </w:rPr>
        <w:t xml:space="preserve"> </w:t>
      </w:r>
      <w:r>
        <w:rPr>
          <w:rFonts w:ascii="Times New Roman" w:hAnsi="Times New Roman" w:eastAsia="方正仿宋_GBK"/>
          <w:color w:val="auto"/>
          <w:sz w:val="32"/>
          <w:szCs w:val="32"/>
        </w:rPr>
        <w:t>积极争取中央、省级生态功能区的支持，加强自然保护区、风景名胜区、水源涵养林区等重点生态功能区管护，全面提升湿地生态系统服务功能。尤其是针对星云湖治理，制定差别化的保护策略与管理措施，转变“就湖抓湖”的治理格局，解决岸上、入湖河流沿线、农业面源污染等问题，从源头抓落实，彻底转变被动治理的旧模式，建立林草和湿地生态安全体系，构建“山水林田湖草”生命共同体。全面推行“监测、核查、执法全覆盖”的环保监督机制，保持对破坏生态环境常态化监管的态势。</w:t>
      </w:r>
    </w:p>
    <w:p>
      <w:pPr>
        <w:pStyle w:val="4"/>
        <w:spacing w:line="530" w:lineRule="exact"/>
        <w:rPr>
          <w:b w:val="0"/>
          <w:bCs w:val="0"/>
          <w:color w:val="auto"/>
          <w:sz w:val="36"/>
        </w:rPr>
      </w:pPr>
      <w:bookmarkStart w:id="207" w:name="_Toc7233"/>
      <w:bookmarkStart w:id="208" w:name="_Toc446364500"/>
      <w:bookmarkStart w:id="209" w:name="_Toc3821"/>
      <w:bookmarkStart w:id="210" w:name="_Toc4507"/>
      <w:r>
        <w:rPr>
          <w:rFonts w:hint="eastAsia"/>
          <w:b w:val="0"/>
          <w:bCs w:val="0"/>
          <w:color w:val="auto"/>
          <w:sz w:val="36"/>
        </w:rPr>
        <w:t>第三十六章  推动绿色低碳发展</w:t>
      </w:r>
      <w:bookmarkEnd w:id="207"/>
      <w:bookmarkEnd w:id="208"/>
      <w:bookmarkEnd w:id="209"/>
      <w:bookmarkEnd w:id="210"/>
    </w:p>
    <w:p>
      <w:pPr>
        <w:spacing w:line="53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处理好保护与发展的关系，处理好人与自然的关系，注重提升资源利用效率，坚持节约优先、保护优先、自然恢复为主，推进资源总量管理、科学配置、全面节约、循环利用，让绿色成为高质量发展的鲜明底色。</w:t>
      </w:r>
    </w:p>
    <w:p>
      <w:pPr>
        <w:spacing w:line="530" w:lineRule="exact"/>
        <w:ind w:firstLine="640" w:firstLineChars="200"/>
        <w:rPr>
          <w:rFonts w:ascii="黑体" w:hAnsi="黑体" w:eastAsia="黑体"/>
          <w:color w:val="auto"/>
          <w:sz w:val="32"/>
          <w:szCs w:val="32"/>
        </w:rPr>
      </w:pPr>
      <w:r>
        <w:rPr>
          <w:rFonts w:hint="eastAsia" w:ascii="黑体" w:hAnsi="黑体" w:eastAsia="黑体"/>
          <w:color w:val="auto"/>
          <w:sz w:val="32"/>
          <w:szCs w:val="32"/>
        </w:rPr>
        <w:t>一、发展绿色产业</w:t>
      </w:r>
    </w:p>
    <w:p>
      <w:pPr>
        <w:spacing w:line="53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大力打造绿色低碳循环发展的产业体系，以“减量化、再利用、再循环”为行为准则，大力推进和倡导“绿色+生产方式”“绿色+生活方式”，使经济社会发展更加持续、更具活力。以发展绿色</w:t>
      </w:r>
      <w:r>
        <w:rPr>
          <w:rFonts w:hint="eastAsia" w:ascii="Times New Roman" w:hAnsi="Times New Roman" w:eastAsia="方正仿宋_GBK"/>
          <w:color w:val="auto"/>
          <w:sz w:val="32"/>
          <w:szCs w:val="32"/>
          <w:lang w:eastAsia="zh-CN"/>
        </w:rPr>
        <w:t>区</w:t>
      </w:r>
      <w:r>
        <w:rPr>
          <w:rFonts w:ascii="Times New Roman" w:hAnsi="Times New Roman" w:eastAsia="方正仿宋_GBK"/>
          <w:color w:val="auto"/>
          <w:sz w:val="32"/>
          <w:szCs w:val="32"/>
        </w:rPr>
        <w:t>域经济为新坐标，紧扣新发展理念，打好绿色“三张牌”，注重培植新动能，围绕产业升级、开放合作等重点领域，实施创新驱动，提高全要素生产率，实现动力变革、效率变革、质量变革。</w:t>
      </w:r>
    </w:p>
    <w:p>
      <w:pPr>
        <w:spacing w:line="53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围绕“绿色食品牌”积极培育绿色生态循环农业和开放型农业，培育一批绿色、有机食品和特种水产畜禽养殖生产基地。重点围绕“烤烟、蔬菜、花卉、渔业”等优势产业，培育一大批绿色农业龙头企业，形成绿色农产品示范基地、龙头企业和知名品牌为一体的绿色产业体系。</w:t>
      </w:r>
    </w:p>
    <w:p>
      <w:pPr>
        <w:spacing w:line="530" w:lineRule="exact"/>
        <w:ind w:firstLine="640" w:firstLineChars="200"/>
        <w:rPr>
          <w:rFonts w:ascii="Times New Roman" w:hAnsi="Times New Roman" w:eastAsia="方正仿宋_GBK"/>
          <w:color w:val="auto"/>
          <w:spacing w:val="-6"/>
          <w:sz w:val="32"/>
          <w:szCs w:val="32"/>
        </w:rPr>
      </w:pPr>
      <w:r>
        <w:rPr>
          <w:rFonts w:ascii="Times New Roman" w:hAnsi="Times New Roman" w:eastAsia="方正仿宋_GBK"/>
          <w:color w:val="auto"/>
          <w:sz w:val="32"/>
          <w:szCs w:val="32"/>
        </w:rPr>
        <w:t>构建集约型的生产模式，重构产业链各环节，瞄准新模式融合，提升运作效率，实现传统工业新旧动能转化。全面推进清洁生产改造或清洁化改造，鼓励企业研发或引进绿色生产技术，降低资源消耗强度，提高资源综合利用水平，强化产品全生命周期</w:t>
      </w:r>
      <w:r>
        <w:rPr>
          <w:rFonts w:ascii="Times New Roman" w:hAnsi="Times New Roman" w:eastAsia="方正仿宋_GBK"/>
          <w:color w:val="auto"/>
          <w:spacing w:val="-6"/>
          <w:sz w:val="32"/>
          <w:szCs w:val="32"/>
        </w:rPr>
        <w:t>绿色管理，让绿色成为产业转型升级、经济高质量发展的基本底色。</w:t>
      </w:r>
    </w:p>
    <w:p>
      <w:pPr>
        <w:spacing w:line="530" w:lineRule="exact"/>
        <w:ind w:firstLine="640" w:firstLineChars="200"/>
        <w:rPr>
          <w:rFonts w:ascii="黑体" w:hAnsi="黑体"/>
          <w:b w:val="0"/>
          <w:bCs w:val="0"/>
          <w:color w:val="auto"/>
          <w:sz w:val="32"/>
        </w:rPr>
      </w:pPr>
      <w:r>
        <w:rPr>
          <w:rFonts w:hint="eastAsia" w:ascii="黑体" w:hAnsi="黑体" w:eastAsia="黑体"/>
          <w:b w:val="0"/>
          <w:bCs w:val="0"/>
          <w:color w:val="auto"/>
          <w:sz w:val="32"/>
          <w:szCs w:val="32"/>
        </w:rPr>
        <w:t>二、倡导绿色生活理念</w:t>
      </w:r>
    </w:p>
    <w:p>
      <w:pPr>
        <w:spacing w:line="53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推进绿色发展方式和生活方式，鼓励绿色消费，引导绿色出行，推广绿色建筑，积极倡导绿色生活理念，推动形成绿色生活方式，让绿色理念深入人心，营造全民环保的氛围。建立激励约束并举的绿色消费政策体系，为改善生态环境、实现高质量可持续发展提供重要的内生动能。推动绿色饮食、绿色建筑、绿色出行、绿色家用等环保生活方式，推进节约型机关创建，发挥党政机关节约资源能源的引领带动作用</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构建绿色供应链。持续开展环保政策法规知识宣传，推进各类环保设施向公众开放，加强生态环境信息公开，宣传生态文明理念，倡导绿色生活消费方式，提升全民生态环境意识。</w:t>
      </w:r>
    </w:p>
    <w:p>
      <w:pPr>
        <w:pStyle w:val="4"/>
        <w:spacing w:line="530" w:lineRule="exact"/>
        <w:rPr>
          <w:b w:val="0"/>
          <w:bCs w:val="0"/>
          <w:color w:val="auto"/>
          <w:sz w:val="36"/>
        </w:rPr>
      </w:pPr>
      <w:bookmarkStart w:id="211" w:name="_Toc446364501"/>
      <w:bookmarkStart w:id="212" w:name="_Toc13913"/>
      <w:bookmarkStart w:id="213" w:name="_Toc440"/>
      <w:bookmarkStart w:id="214" w:name="_Toc11295"/>
      <w:bookmarkStart w:id="215" w:name="_Toc435962491"/>
      <w:r>
        <w:rPr>
          <w:rFonts w:hint="eastAsia"/>
          <w:b w:val="0"/>
          <w:bCs w:val="0"/>
          <w:color w:val="auto"/>
          <w:sz w:val="36"/>
        </w:rPr>
        <w:t xml:space="preserve">第三十七章  </w:t>
      </w:r>
      <w:r>
        <w:rPr>
          <w:b w:val="0"/>
          <w:bCs w:val="0"/>
          <w:color w:val="auto"/>
          <w:sz w:val="36"/>
        </w:rPr>
        <w:t>完善环保制度</w:t>
      </w:r>
      <w:bookmarkEnd w:id="211"/>
      <w:bookmarkEnd w:id="212"/>
      <w:bookmarkEnd w:id="213"/>
      <w:bookmarkEnd w:id="214"/>
    </w:p>
    <w:p>
      <w:pPr>
        <w:spacing w:line="530" w:lineRule="exact"/>
        <w:ind w:firstLine="640" w:firstLineChars="200"/>
        <w:rPr>
          <w:b/>
          <w:color w:val="auto"/>
          <w:sz w:val="36"/>
        </w:rPr>
      </w:pPr>
      <w:r>
        <w:rPr>
          <w:rFonts w:ascii="Times New Roman" w:hAnsi="Times New Roman" w:eastAsia="方正仿宋_GBK"/>
          <w:color w:val="auto"/>
          <w:sz w:val="32"/>
          <w:szCs w:val="32"/>
        </w:rPr>
        <w:t>围绕领导干部生态文明建设责任制和“管发展、管生产、管行业必须管环保”的工作要求，严格实行党政同责、一岗双责。要突出“严”和“实”，认真抓好地方党政领导生态环境保护责任制的落实，把具体任务分解到各乡镇（街道）和有关部门，责任明确到人。落实党政领导干部生态环境损害责任追究、领导干部自然资源资产离任审计、县域生态环境质量监测评价等制度。建立公、检、法、司、生态环境、林草等执法部门联合协作执法机制，推动源头严防、过程严管和后果严惩制度落到实处。推进江川区环境管理信息系统建设，实现各个环境管理要素信息的互联互通，增强系统智能化管理，做到环境管理和污染防治的定向、准确。</w:t>
      </w:r>
    </w:p>
    <w:p>
      <w:pPr>
        <w:spacing w:line="530" w:lineRule="exact"/>
        <w:ind w:firstLine="0" w:firstLineChars="0"/>
        <w:rPr>
          <w:rFonts w:ascii="Times New Roman" w:hAnsi="Times New Roman" w:eastAsia="仿宋"/>
          <w:color w:val="auto"/>
          <w:sz w:val="32"/>
          <w:szCs w:val="32"/>
        </w:rPr>
      </w:pPr>
    </w:p>
    <w:tbl>
      <w:tblPr>
        <w:tblStyle w:val="20"/>
        <w:tblW w:w="90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051" w:type="dxa"/>
          </w:tcPr>
          <w:p>
            <w:pPr>
              <w:jc w:val="center"/>
              <w:rPr>
                <w:rFonts w:ascii="宋体" w:hAnsi="宋体" w:cs="FangSong_GB2312"/>
                <w:color w:val="000000"/>
                <w:kern w:val="0"/>
                <w:sz w:val="24"/>
                <w:szCs w:val="24"/>
              </w:rPr>
            </w:pPr>
            <w:r>
              <w:rPr>
                <w:rFonts w:hint="eastAsia" w:ascii="Times New Roman" w:hAnsi="Times New Roman" w:eastAsia="方正仿宋_GBK"/>
                <w:b/>
                <w:color w:val="auto"/>
                <w:sz w:val="32"/>
                <w:szCs w:val="28"/>
              </w:rPr>
              <w:t>专栏10：生态文明建设工程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1" w:type="dxa"/>
          </w:tcPr>
          <w:p>
            <w:pPr>
              <w:spacing w:line="360" w:lineRule="exact"/>
              <w:rPr>
                <w:rFonts w:ascii="Times New Roman" w:hAnsi="Times New Roman" w:eastAsia="方正仿宋_GBK"/>
                <w:b/>
                <w:color w:val="auto"/>
                <w:szCs w:val="21"/>
              </w:rPr>
            </w:pPr>
            <w:r>
              <w:rPr>
                <w:rFonts w:hint="eastAsia" w:ascii="Times New Roman" w:hAnsi="Times New Roman" w:eastAsia="方正仿宋_GBK"/>
                <w:b/>
                <w:color w:val="auto"/>
                <w:szCs w:val="21"/>
              </w:rPr>
              <w:t>星云湖保护治理工程：</w:t>
            </w:r>
            <w:r>
              <w:rPr>
                <w:rFonts w:hint="eastAsia" w:ascii="Times New Roman" w:hAnsi="Times New Roman" w:eastAsia="方正仿宋_GBK"/>
                <w:bCs/>
                <w:color w:val="auto"/>
                <w:szCs w:val="21"/>
              </w:rPr>
              <w:t>江川区周官河渔村河大街河综合治理工程</w:t>
            </w:r>
            <w:r>
              <w:rPr>
                <w:rFonts w:hint="eastAsia" w:ascii="Times New Roman" w:hAnsi="Times New Roman" w:eastAsia="方正仿宋_GBK"/>
                <w:b/>
                <w:color w:val="auto"/>
                <w:szCs w:val="21"/>
              </w:rPr>
              <w:t>、</w:t>
            </w:r>
            <w:r>
              <w:rPr>
                <w:rFonts w:hint="eastAsia" w:ascii="Times New Roman" w:hAnsi="Times New Roman" w:eastAsia="方正仿宋_GBK"/>
                <w:bCs/>
                <w:color w:val="auto"/>
                <w:szCs w:val="21"/>
              </w:rPr>
              <w:t>星云湖一级保护区生态修复及生态屏障构建工程（二期）、星云湖生态调蓄带水资源循环利用项目、江川区星云湖环湖生态农业产业带建设项目</w:t>
            </w:r>
            <w:r>
              <w:rPr>
                <w:rFonts w:hint="eastAsia" w:ascii="Times New Roman" w:hAnsi="Times New Roman" w:eastAsia="方正仿宋_GBK"/>
                <w:color w:val="auto"/>
                <w:szCs w:val="21"/>
              </w:rPr>
              <w:t>。</w:t>
            </w:r>
          </w:p>
          <w:p>
            <w:pPr>
              <w:spacing w:line="360" w:lineRule="exact"/>
              <w:rPr>
                <w:rFonts w:ascii="Times New Roman" w:hAnsi="Times New Roman" w:eastAsia="方正仿宋_GBK"/>
                <w:bCs/>
                <w:color w:val="auto"/>
                <w:szCs w:val="21"/>
              </w:rPr>
            </w:pPr>
            <w:r>
              <w:rPr>
                <w:rFonts w:hint="eastAsia" w:ascii="Times New Roman" w:hAnsi="Times New Roman" w:eastAsia="方正仿宋_GBK"/>
                <w:b/>
                <w:color w:val="auto"/>
                <w:szCs w:val="21"/>
              </w:rPr>
              <w:t>环境污染治理</w:t>
            </w:r>
            <w:r>
              <w:rPr>
                <w:rFonts w:ascii="Times New Roman" w:hAnsi="Times New Roman" w:eastAsia="方正仿宋_GBK"/>
                <w:b/>
                <w:color w:val="auto"/>
                <w:szCs w:val="21"/>
              </w:rPr>
              <w:t>工程</w:t>
            </w:r>
            <w:r>
              <w:rPr>
                <w:rFonts w:hint="eastAsia" w:ascii="Times New Roman" w:hAnsi="Times New Roman" w:eastAsia="方正仿宋_GBK"/>
                <w:b/>
                <w:color w:val="auto"/>
                <w:szCs w:val="21"/>
              </w:rPr>
              <w:t>：</w:t>
            </w:r>
            <w:r>
              <w:rPr>
                <w:rFonts w:hint="eastAsia" w:ascii="Times New Roman" w:hAnsi="Times New Roman" w:eastAsia="方正仿宋_GBK"/>
                <w:bCs/>
                <w:color w:val="auto"/>
                <w:szCs w:val="21"/>
              </w:rPr>
              <w:t>江川区城镇垃圾收集治理项目、江川区农村生活污水收集治理项目、星云湖西片区污水处理厂及配套工程、星云湖东片区污水处理厂及配套工程。</w:t>
            </w:r>
          </w:p>
          <w:p>
            <w:pPr>
              <w:spacing w:line="360" w:lineRule="exact"/>
              <w:rPr>
                <w:rFonts w:ascii="宋体" w:hAnsi="宋体" w:eastAsia="FangSong_GB2312" w:cs="FangSong_GB2312"/>
                <w:b/>
                <w:color w:val="auto"/>
                <w:kern w:val="0"/>
                <w:szCs w:val="21"/>
              </w:rPr>
            </w:pPr>
            <w:r>
              <w:rPr>
                <w:rFonts w:hint="eastAsia" w:ascii="Times New Roman" w:hAnsi="Times New Roman" w:eastAsia="方正仿宋_GBK"/>
                <w:b/>
                <w:color w:val="auto"/>
                <w:szCs w:val="21"/>
              </w:rPr>
              <w:t>绿色低碳</w:t>
            </w:r>
            <w:r>
              <w:rPr>
                <w:rFonts w:ascii="Times New Roman" w:hAnsi="Times New Roman" w:eastAsia="方正仿宋_GBK"/>
                <w:b/>
                <w:color w:val="auto"/>
                <w:szCs w:val="21"/>
              </w:rPr>
              <w:t>工程</w:t>
            </w:r>
            <w:r>
              <w:rPr>
                <w:rFonts w:hint="eastAsia" w:ascii="Times New Roman" w:hAnsi="Times New Roman" w:eastAsia="方正仿宋_GBK"/>
                <w:b/>
                <w:color w:val="auto"/>
                <w:szCs w:val="21"/>
              </w:rPr>
              <w:t>：</w:t>
            </w:r>
            <w:r>
              <w:rPr>
                <w:rFonts w:hint="eastAsia" w:ascii="Times New Roman" w:hAnsi="Times New Roman" w:eastAsia="方正仿宋_GBK"/>
                <w:bCs/>
                <w:color w:val="auto"/>
                <w:szCs w:val="21"/>
              </w:rPr>
              <w:t>江川区农产品废弃物资源化利用处理</w:t>
            </w:r>
            <w:r>
              <w:rPr>
                <w:rFonts w:hint="eastAsia" w:ascii="Times New Roman" w:hAnsi="Times New Roman" w:eastAsia="方正仿宋_GBK"/>
                <w:bCs/>
                <w:color w:val="auto"/>
                <w:szCs w:val="21"/>
                <w:lang w:eastAsia="zh-CN"/>
              </w:rPr>
              <w:t>应用示范</w:t>
            </w:r>
            <w:r>
              <w:rPr>
                <w:rFonts w:hint="eastAsia" w:ascii="Times New Roman" w:hAnsi="Times New Roman" w:eastAsia="方正仿宋_GBK"/>
                <w:bCs/>
                <w:color w:val="auto"/>
                <w:szCs w:val="21"/>
              </w:rPr>
              <w:t>项目、江川区建筑垃圾及渣土处置项目。</w:t>
            </w:r>
          </w:p>
        </w:tc>
      </w:tr>
      <w:bookmarkEnd w:id="215"/>
    </w:tbl>
    <w:p>
      <w:pPr>
        <w:widowControl/>
        <w:spacing w:line="240" w:lineRule="auto"/>
        <w:ind w:firstLine="0" w:firstLineChars="0"/>
        <w:jc w:val="left"/>
        <w:rPr>
          <w:rFonts w:ascii="Times New Roman" w:hAnsi="Times New Roman" w:eastAsia="方正仿宋_GBK"/>
          <w:color w:val="auto"/>
          <w:sz w:val="32"/>
          <w:szCs w:val="32"/>
        </w:rPr>
      </w:pPr>
      <w:r>
        <w:rPr>
          <w:rFonts w:ascii="Times New Roman" w:hAnsi="Times New Roman" w:eastAsia="方正仿宋_GBK"/>
          <w:color w:val="auto"/>
          <w:sz w:val="32"/>
          <w:szCs w:val="32"/>
        </w:rPr>
        <w:br w:type="page"/>
      </w:r>
    </w:p>
    <w:p>
      <w:pPr>
        <w:pStyle w:val="3"/>
        <w:rPr>
          <w:rFonts w:eastAsia="方正小标宋简体"/>
          <w:b w:val="0"/>
          <w:bCs w:val="0"/>
          <w:color w:val="auto"/>
          <w:sz w:val="40"/>
        </w:rPr>
      </w:pPr>
      <w:bookmarkStart w:id="216" w:name="_Toc60044144"/>
      <w:bookmarkStart w:id="217" w:name="_Toc9543"/>
      <w:bookmarkStart w:id="218" w:name="_Toc6870"/>
      <w:bookmarkStart w:id="219" w:name="_Toc446364502"/>
      <w:bookmarkStart w:id="220" w:name="_Toc22219"/>
      <w:r>
        <w:rPr>
          <w:rFonts w:hint="eastAsia" w:eastAsia="方正小标宋简体"/>
          <w:b w:val="0"/>
          <w:bCs w:val="0"/>
          <w:color w:val="auto"/>
          <w:sz w:val="40"/>
        </w:rPr>
        <w:t>第十一篇　推动民生事业发展</w:t>
      </w:r>
      <w:bookmarkEnd w:id="216"/>
      <w:r>
        <w:rPr>
          <w:rFonts w:hint="eastAsia" w:eastAsia="方正小标宋简体"/>
          <w:b w:val="0"/>
          <w:bCs w:val="0"/>
          <w:color w:val="auto"/>
          <w:sz w:val="40"/>
        </w:rPr>
        <w:t>，</w:t>
      </w:r>
      <w:r>
        <w:rPr>
          <w:rFonts w:eastAsia="方正小标宋简体"/>
          <w:b w:val="0"/>
          <w:bCs w:val="0"/>
          <w:color w:val="auto"/>
          <w:sz w:val="40"/>
        </w:rPr>
        <w:t>改善人民生活品质</w:t>
      </w:r>
      <w:bookmarkEnd w:id="217"/>
      <w:bookmarkEnd w:id="218"/>
      <w:bookmarkEnd w:id="219"/>
      <w:bookmarkEnd w:id="220"/>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坚持以人民为中心，全力提升民生保障水平，推进基本公共服务均等化，增进人民幸福感、获得感、安全感，共享江川</w:t>
      </w:r>
      <w:r>
        <w:rPr>
          <w:rFonts w:hint="eastAsia" w:ascii="Times New Roman" w:hAnsi="Times New Roman" w:eastAsia="方正仿宋_GBK"/>
          <w:color w:val="auto"/>
          <w:sz w:val="32"/>
          <w:szCs w:val="32"/>
        </w:rPr>
        <w:t>全面</w:t>
      </w:r>
      <w:r>
        <w:rPr>
          <w:rFonts w:ascii="Times New Roman" w:hAnsi="Times New Roman" w:eastAsia="方正仿宋_GBK"/>
          <w:color w:val="auto"/>
          <w:sz w:val="32"/>
          <w:szCs w:val="32"/>
        </w:rPr>
        <w:t>小康发展成果。</w:t>
      </w:r>
    </w:p>
    <w:p>
      <w:pPr>
        <w:pStyle w:val="4"/>
        <w:rPr>
          <w:b w:val="0"/>
          <w:bCs w:val="0"/>
          <w:color w:val="auto"/>
          <w:sz w:val="36"/>
        </w:rPr>
      </w:pPr>
      <w:bookmarkStart w:id="221" w:name="_Toc60044145"/>
      <w:bookmarkStart w:id="222" w:name="_Toc25201"/>
      <w:bookmarkStart w:id="223" w:name="_Toc31992"/>
      <w:bookmarkStart w:id="224" w:name="_Toc446364503"/>
      <w:bookmarkStart w:id="225" w:name="_Toc5771"/>
      <w:r>
        <w:rPr>
          <w:rFonts w:hint="eastAsia"/>
          <w:b w:val="0"/>
          <w:bCs w:val="0"/>
          <w:color w:val="auto"/>
          <w:sz w:val="36"/>
        </w:rPr>
        <w:t>第三十八章　</w:t>
      </w:r>
      <w:bookmarkEnd w:id="221"/>
      <w:r>
        <w:rPr>
          <w:rFonts w:hint="eastAsia"/>
          <w:b w:val="0"/>
          <w:bCs w:val="0"/>
          <w:color w:val="auto"/>
          <w:sz w:val="36"/>
        </w:rPr>
        <w:t>健全就业公共服务体系</w:t>
      </w:r>
      <w:bookmarkEnd w:id="222"/>
      <w:bookmarkEnd w:id="223"/>
      <w:bookmarkEnd w:id="224"/>
      <w:bookmarkEnd w:id="225"/>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按照“政府推动、市场主导、供需对接、稳定就业”的思路，扩大城乡就业</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进一步完善我区农村劳动力转移就业体系、调整就业结构、提高就业质量、帮助劳动者创造幸福生活。到2025年，全区城镇</w:t>
      </w:r>
      <w:r>
        <w:rPr>
          <w:rFonts w:hint="eastAsia" w:ascii="Times New Roman" w:hAnsi="Times New Roman" w:eastAsia="方正仿宋_GBK"/>
          <w:color w:val="auto"/>
          <w:sz w:val="32"/>
          <w:szCs w:val="32"/>
          <w:lang w:eastAsia="zh-CN"/>
        </w:rPr>
        <w:t>登记</w:t>
      </w:r>
      <w:r>
        <w:rPr>
          <w:rFonts w:ascii="Times New Roman" w:hAnsi="Times New Roman" w:eastAsia="方正仿宋_GBK"/>
          <w:color w:val="auto"/>
          <w:sz w:val="32"/>
          <w:szCs w:val="32"/>
        </w:rPr>
        <w:t>失业率</w:t>
      </w:r>
      <w:r>
        <w:rPr>
          <w:rFonts w:hint="eastAsia" w:ascii="Times New Roman" w:hAnsi="Times New Roman" w:eastAsia="方正仿宋_GBK"/>
          <w:color w:val="auto"/>
          <w:sz w:val="32"/>
          <w:szCs w:val="32"/>
          <w:lang w:eastAsia="zh-CN"/>
        </w:rPr>
        <w:t>控制在</w:t>
      </w:r>
      <w:r>
        <w:rPr>
          <w:rFonts w:ascii="Times New Roman" w:hAnsi="Times New Roman" w:eastAsia="方正仿宋_GBK"/>
          <w:color w:val="auto"/>
          <w:sz w:val="32"/>
          <w:szCs w:val="32"/>
        </w:rPr>
        <w:t>5.5%</w:t>
      </w:r>
      <w:r>
        <w:rPr>
          <w:rFonts w:hint="eastAsia" w:ascii="Times New Roman" w:hAnsi="Times New Roman" w:eastAsia="方正仿宋_GBK"/>
          <w:color w:val="auto"/>
          <w:sz w:val="32"/>
          <w:szCs w:val="32"/>
          <w:lang w:eastAsia="zh-CN"/>
        </w:rPr>
        <w:t>以内</w:t>
      </w:r>
      <w:r>
        <w:rPr>
          <w:rFonts w:ascii="Times New Roman" w:hAnsi="Times New Roman" w:eastAsia="方正仿宋_GBK"/>
          <w:color w:val="auto"/>
          <w:sz w:val="32"/>
          <w:szCs w:val="32"/>
        </w:rPr>
        <w:t>，五年城镇累计新增就业人数1万人。</w:t>
      </w:r>
    </w:p>
    <w:p>
      <w:pPr>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一、完善重点群体就业支持体系</w:t>
      </w:r>
    </w:p>
    <w:p>
      <w:pPr>
        <w:spacing w:line="560" w:lineRule="exact"/>
        <w:ind w:firstLine="63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将“稳就业”作为重点任务，切实提高就业质量，</w:t>
      </w:r>
      <w:r>
        <w:rPr>
          <w:rFonts w:ascii="Times New Roman" w:hAnsi="Times New Roman" w:eastAsia="方正仿宋_GBK"/>
          <w:color w:val="auto"/>
          <w:sz w:val="32"/>
          <w:szCs w:val="32"/>
        </w:rPr>
        <w:t>实施就业优先战略，</w:t>
      </w:r>
      <w:r>
        <w:rPr>
          <w:rFonts w:hint="eastAsia" w:ascii="Times New Roman" w:hAnsi="Times New Roman" w:eastAsia="方正仿宋_GBK"/>
          <w:color w:val="auto"/>
          <w:sz w:val="32"/>
          <w:szCs w:val="32"/>
        </w:rPr>
        <w:t>统筹抓好城镇新增劳动力就业，</w:t>
      </w:r>
      <w:r>
        <w:rPr>
          <w:rFonts w:ascii="Times New Roman" w:hAnsi="Times New Roman" w:eastAsia="方正仿宋_GBK"/>
          <w:color w:val="auto"/>
          <w:sz w:val="32"/>
          <w:szCs w:val="32"/>
        </w:rPr>
        <w:t>努力拓宽高校毕业生就业渠道</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积极稳定农民工</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工业园区从业人群就业，</w:t>
      </w:r>
      <w:r>
        <w:rPr>
          <w:rFonts w:hint="eastAsia" w:ascii="Times New Roman" w:hAnsi="Times New Roman" w:eastAsia="方正仿宋_GBK"/>
          <w:color w:val="auto"/>
          <w:sz w:val="32"/>
          <w:szCs w:val="32"/>
        </w:rPr>
        <w:t>合理有序推进失业人员就业工作、推进农村富余劳动力有序就地就近转移就业。构建政策、培训、服务“三位一体”的公共就业服务体系，完善城乡一体的就业工作体系和信息服务网络，大规模开展职业技能培训。</w:t>
      </w:r>
    </w:p>
    <w:p>
      <w:pPr>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二、</w:t>
      </w:r>
      <w:r>
        <w:rPr>
          <w:rFonts w:ascii="黑体" w:hAnsi="黑体" w:eastAsia="黑体"/>
          <w:color w:val="auto"/>
          <w:sz w:val="32"/>
          <w:szCs w:val="32"/>
        </w:rPr>
        <w:t>优化就业环境</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落实税费减免、小额担保、普惠金融支持创业、社保补贴、贷款等政策</w:t>
      </w:r>
      <w:r>
        <w:rPr>
          <w:rFonts w:hint="eastAsia" w:ascii="Times New Roman" w:hAnsi="Times New Roman" w:eastAsia="方正仿宋_GBK"/>
          <w:color w:val="auto"/>
          <w:sz w:val="32"/>
          <w:szCs w:val="32"/>
        </w:rPr>
        <w:t>。注重解决结构性就业矛盾，鼓励创业带动就业。加强重点群体就业援助力度，破除妨碍劳动力、人才社会性流动的体制机制弊端，创新开展多样化、专业化帮扶行动。</w:t>
      </w:r>
      <w:r>
        <w:rPr>
          <w:rFonts w:ascii="Times New Roman" w:hAnsi="Times New Roman" w:eastAsia="方正仿宋_GBK"/>
          <w:color w:val="auto"/>
          <w:sz w:val="32"/>
          <w:szCs w:val="32"/>
        </w:rPr>
        <w:t>通过鼓励发展乡村文化产业、休闲旅游业</w:t>
      </w:r>
      <w:r>
        <w:rPr>
          <w:rFonts w:hint="eastAsia" w:ascii="Times New Roman" w:hAnsi="Times New Roman" w:eastAsia="方正仿宋_GBK"/>
          <w:color w:val="auto"/>
          <w:sz w:val="32"/>
          <w:szCs w:val="32"/>
          <w:lang w:eastAsia="zh-CN"/>
        </w:rPr>
        <w:t>，提高</w:t>
      </w:r>
      <w:r>
        <w:rPr>
          <w:rFonts w:ascii="Times New Roman" w:hAnsi="Times New Roman" w:eastAsia="方正仿宋_GBK"/>
          <w:color w:val="auto"/>
          <w:sz w:val="32"/>
          <w:szCs w:val="32"/>
        </w:rPr>
        <w:t>本地文化软实力</w:t>
      </w:r>
      <w:r>
        <w:rPr>
          <w:rFonts w:hint="eastAsia" w:ascii="Times New Roman" w:hAnsi="Times New Roman" w:eastAsia="方正仿宋_GBK"/>
          <w:color w:val="auto"/>
          <w:sz w:val="32"/>
          <w:szCs w:val="32"/>
          <w:lang w:eastAsia="zh-CN"/>
        </w:rPr>
        <w:t>，</w:t>
      </w:r>
      <w:r>
        <w:rPr>
          <w:rFonts w:ascii="Times New Roman" w:hAnsi="Times New Roman" w:eastAsia="方正仿宋_GBK"/>
          <w:color w:val="auto"/>
          <w:sz w:val="32"/>
          <w:szCs w:val="32"/>
        </w:rPr>
        <w:t>打造本地特色产业</w:t>
      </w:r>
      <w:r>
        <w:rPr>
          <w:rFonts w:hint="eastAsia" w:ascii="Times New Roman" w:hAnsi="Times New Roman" w:eastAsia="方正仿宋_GBK"/>
          <w:color w:val="auto"/>
          <w:sz w:val="32"/>
          <w:szCs w:val="32"/>
          <w:lang w:eastAsia="zh-CN"/>
        </w:rPr>
        <w:t>，</w:t>
      </w:r>
      <w:r>
        <w:rPr>
          <w:rFonts w:hint="eastAsia" w:ascii="Times New Roman" w:hAnsi="Times New Roman" w:eastAsia="方正仿宋_GBK"/>
          <w:color w:val="auto"/>
          <w:sz w:val="32"/>
          <w:szCs w:val="32"/>
        </w:rPr>
        <w:t>千方百计增加就业</w:t>
      </w:r>
      <w:r>
        <w:rPr>
          <w:rFonts w:hint="eastAsia" w:ascii="Times New Roman" w:hAnsi="Times New Roman" w:eastAsia="方正仿宋_GBK"/>
          <w:color w:val="auto"/>
          <w:sz w:val="32"/>
          <w:szCs w:val="32"/>
          <w:lang w:eastAsia="zh-CN"/>
        </w:rPr>
        <w:t>。</w:t>
      </w:r>
      <w:r>
        <w:rPr>
          <w:rFonts w:hint="eastAsia" w:ascii="Times New Roman" w:hAnsi="Times New Roman" w:eastAsia="方正仿宋_GBK"/>
          <w:color w:val="auto"/>
          <w:sz w:val="32"/>
          <w:szCs w:val="32"/>
        </w:rPr>
        <w:t>健全公共就业服务平台，</w:t>
      </w:r>
      <w:r>
        <w:rPr>
          <w:rFonts w:ascii="Times New Roman" w:hAnsi="Times New Roman" w:eastAsia="方正仿宋_GBK"/>
          <w:color w:val="auto"/>
          <w:sz w:val="32"/>
          <w:szCs w:val="32"/>
        </w:rPr>
        <w:t>全面提升就业服务能力</w:t>
      </w:r>
      <w:r>
        <w:rPr>
          <w:rFonts w:hint="eastAsia" w:ascii="Times New Roman" w:hAnsi="Times New Roman" w:eastAsia="方正仿宋_GBK"/>
          <w:color w:val="auto"/>
          <w:sz w:val="32"/>
          <w:szCs w:val="32"/>
          <w:lang w:eastAsia="zh-CN"/>
        </w:rPr>
        <w:t>，</w:t>
      </w:r>
      <w:r>
        <w:rPr>
          <w:rFonts w:hint="eastAsia" w:ascii="Times New Roman" w:hAnsi="Times New Roman" w:eastAsia="方正仿宋_GBK"/>
          <w:color w:val="auto"/>
          <w:sz w:val="32"/>
          <w:szCs w:val="32"/>
        </w:rPr>
        <w:t>健全协调劳动关系三方机制，完善政府、工会、企业共同参与的协商协调机制，构建和谐劳动关系。</w:t>
      </w:r>
    </w:p>
    <w:p>
      <w:pPr>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三、统筹城乡就业政策体系</w:t>
      </w:r>
    </w:p>
    <w:p>
      <w:pPr>
        <w:spacing w:line="560" w:lineRule="exact"/>
        <w:ind w:firstLine="640" w:firstLineChars="200"/>
        <w:rPr>
          <w:rFonts w:eastAsia="方正仿宋简体"/>
          <w:color w:val="auto"/>
          <w:sz w:val="32"/>
          <w:szCs w:val="32"/>
        </w:rPr>
      </w:pPr>
      <w:r>
        <w:rPr>
          <w:rFonts w:ascii="Times New Roman" w:hAnsi="Times New Roman" w:eastAsia="方正仿宋_GBK"/>
          <w:color w:val="auto"/>
          <w:sz w:val="32"/>
          <w:szCs w:val="32"/>
        </w:rPr>
        <w:t>增加低收入劳动者收入，扩大中等收入者比重。实行有利于缩小收入差距的政策，建立科学的工资水平</w:t>
      </w:r>
      <w:r>
        <w:rPr>
          <w:rFonts w:hint="eastAsia" w:ascii="Times New Roman" w:hAnsi="Times New Roman" w:eastAsia="方正仿宋_GBK"/>
          <w:color w:val="auto"/>
          <w:sz w:val="32"/>
          <w:szCs w:val="32"/>
          <w:lang w:eastAsia="zh-CN"/>
        </w:rPr>
        <w:t>决策</w:t>
      </w:r>
      <w:r>
        <w:rPr>
          <w:rFonts w:ascii="Times New Roman" w:hAnsi="Times New Roman" w:eastAsia="方正仿宋_GBK"/>
          <w:color w:val="auto"/>
          <w:sz w:val="32"/>
          <w:szCs w:val="32"/>
        </w:rPr>
        <w:t>机制</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多渠道增加城乡居民财产性收入，健全资本、知识、技术、管理等要素报酬由市场决定的机制，扩展知识、技术和管理要素参与分配途径。建立综合和分类相结合的个人所得税制，完善鼓励回馈社会、扶贫济困的税收政策。</w:t>
      </w:r>
    </w:p>
    <w:p>
      <w:pPr>
        <w:pStyle w:val="4"/>
        <w:rPr>
          <w:b w:val="0"/>
          <w:bCs w:val="0"/>
          <w:color w:val="auto"/>
          <w:sz w:val="36"/>
        </w:rPr>
      </w:pPr>
      <w:bookmarkStart w:id="226" w:name="_Toc60044146"/>
      <w:bookmarkStart w:id="227" w:name="_Toc446364504"/>
      <w:bookmarkStart w:id="228" w:name="_Toc4958"/>
      <w:bookmarkStart w:id="229" w:name="_Toc12725"/>
      <w:bookmarkStart w:id="230" w:name="_Toc19627"/>
      <w:r>
        <w:rPr>
          <w:rFonts w:hint="eastAsia"/>
          <w:b w:val="0"/>
          <w:bCs w:val="0"/>
          <w:color w:val="auto"/>
          <w:sz w:val="36"/>
        </w:rPr>
        <w:t>第三十九章　</w:t>
      </w:r>
      <w:bookmarkEnd w:id="226"/>
      <w:r>
        <w:rPr>
          <w:rFonts w:hint="eastAsia"/>
          <w:b w:val="0"/>
          <w:bCs w:val="0"/>
          <w:color w:val="auto"/>
          <w:sz w:val="36"/>
        </w:rPr>
        <w:t>办好人民满意的教育</w:t>
      </w:r>
      <w:bookmarkEnd w:id="227"/>
      <w:bookmarkEnd w:id="228"/>
      <w:bookmarkEnd w:id="229"/>
      <w:bookmarkEnd w:id="230"/>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全面贯彻党的教育方针，</w:t>
      </w:r>
      <w:r>
        <w:rPr>
          <w:rFonts w:hint="eastAsia" w:ascii="Times New Roman" w:hAnsi="Times New Roman" w:eastAsia="方正仿宋_GBK"/>
          <w:color w:val="auto"/>
          <w:sz w:val="32"/>
          <w:szCs w:val="32"/>
        </w:rPr>
        <w:t>深化教育领域改革，推动高中课程改革，完善学生综合素质评价。</w:t>
      </w:r>
      <w:r>
        <w:rPr>
          <w:rFonts w:ascii="Times New Roman" w:hAnsi="Times New Roman" w:eastAsia="方正仿宋_GBK"/>
          <w:color w:val="auto"/>
          <w:sz w:val="32"/>
          <w:szCs w:val="32"/>
        </w:rPr>
        <w:t>落实立德树人根本任务，紧紧围绕“学前教育抓普惠，义务教育抓优质，高中教育抓质量，职业教育抓提升”的工作思路，推动各类教育跨越式发展，教育总体水平位居全市前列。提高教师队伍综合素质，提升教育现代化水平，努力办好人民满意的教育事业。</w:t>
      </w:r>
    </w:p>
    <w:p>
      <w:pPr>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一、</w:t>
      </w:r>
      <w:r>
        <w:rPr>
          <w:rFonts w:ascii="黑体" w:hAnsi="黑体" w:eastAsia="黑体"/>
          <w:color w:val="auto"/>
          <w:sz w:val="32"/>
          <w:szCs w:val="32"/>
        </w:rPr>
        <w:t>推进优质教育资源均衡化</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坚持教育发展优先，调整教育结构，</w:t>
      </w:r>
      <w:r>
        <w:rPr>
          <w:rFonts w:hint="eastAsia" w:ascii="Times New Roman" w:hAnsi="Times New Roman" w:eastAsia="方正仿宋_GBK"/>
          <w:color w:val="auto"/>
          <w:sz w:val="32"/>
          <w:szCs w:val="32"/>
        </w:rPr>
        <w:t>合理优化学校布点、资源布局，</w:t>
      </w:r>
      <w:r>
        <w:rPr>
          <w:rFonts w:ascii="Times New Roman" w:hAnsi="Times New Roman" w:eastAsia="方正仿宋_GBK"/>
          <w:color w:val="auto"/>
          <w:sz w:val="32"/>
          <w:szCs w:val="32"/>
        </w:rPr>
        <w:t>促进基础教育公平。</w:t>
      </w:r>
      <w:r>
        <w:rPr>
          <w:rFonts w:hint="eastAsia" w:ascii="Times New Roman" w:hAnsi="Times New Roman" w:eastAsia="方正仿宋_GBK"/>
          <w:color w:val="auto"/>
          <w:sz w:val="32"/>
          <w:szCs w:val="32"/>
        </w:rPr>
        <w:t>发展普及优质的学前教育，全面推进农村学前教育“补空白、全覆盖”工作，普及有质量的学前教育，</w:t>
      </w:r>
      <w:r>
        <w:rPr>
          <w:rFonts w:ascii="Times New Roman" w:hAnsi="Times New Roman" w:eastAsia="方正仿宋_GBK"/>
          <w:color w:val="auto"/>
          <w:sz w:val="32"/>
          <w:szCs w:val="32"/>
        </w:rPr>
        <w:t>实现“一乡镇一公办、一村一幼”，学前三年毛入园率达95%以上</w:t>
      </w:r>
      <w:r>
        <w:rPr>
          <w:rFonts w:hint="eastAsia" w:ascii="Times New Roman" w:hAnsi="Times New Roman" w:eastAsia="方正仿宋_GBK"/>
          <w:color w:val="auto"/>
          <w:sz w:val="32"/>
          <w:szCs w:val="32"/>
        </w:rPr>
        <w:t>。扩大优质教育资源供给总量，高度重视农村义务教育，推动城乡义务教育一体化发展，</w:t>
      </w:r>
      <w:r>
        <w:rPr>
          <w:rFonts w:ascii="Times New Roman" w:hAnsi="Times New Roman" w:eastAsia="方正仿宋_GBK"/>
          <w:color w:val="auto"/>
          <w:sz w:val="32"/>
          <w:szCs w:val="32"/>
        </w:rPr>
        <w:t>到2025年，实现义务教育人口覆盖率达100%，小学适龄儿童入学率达到99.8％以上，初中阶段毛入学率达到99.8%，义务教育巩固率达到9</w:t>
      </w:r>
      <w:r>
        <w:rPr>
          <w:rFonts w:hint="eastAsia" w:ascii="Times New Roman" w:hAnsi="Times New Roman" w:eastAsia="方正仿宋_GBK"/>
          <w:color w:val="auto"/>
          <w:sz w:val="32"/>
          <w:szCs w:val="32"/>
          <w:lang w:val="en-US" w:eastAsia="zh-CN"/>
        </w:rPr>
        <w:t>7</w:t>
      </w:r>
      <w:r>
        <w:rPr>
          <w:rFonts w:ascii="Times New Roman" w:hAnsi="Times New Roman" w:eastAsia="方正仿宋_GBK"/>
          <w:color w:val="auto"/>
          <w:sz w:val="32"/>
          <w:szCs w:val="32"/>
        </w:rPr>
        <w:t>%以上。</w:t>
      </w:r>
      <w:r>
        <w:rPr>
          <w:rFonts w:hint="eastAsia" w:ascii="Times New Roman" w:hAnsi="Times New Roman" w:eastAsia="方正仿宋_GBK"/>
          <w:color w:val="auto"/>
          <w:sz w:val="32"/>
          <w:szCs w:val="32"/>
        </w:rPr>
        <w:t>全面普及高中阶段教育，努力让每个孩子都能享有公平而有质量的教育。加快特色普通高中建设，切实改善办学条件，努力扩大普通高中招</w:t>
      </w:r>
      <w:r>
        <w:rPr>
          <w:rFonts w:hint="eastAsia" w:ascii="Times New Roman" w:hAnsi="Times New Roman" w:eastAsia="方正仿宋_GBK"/>
          <w:color w:val="auto"/>
          <w:sz w:val="32"/>
          <w:szCs w:val="32"/>
          <w:lang w:eastAsia="zh-CN"/>
        </w:rPr>
        <w:t>生</w:t>
      </w:r>
      <w:r>
        <w:rPr>
          <w:rFonts w:hint="eastAsia" w:ascii="Times New Roman" w:hAnsi="Times New Roman" w:eastAsia="方正仿宋_GBK"/>
          <w:color w:val="auto"/>
          <w:sz w:val="32"/>
          <w:szCs w:val="32"/>
        </w:rPr>
        <w:t>规模，提高高中阶段毛入学率，优化提升高中教育教学质量，推进</w:t>
      </w:r>
      <w:r>
        <w:rPr>
          <w:rFonts w:ascii="Times New Roman" w:hAnsi="Times New Roman" w:eastAsia="方正仿宋_GBK"/>
          <w:color w:val="auto"/>
          <w:sz w:val="32"/>
          <w:szCs w:val="32"/>
        </w:rPr>
        <w:t>江一中、江二中</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晋级升等</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大力发展职业教育，推动职业教育与现代产业发展深度融合，大力推行工学结合、校企合作、顶岗实习等人才培养模式，开展“订单式”培养，提高学生的职业技能和就业创业能力。积极发展终身教育，办好继续教育，大力发展非学历教育，重视发展老年教育，建设学习型社会。</w:t>
      </w:r>
    </w:p>
    <w:p>
      <w:pPr>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二、</w:t>
      </w:r>
      <w:r>
        <w:rPr>
          <w:rFonts w:ascii="黑体" w:hAnsi="黑体" w:eastAsia="黑体"/>
          <w:color w:val="auto"/>
          <w:sz w:val="32"/>
          <w:szCs w:val="32"/>
        </w:rPr>
        <w:t>提高教师队伍综合素质</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加强教师队伍建设，以年轻化、知识化、健康化为目标，提高教师职业道德和专业技能</w:t>
      </w:r>
      <w:r>
        <w:rPr>
          <w:rFonts w:hint="eastAsia" w:ascii="Times New Roman" w:hAnsi="Times New Roman" w:eastAsia="方正仿宋_GBK"/>
          <w:color w:val="auto"/>
          <w:sz w:val="32"/>
          <w:szCs w:val="32"/>
        </w:rPr>
        <w:t>，大力</w:t>
      </w:r>
      <w:r>
        <w:rPr>
          <w:rFonts w:ascii="Times New Roman" w:hAnsi="Times New Roman" w:eastAsia="方正仿宋_GBK"/>
          <w:color w:val="auto"/>
          <w:sz w:val="32"/>
          <w:szCs w:val="32"/>
        </w:rPr>
        <w:t>引进优秀年轻教师，着力培养骨干教师。深入实施基础教育领军人才培养计划，实施“</w:t>
      </w:r>
      <w:r>
        <w:rPr>
          <w:rFonts w:hint="eastAsia" w:ascii="Times New Roman" w:hAnsi="Times New Roman" w:eastAsia="方正仿宋_GBK"/>
          <w:color w:val="auto"/>
          <w:sz w:val="32"/>
          <w:szCs w:val="32"/>
          <w:lang w:val="en-US" w:eastAsia="zh-CN"/>
        </w:rPr>
        <w:t>3161</w:t>
      </w:r>
      <w:r>
        <w:rPr>
          <w:rFonts w:ascii="Times New Roman" w:hAnsi="Times New Roman" w:eastAsia="方正仿宋_GBK"/>
          <w:color w:val="auto"/>
          <w:sz w:val="32"/>
          <w:szCs w:val="32"/>
        </w:rPr>
        <w:t>”工程</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深入推进区域内义务教育学校教师、校长交流轮岗，实行教师聘期制、校长任期制管理，推动城镇优秀教师、校长向乡村学校、薄弱学校流动。</w:t>
      </w:r>
    </w:p>
    <w:p>
      <w:pPr>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三、</w:t>
      </w:r>
      <w:r>
        <w:rPr>
          <w:rFonts w:ascii="黑体" w:hAnsi="黑体" w:eastAsia="黑体"/>
          <w:color w:val="auto"/>
          <w:sz w:val="32"/>
          <w:szCs w:val="32"/>
        </w:rPr>
        <w:t>改革教育工作机制</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以加快发展、扩大规模、提高质量为目标，形成多元开放的办学体系和以素质教育为核心的教育教学模式。</w:t>
      </w:r>
      <w:r>
        <w:rPr>
          <w:rFonts w:hint="eastAsia" w:ascii="Times New Roman" w:hAnsi="Times New Roman" w:eastAsia="方正仿宋_GBK"/>
          <w:color w:val="auto"/>
          <w:sz w:val="32"/>
          <w:szCs w:val="32"/>
        </w:rPr>
        <w:t>支持和规范民办教育发展。</w:t>
      </w:r>
      <w:r>
        <w:rPr>
          <w:rFonts w:ascii="Times New Roman" w:hAnsi="Times New Roman" w:eastAsia="方正仿宋_GBK"/>
          <w:color w:val="auto"/>
          <w:sz w:val="32"/>
          <w:szCs w:val="32"/>
        </w:rPr>
        <w:t>进一步健全教育督导工作机制，加大督政、督学力度，确保党的教育方针和各项教育政策落到实处，努力为人民群众提供更优质的教育服务。</w:t>
      </w:r>
    </w:p>
    <w:p>
      <w:pPr>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四、</w:t>
      </w:r>
      <w:r>
        <w:rPr>
          <w:rFonts w:ascii="黑体" w:hAnsi="黑体" w:eastAsia="黑体"/>
          <w:color w:val="auto"/>
          <w:sz w:val="32"/>
          <w:szCs w:val="32"/>
        </w:rPr>
        <w:t>重视群众体育工作</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全面落实《全民健身条例》，不断提高群众的体育意识，培养群众的健身习惯，改善群众体质健康。构建体育组织网络，增加全区人均体育活动场地和社团总数，并辐射到镇和重点村</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社区</w:t>
      </w:r>
      <w:r>
        <w:rPr>
          <w:rFonts w:hint="eastAsia" w:ascii="Times New Roman" w:hAnsi="Times New Roman" w:eastAsia="方正仿宋_GBK"/>
          <w:color w:val="auto"/>
          <w:sz w:val="32"/>
          <w:szCs w:val="32"/>
        </w:rPr>
        <w:t>）</w:t>
      </w:r>
      <w:r>
        <w:rPr>
          <w:rFonts w:hint="eastAsia" w:ascii="Times New Roman" w:hAnsi="Times New Roman" w:eastAsia="方正仿宋_GBK"/>
          <w:color w:val="auto"/>
          <w:sz w:val="32"/>
          <w:szCs w:val="32"/>
          <w:lang w:eastAsia="zh-CN"/>
        </w:rPr>
        <w:t>组</w:t>
      </w:r>
      <w:r>
        <w:rPr>
          <w:rFonts w:ascii="Times New Roman" w:hAnsi="Times New Roman" w:eastAsia="方正仿宋_GBK"/>
          <w:color w:val="auto"/>
          <w:sz w:val="32"/>
          <w:szCs w:val="32"/>
        </w:rPr>
        <w:t>。加强全民健身设施建设和管理，深入开展全民健身活动。推进星云湖环湖健身步道和北山寺登山步道。打造2个在全省有较大影响、深受群众欢迎的大型群众性“品牌”活动</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平均每年的活动和赛事在15次以上，参与人次达到2万。</w:t>
      </w:r>
    </w:p>
    <w:p>
      <w:pPr>
        <w:pStyle w:val="4"/>
        <w:rPr>
          <w:b w:val="0"/>
          <w:bCs w:val="0"/>
          <w:color w:val="auto"/>
          <w:sz w:val="36"/>
        </w:rPr>
      </w:pPr>
      <w:bookmarkStart w:id="231" w:name="_Toc60044147"/>
      <w:bookmarkStart w:id="232" w:name="_Toc446364505"/>
      <w:bookmarkStart w:id="233" w:name="_Toc9285"/>
      <w:bookmarkStart w:id="234" w:name="_Toc26503"/>
      <w:bookmarkStart w:id="235" w:name="_Toc27677"/>
      <w:r>
        <w:rPr>
          <w:rFonts w:hint="eastAsia"/>
          <w:b w:val="0"/>
          <w:bCs w:val="0"/>
          <w:color w:val="auto"/>
          <w:sz w:val="36"/>
        </w:rPr>
        <w:t>第四十章　加快</w:t>
      </w:r>
      <w:bookmarkEnd w:id="231"/>
      <w:r>
        <w:rPr>
          <w:rFonts w:hint="eastAsia"/>
          <w:b w:val="0"/>
          <w:bCs w:val="0"/>
          <w:color w:val="auto"/>
          <w:sz w:val="36"/>
        </w:rPr>
        <w:t>建设“健康江川”</w:t>
      </w:r>
      <w:bookmarkEnd w:id="232"/>
      <w:bookmarkEnd w:id="233"/>
      <w:bookmarkEnd w:id="234"/>
      <w:bookmarkEnd w:id="235"/>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遵循新时期卫生与健康工作方针，以深化医疗卫生体制改革创新为动力,以提高全区各族人民群众健康水平为核心,</w:t>
      </w:r>
      <w:r>
        <w:rPr>
          <w:rFonts w:hint="eastAsia" w:ascii="Times New Roman" w:hAnsi="Times New Roman" w:eastAsia="方正仿宋_GBK"/>
          <w:color w:val="auto"/>
          <w:sz w:val="32"/>
          <w:szCs w:val="32"/>
        </w:rPr>
        <w:t xml:space="preserve"> 推进卫生健康事业全面深化发展，</w:t>
      </w:r>
      <w:r>
        <w:rPr>
          <w:rFonts w:ascii="Times New Roman" w:hAnsi="Times New Roman" w:eastAsia="方正仿宋_GBK"/>
          <w:color w:val="auto"/>
          <w:sz w:val="32"/>
          <w:szCs w:val="32"/>
        </w:rPr>
        <w:t>倡导绿色健康生活。</w:t>
      </w:r>
    </w:p>
    <w:p>
      <w:pPr>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一、深化医疗卫生体制改革</w:t>
      </w:r>
    </w:p>
    <w:p>
      <w:pPr>
        <w:spacing w:line="560" w:lineRule="exact"/>
        <w:ind w:firstLine="640" w:firstLineChars="200"/>
        <w:rPr>
          <w:rFonts w:hint="eastAsia" w:ascii="Times New Roman" w:hAnsi="Times New Roman" w:eastAsia="方正仿宋_GBK"/>
          <w:color w:val="auto"/>
          <w:sz w:val="32"/>
          <w:szCs w:val="32"/>
        </w:rPr>
      </w:pPr>
      <w:r>
        <w:rPr>
          <w:rFonts w:hint="eastAsia" w:ascii="Times New Roman" w:hAnsi="Times New Roman" w:eastAsia="方正仿宋_GBK"/>
          <w:color w:val="auto"/>
          <w:sz w:val="32"/>
          <w:szCs w:val="32"/>
        </w:rPr>
        <w:t>深化医疗保障制度改革，增强医疗保障的公平性、协调性，加快建成覆盖全民、城乡统筹、权责清晰、保障适度、可持续的多层次医疗保障体系；推进医药服务供给侧改革，增强医保、医疗、医药“三医联动”改革的整体性、系统性、协同性，保障群众获得高质量、有效</w:t>
      </w:r>
      <w:r>
        <w:rPr>
          <w:rFonts w:hint="eastAsia" w:ascii="Times New Roman" w:hAnsi="Times New Roman" w:eastAsia="方正仿宋_GBK"/>
          <w:color w:val="auto"/>
          <w:sz w:val="32"/>
          <w:szCs w:val="32"/>
          <w:lang w:eastAsia="zh-CN"/>
        </w:rPr>
        <w:t>率</w:t>
      </w:r>
      <w:r>
        <w:rPr>
          <w:rFonts w:hint="eastAsia" w:ascii="Times New Roman" w:hAnsi="Times New Roman" w:eastAsia="方正仿宋_GBK"/>
          <w:color w:val="auto"/>
          <w:sz w:val="32"/>
          <w:szCs w:val="32"/>
        </w:rPr>
        <w:t>、能负担的医药服务；推进公立医院综合改革和医疗服务价格改革，推动建立现代医院管理体制，</w:t>
      </w:r>
      <w:r>
        <w:rPr>
          <w:rFonts w:ascii="Times New Roman" w:hAnsi="Times New Roman" w:eastAsia="方正仿宋_GBK"/>
          <w:color w:val="auto"/>
          <w:sz w:val="32"/>
          <w:szCs w:val="32"/>
        </w:rPr>
        <w:t>完善医疗卫生服务体系</w:t>
      </w:r>
      <w:r>
        <w:rPr>
          <w:rFonts w:hint="eastAsia" w:ascii="Times New Roman" w:hAnsi="Times New Roman" w:eastAsia="方正仿宋_GBK"/>
          <w:color w:val="auto"/>
          <w:sz w:val="32"/>
          <w:szCs w:val="32"/>
        </w:rPr>
        <w:t>。</w:t>
      </w:r>
    </w:p>
    <w:p>
      <w:pPr>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二、完善分级诊疗体系</w:t>
      </w:r>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加快区人民医院医疗建设工作，提升区级医院服务能力，加快推进分级诊疗、紧密型医共体建设、现代医院管理制度、“互联网+医疗健康”、智慧医疗等工作。加强区、乡、</w:t>
      </w:r>
      <w:r>
        <w:rPr>
          <w:rFonts w:hint="eastAsia" w:ascii="Times New Roman" w:hAnsi="Times New Roman" w:eastAsia="方正仿宋_GBK"/>
          <w:color w:val="auto"/>
          <w:sz w:val="32"/>
          <w:szCs w:val="32"/>
        </w:rPr>
        <w:t>村</w:t>
      </w:r>
      <w:r>
        <w:rPr>
          <w:rFonts w:ascii="Times New Roman" w:hAnsi="Times New Roman" w:eastAsia="方正仿宋_GBK"/>
          <w:color w:val="auto"/>
          <w:sz w:val="32"/>
          <w:szCs w:val="32"/>
        </w:rPr>
        <w:t>医疗服务体系建设</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提升区域服务能力。加强疾病监测，抓好公共卫生疾病预防控制项目工作、完善基本公共卫生服务项目工作、做好公共卫生疾病预防控制项目工作。有效实施群体性预防接种健康惠民工程，推进妇女儿童健康管理及计划生育服务工作。</w:t>
      </w:r>
      <w:r>
        <w:rPr>
          <w:rFonts w:hint="eastAsia" w:ascii="Times New Roman" w:hAnsi="Times New Roman" w:eastAsia="方正仿宋_GBK"/>
          <w:color w:val="auto"/>
          <w:sz w:val="32"/>
          <w:szCs w:val="32"/>
        </w:rPr>
        <w:t>促进中医药传承创新发展，提高中医院诊疗水平和服务体系，加快建立基层中医服务。鼓励和规范社会办医，</w:t>
      </w:r>
      <w:r>
        <w:rPr>
          <w:rFonts w:ascii="Times New Roman" w:hAnsi="Times New Roman" w:eastAsia="方正仿宋_GBK"/>
          <w:color w:val="auto"/>
          <w:sz w:val="32"/>
          <w:szCs w:val="32"/>
        </w:rPr>
        <w:t>支持非营利性医疗机构，推进非营利性民营医院与公立医院同等待遇。</w:t>
      </w:r>
    </w:p>
    <w:p>
      <w:pPr>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三、健全应急管理体系</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推进重大传染病救治能力和疾控机构核心能力“双提升”工程，健全应急响应机制，</w:t>
      </w:r>
      <w:r>
        <w:rPr>
          <w:rFonts w:ascii="Times New Roman" w:hAnsi="Times New Roman" w:eastAsia="方正仿宋_GBK"/>
          <w:color w:val="auto"/>
          <w:sz w:val="32"/>
          <w:szCs w:val="32"/>
        </w:rPr>
        <w:t>按照补短板、堵漏洞、强弱项原则，加强业务人员防控与救治知识培训，提高处置应急突发公共卫生事件的能力，健全重大疫情、公共卫生应急管理和救治体系。落实常态化疫情防控要求，进一步加强医疗机构感染防控工作。坚持预防为主，加大传染病防御知识普及宣传</w:t>
      </w:r>
      <w:r>
        <w:rPr>
          <w:rFonts w:hint="eastAsia" w:ascii="Times New Roman" w:hAnsi="Times New Roman" w:eastAsia="方正仿宋_GBK"/>
          <w:color w:val="auto"/>
          <w:sz w:val="32"/>
          <w:szCs w:val="32"/>
        </w:rPr>
        <w:t>。</w:t>
      </w:r>
    </w:p>
    <w:p>
      <w:pPr>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四、</w:t>
      </w:r>
      <w:r>
        <w:rPr>
          <w:rFonts w:hint="eastAsia" w:ascii="黑体" w:hAnsi="黑体" w:eastAsia="黑体"/>
          <w:color w:val="auto"/>
          <w:sz w:val="32"/>
          <w:szCs w:val="32"/>
          <w:lang w:eastAsia="zh-CN"/>
        </w:rPr>
        <w:t>打牢健康江川基础</w:t>
      </w:r>
    </w:p>
    <w:p>
      <w:pPr>
        <w:spacing w:line="560" w:lineRule="exact"/>
        <w:ind w:firstLine="640" w:firstLineChars="200"/>
        <w:rPr>
          <w:rFonts w:hint="eastAsia" w:ascii="Times New Roman" w:hAnsi="Times New Roman" w:eastAsia="方正仿宋_GBK"/>
          <w:color w:val="auto"/>
          <w:sz w:val="32"/>
          <w:szCs w:val="32"/>
          <w:lang w:eastAsia="zh-CN"/>
        </w:rPr>
      </w:pPr>
      <w:r>
        <w:rPr>
          <w:rFonts w:hint="eastAsia" w:ascii="Times New Roman" w:hAnsi="Times New Roman" w:eastAsia="方正仿宋_GBK"/>
          <w:color w:val="auto"/>
          <w:sz w:val="32"/>
          <w:szCs w:val="32"/>
        </w:rPr>
        <w:t>巩固国家卫生城市创建成果，促进健康城市建设。开展健康支持性环境建设，深入开展</w:t>
      </w:r>
      <w:r>
        <w:rPr>
          <w:rFonts w:hint="eastAsia" w:ascii="Times New Roman" w:hAnsi="Times New Roman" w:eastAsia="方正仿宋_GBK"/>
          <w:color w:val="auto"/>
          <w:sz w:val="32"/>
          <w:szCs w:val="32"/>
          <w:lang w:eastAsia="zh-CN"/>
        </w:rPr>
        <w:t>新时期</w:t>
      </w:r>
      <w:r>
        <w:rPr>
          <w:rFonts w:ascii="Times New Roman" w:hAnsi="Times New Roman" w:eastAsia="方正仿宋_GBK"/>
          <w:color w:val="auto"/>
          <w:sz w:val="32"/>
          <w:szCs w:val="32"/>
        </w:rPr>
        <w:t>爱国卫生</w:t>
      </w:r>
      <w:r>
        <w:rPr>
          <w:rFonts w:hint="eastAsia" w:ascii="Times New Roman" w:hAnsi="Times New Roman" w:eastAsia="方正仿宋_GBK"/>
          <w:color w:val="auto"/>
          <w:sz w:val="32"/>
          <w:szCs w:val="32"/>
          <w:lang w:eastAsia="zh-CN"/>
        </w:rPr>
        <w:t>运动</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提倡文明健康、绿色环保的生活方式。</w:t>
      </w:r>
      <w:r>
        <w:rPr>
          <w:rFonts w:hint="eastAsia" w:ascii="Times New Roman" w:hAnsi="Times New Roman" w:eastAsia="方正仿宋_GBK"/>
          <w:color w:val="auto"/>
          <w:sz w:val="32"/>
          <w:szCs w:val="32"/>
        </w:rPr>
        <w:t>大力推进全民健身运动，建设健康示范点，扩大健康城市建设覆盖面</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利用节假日、健康主题日，开展健康公益教育和健康促进活动，普及健康知识，倡导人民养成健康卫生习惯。</w:t>
      </w:r>
      <w:r>
        <w:rPr>
          <w:rFonts w:ascii="Times New Roman" w:hAnsi="Times New Roman" w:eastAsia="方正仿宋_GBK"/>
          <w:color w:val="auto"/>
          <w:sz w:val="32"/>
          <w:szCs w:val="32"/>
        </w:rPr>
        <w:t>鼓励社会力量发展健康服务业</w:t>
      </w:r>
      <w:r>
        <w:rPr>
          <w:rFonts w:hint="eastAsia" w:ascii="Times New Roman" w:hAnsi="Times New Roman" w:eastAsia="方正仿宋_GBK"/>
          <w:color w:val="auto"/>
          <w:sz w:val="32"/>
          <w:szCs w:val="32"/>
        </w:rPr>
        <w:t>。</w:t>
      </w:r>
      <w:r>
        <w:rPr>
          <w:rFonts w:hint="eastAsia" w:ascii="Times New Roman" w:hAnsi="Times New Roman" w:eastAsia="方正仿宋_GBK"/>
          <w:color w:val="auto"/>
          <w:sz w:val="32"/>
          <w:szCs w:val="32"/>
          <w:lang w:eastAsia="zh-CN"/>
        </w:rPr>
        <w:t>巩固慢性病综合防控示范区建设成果，把慢性病防控作为加强社会建设和管理、促进基本公共服务均等化的重要内容。</w:t>
      </w:r>
    </w:p>
    <w:p>
      <w:pPr>
        <w:pStyle w:val="4"/>
        <w:rPr>
          <w:b w:val="0"/>
          <w:bCs w:val="0"/>
          <w:color w:val="auto"/>
          <w:sz w:val="36"/>
        </w:rPr>
      </w:pPr>
      <w:bookmarkStart w:id="236" w:name="_Toc446364506"/>
      <w:bookmarkStart w:id="237" w:name="_Toc5546"/>
      <w:bookmarkStart w:id="238" w:name="_Toc29612"/>
      <w:bookmarkStart w:id="239" w:name="_Toc60044148"/>
      <w:bookmarkStart w:id="240" w:name="_Toc8838"/>
      <w:r>
        <w:rPr>
          <w:rFonts w:hint="eastAsia"/>
          <w:b w:val="0"/>
          <w:bCs w:val="0"/>
          <w:color w:val="auto"/>
          <w:sz w:val="36"/>
        </w:rPr>
        <w:t>第四十一章　健全多层次社会保障体系</w:t>
      </w:r>
      <w:bookmarkEnd w:id="236"/>
      <w:bookmarkEnd w:id="237"/>
      <w:bookmarkEnd w:id="238"/>
      <w:bookmarkEnd w:id="239"/>
      <w:bookmarkEnd w:id="240"/>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按照兜底线、织密网、建机制的要求，全面建成</w:t>
      </w:r>
      <w:r>
        <w:rPr>
          <w:rFonts w:hint="eastAsia" w:ascii="Times New Roman" w:hAnsi="Times New Roman" w:eastAsia="方正仿宋_GBK"/>
          <w:color w:val="auto"/>
          <w:sz w:val="32"/>
          <w:szCs w:val="32"/>
        </w:rPr>
        <w:t>覆盖全民、城乡统筹、权责清晰、保障适度、可持续的多层次社会保障体系。</w:t>
      </w:r>
    </w:p>
    <w:p>
      <w:pPr>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一、深化社会保障制度改革</w:t>
      </w:r>
    </w:p>
    <w:p>
      <w:pPr>
        <w:spacing w:line="560" w:lineRule="exact"/>
        <w:ind w:firstLine="640" w:firstLineChars="200"/>
        <w:rPr>
          <w:rFonts w:hint="eastAsia" w:ascii="Times New Roman" w:hAnsi="Times New Roman" w:eastAsia="方正仿宋_GBK"/>
          <w:color w:val="auto"/>
          <w:sz w:val="32"/>
          <w:szCs w:val="32"/>
        </w:rPr>
      </w:pPr>
      <w:r>
        <w:rPr>
          <w:rFonts w:hint="eastAsia" w:ascii="Times New Roman" w:hAnsi="Times New Roman" w:eastAsia="方正仿宋_GBK"/>
          <w:color w:val="auto"/>
          <w:sz w:val="32"/>
          <w:szCs w:val="32"/>
        </w:rPr>
        <w:t>继续完善划转部分国有资本充实社会基金后续管理工作，为社保基金平稳运行和可持续发展提供有效补充渠道；深入推进基本养老保险制度改革，完善企业职工基本养老保险、工伤保险基金省级统筹，确保养老金按时足额发放；按照国家统一部署，建立健全合理兼顾各类人员的社会保障待遇确定和正常调节机制；优化简化低保、临时救助审核审批程序和手续；改进住房公积金提取、使用、监管机制；健全社会保障财政投入制度。深化殡葬服务改革，</w:t>
      </w:r>
      <w:r>
        <w:rPr>
          <w:rFonts w:ascii="Times New Roman" w:hAnsi="Times New Roman" w:eastAsia="方正仿宋_GBK"/>
          <w:color w:val="auto"/>
          <w:sz w:val="32"/>
          <w:szCs w:val="32"/>
        </w:rPr>
        <w:t>巩固殡葬改革成果，推广节地生态葬，文明殡葬。</w:t>
      </w:r>
    </w:p>
    <w:p>
      <w:pPr>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二、完善社会救助制度</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落实社会保障兜底政策，保障困难群众基本生活不受影响。扩大低保保障范围，对城乡困难家庭应保尽保，将符合条件的城镇失业和返乡人员及时纳入社会救助范围。健全城乡救助机制，健全统一规范的医疗救助制度，加强社会救助制度与其他社会保障制度、专项救助与低保救助头筹衔接，提升社会救助水平。</w:t>
      </w:r>
    </w:p>
    <w:p>
      <w:pPr>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三、发展社会福利事业</w:t>
      </w:r>
    </w:p>
    <w:p>
      <w:pPr>
        <w:spacing w:line="560" w:lineRule="exact"/>
        <w:ind w:firstLine="63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建立完善养老服务体系，推进社会福利中心配套设施、乡镇（街道）敬老院和农村幸福院建设，支持养老机构发展。健全退役军人工作体系和保障制度，积极稳妥解决退役军人问题。健全残疾康复、优抚安置、农村留守儿童和妇女、老年人关爱服务体系。加快解决城镇居民基本住房和农村困难群众住房安全问题，满足城乡困难居民基本住房需求。积极鼓励和大力发展社会组织，加强社会事务管理。</w:t>
      </w:r>
    </w:p>
    <w:p>
      <w:pPr>
        <w:pStyle w:val="4"/>
        <w:rPr>
          <w:b w:val="0"/>
          <w:bCs w:val="0"/>
          <w:color w:val="auto"/>
          <w:sz w:val="36"/>
        </w:rPr>
      </w:pPr>
      <w:bookmarkStart w:id="241" w:name="_Toc60044150"/>
      <w:bookmarkStart w:id="242" w:name="_Toc17372"/>
      <w:bookmarkStart w:id="243" w:name="_Toc446364507"/>
      <w:bookmarkStart w:id="244" w:name="_Toc11549"/>
      <w:bookmarkStart w:id="245" w:name="_Toc29314"/>
      <w:r>
        <w:rPr>
          <w:rFonts w:hint="eastAsia"/>
          <w:b w:val="0"/>
          <w:bCs w:val="0"/>
          <w:color w:val="auto"/>
          <w:sz w:val="36"/>
        </w:rPr>
        <w:t>第四十二章　</w:t>
      </w:r>
      <w:bookmarkEnd w:id="241"/>
      <w:r>
        <w:rPr>
          <w:rFonts w:hint="eastAsia"/>
          <w:b w:val="0"/>
          <w:bCs w:val="0"/>
          <w:color w:val="auto"/>
          <w:sz w:val="36"/>
        </w:rPr>
        <w:t>提升公共文化服务水平</w:t>
      </w:r>
      <w:bookmarkEnd w:id="242"/>
      <w:bookmarkEnd w:id="243"/>
      <w:bookmarkEnd w:id="244"/>
      <w:bookmarkEnd w:id="245"/>
    </w:p>
    <w:p>
      <w:pPr>
        <w:spacing w:line="560" w:lineRule="exact"/>
        <w:ind w:firstLine="640" w:firstLineChars="200"/>
        <w:rPr>
          <w:rFonts w:hint="eastAsia" w:ascii="Times New Roman" w:hAnsi="Times New Roman" w:eastAsia="方正仿宋_GBK"/>
          <w:color w:val="auto"/>
          <w:sz w:val="32"/>
          <w:szCs w:val="32"/>
        </w:rPr>
      </w:pPr>
      <w:r>
        <w:rPr>
          <w:rFonts w:ascii="Times New Roman" w:hAnsi="Times New Roman" w:eastAsia="方正仿宋_GBK"/>
          <w:color w:val="auto"/>
          <w:sz w:val="32"/>
          <w:szCs w:val="32"/>
        </w:rPr>
        <w:t>坚持马克思主义在意识形态领域的指导地位，深入开展习近平新时代中国特色社会主义思想学习教育，以社会主义核心价值观引领文化建设，推动理想信念教育常态化制度化</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发扬爱国主义、集体主义精神，引导人民提升道德情操、树立社会主义良好风尚、增强文化自信。</w:t>
      </w:r>
    </w:p>
    <w:p>
      <w:pPr>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一、</w:t>
      </w:r>
      <w:r>
        <w:rPr>
          <w:rFonts w:ascii="黑体" w:hAnsi="黑体" w:eastAsia="黑体"/>
          <w:color w:val="auto"/>
          <w:sz w:val="32"/>
          <w:szCs w:val="32"/>
        </w:rPr>
        <w:t>构建现代公共文化服务体系</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实施文明创建工程，</w:t>
      </w:r>
      <w:r>
        <w:rPr>
          <w:rFonts w:ascii="Times New Roman" w:hAnsi="Times New Roman" w:eastAsia="方正仿宋_GBK"/>
          <w:color w:val="auto"/>
          <w:sz w:val="32"/>
          <w:szCs w:val="32"/>
        </w:rPr>
        <w:t>积极争创全国文明城市，推进城乡公共文化设施达标工程，全面提升公共文化服务水平，以建设新博物馆、图书馆、文化馆</w:t>
      </w:r>
      <w:r>
        <w:rPr>
          <w:rFonts w:hint="eastAsia" w:ascii="Times New Roman" w:hAnsi="Times New Roman" w:eastAsia="方正仿宋_GBK"/>
          <w:color w:val="auto"/>
          <w:sz w:val="32"/>
          <w:szCs w:val="32"/>
          <w:lang w:eastAsia="zh-CN"/>
        </w:rPr>
        <w:t>、老年大学</w:t>
      </w:r>
      <w:r>
        <w:rPr>
          <w:rFonts w:ascii="Times New Roman" w:hAnsi="Times New Roman" w:eastAsia="方正仿宋_GBK"/>
          <w:color w:val="auto"/>
          <w:sz w:val="32"/>
          <w:szCs w:val="32"/>
        </w:rPr>
        <w:t>为契机，搭建群众文化生活平台。推进乡镇文化站、农家书屋、文化资源共享工程、数字图书馆基础设施建设与服务均等化，构建现代化、数字化、信息化的公共文化服务体系。推动群众文艺团队发展，组织开展群众性特色文化活动，</w:t>
      </w:r>
      <w:r>
        <w:rPr>
          <w:rFonts w:hint="eastAsia" w:ascii="Times New Roman" w:hAnsi="Times New Roman" w:eastAsia="方正仿宋_GBK"/>
          <w:color w:val="auto"/>
          <w:sz w:val="32"/>
          <w:szCs w:val="32"/>
        </w:rPr>
        <w:t>加快建设文化广场，积极开展乡镇（街道）节庆活动，并推进活动常态化</w:t>
      </w:r>
      <w:r>
        <w:rPr>
          <w:rFonts w:ascii="Times New Roman" w:hAnsi="Times New Roman" w:eastAsia="方正仿宋_GBK"/>
          <w:color w:val="auto"/>
          <w:sz w:val="32"/>
          <w:szCs w:val="32"/>
        </w:rPr>
        <w:t>。做好江川甘棠箐遗址</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贝丘遗址</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抚仙湖东岸九村至螺蛳铺沿线的文物、博物</w:t>
      </w:r>
      <w:r>
        <w:rPr>
          <w:rFonts w:hint="eastAsia" w:ascii="Times New Roman" w:hAnsi="Times New Roman" w:eastAsia="方正仿宋_GBK"/>
          <w:color w:val="auto"/>
          <w:sz w:val="32"/>
          <w:szCs w:val="32"/>
        </w:rPr>
        <w:t>保护</w:t>
      </w:r>
      <w:r>
        <w:rPr>
          <w:rFonts w:ascii="Times New Roman" w:hAnsi="Times New Roman" w:eastAsia="方正仿宋_GBK"/>
          <w:color w:val="auto"/>
          <w:sz w:val="32"/>
          <w:szCs w:val="32"/>
        </w:rPr>
        <w:t>整理工作</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加强文物展览交流活动，开展文物业务知识培训。推进民族文化和非物质文化遗产传承保护，</w:t>
      </w:r>
      <w:r>
        <w:rPr>
          <w:rFonts w:hint="eastAsia" w:ascii="Times New Roman" w:hAnsi="Times New Roman" w:eastAsia="方正仿宋_GBK"/>
          <w:color w:val="auto"/>
          <w:sz w:val="32"/>
          <w:szCs w:val="32"/>
        </w:rPr>
        <w:t>加强非物质文化遗产进校园的传承力度。</w:t>
      </w:r>
      <w:r>
        <w:rPr>
          <w:rFonts w:ascii="Times New Roman" w:hAnsi="Times New Roman" w:eastAsia="方正仿宋_GBK"/>
          <w:color w:val="auto"/>
          <w:sz w:val="32"/>
          <w:szCs w:val="32"/>
        </w:rPr>
        <w:t>发掘民族民间文化资源，加强与旅游资源的有机融合。不断丰富人民群众的精神文化生活，提高人民群众对文化需求的满足感、获得感、幸福感。</w:t>
      </w:r>
    </w:p>
    <w:p>
      <w:pPr>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二、推动媒体深度融合</w:t>
      </w:r>
    </w:p>
    <w:p>
      <w:pPr>
        <w:spacing w:line="560" w:lineRule="exact"/>
        <w:ind w:firstLine="640" w:firstLineChars="200"/>
        <w:rPr>
          <w:rFonts w:hint="eastAsia" w:ascii="Times New Roman" w:hAnsi="Times New Roman" w:eastAsia="方正仿宋_GBK"/>
          <w:color w:val="auto"/>
          <w:sz w:val="32"/>
          <w:szCs w:val="32"/>
        </w:rPr>
      </w:pPr>
      <w:r>
        <w:rPr>
          <w:rFonts w:hint="eastAsia" w:ascii="Times New Roman" w:hAnsi="Times New Roman" w:eastAsia="方正仿宋_GBK"/>
          <w:color w:val="auto"/>
          <w:sz w:val="32"/>
          <w:szCs w:val="32"/>
        </w:rPr>
        <w:t>全面深化融媒体改革，深入把握信息化社会和全媒体时代发展新趋势，推进体制机制、平台阵地、管理流程、人才技术等深度融合，不断提升新闻舆论传播力、引导力、影响力、公信力。</w:t>
      </w:r>
      <w:r>
        <w:rPr>
          <w:rFonts w:ascii="Times New Roman" w:hAnsi="Times New Roman" w:eastAsia="方正仿宋_GBK"/>
          <w:color w:val="auto"/>
          <w:sz w:val="32"/>
          <w:szCs w:val="32"/>
        </w:rPr>
        <w:t>建强用好区融媒体中心，</w:t>
      </w:r>
      <w:r>
        <w:rPr>
          <w:rFonts w:hint="eastAsia" w:ascii="Times New Roman" w:hAnsi="Times New Roman" w:eastAsia="方正仿宋_GBK"/>
          <w:color w:val="auto"/>
          <w:sz w:val="32"/>
          <w:szCs w:val="32"/>
        </w:rPr>
        <w:t>加快转型</w:t>
      </w:r>
      <w:r>
        <w:rPr>
          <w:rFonts w:ascii="Times New Roman" w:hAnsi="Times New Roman" w:eastAsia="方正仿宋_GBK"/>
          <w:color w:val="auto"/>
          <w:sz w:val="32"/>
          <w:szCs w:val="32"/>
        </w:rPr>
        <w:t>建设“智慧广电”</w:t>
      </w:r>
      <w:r>
        <w:rPr>
          <w:rFonts w:hint="eastAsia" w:ascii="Times New Roman" w:hAnsi="Times New Roman" w:eastAsia="方正仿宋_GBK"/>
          <w:color w:val="auto"/>
          <w:sz w:val="32"/>
          <w:szCs w:val="32"/>
        </w:rPr>
        <w:t>，以更坚定</w:t>
      </w:r>
      <w:r>
        <w:rPr>
          <w:rFonts w:hint="eastAsia" w:ascii="Times New Roman" w:hAnsi="Times New Roman" w:eastAsia="方正仿宋_GBK"/>
          <w:color w:val="auto"/>
          <w:sz w:val="32"/>
          <w:szCs w:val="32"/>
          <w:lang w:eastAsia="zh-CN"/>
        </w:rPr>
        <w:t>的</w:t>
      </w:r>
      <w:r>
        <w:rPr>
          <w:rFonts w:hint="eastAsia" w:ascii="Times New Roman" w:hAnsi="Times New Roman" w:eastAsia="方正仿宋_GBK"/>
          <w:color w:val="auto"/>
          <w:sz w:val="32"/>
          <w:szCs w:val="32"/>
        </w:rPr>
        <w:t>决心、更有力的举措推进媒体深度融合，完善融媒体平台基础设施建设，充分发挥主流舆论阵地功能，牢牢占据舆论引导、思想引领、文化传承、服务人民的传播制高点。</w:t>
      </w:r>
    </w:p>
    <w:p>
      <w:pPr>
        <w:spacing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三、传承弘扬优秀传统文化</w:t>
      </w:r>
    </w:p>
    <w:p>
      <w:pPr>
        <w:spacing w:line="560" w:lineRule="exact"/>
        <w:ind w:firstLine="640" w:firstLineChars="200"/>
        <w:rPr>
          <w:rFonts w:hint="eastAsia" w:ascii="Times New Roman" w:hAnsi="Times New Roman" w:eastAsia="方正仿宋_GBK"/>
          <w:color w:val="auto"/>
          <w:sz w:val="32"/>
          <w:szCs w:val="32"/>
        </w:rPr>
      </w:pPr>
      <w:r>
        <w:rPr>
          <w:rFonts w:ascii="Times New Roman" w:hAnsi="Times New Roman" w:eastAsia="方正仿宋_GBK"/>
          <w:color w:val="auto"/>
          <w:sz w:val="32"/>
          <w:szCs w:val="32"/>
        </w:rPr>
        <w:t>推进公民道德建设，加强家庭家教家风建设，强化未成年人思想道德建设</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加强网络文明建设</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大力弘扬劳模精神、劳动精神、工匠精神，</w:t>
      </w:r>
      <w:r>
        <w:rPr>
          <w:rFonts w:hint="eastAsia" w:ascii="Times New Roman" w:hAnsi="Times New Roman" w:eastAsia="方正仿宋_GBK"/>
          <w:color w:val="auto"/>
          <w:sz w:val="32"/>
          <w:szCs w:val="32"/>
        </w:rPr>
        <w:t>讲好中国故事、江川故事。突出古滇</w:t>
      </w:r>
      <w:r>
        <w:rPr>
          <w:rFonts w:hint="eastAsia" w:ascii="Times New Roman" w:hAnsi="Times New Roman" w:eastAsia="方正仿宋_GBK"/>
          <w:color w:val="auto"/>
          <w:sz w:val="32"/>
          <w:szCs w:val="32"/>
          <w:lang w:eastAsia="zh-CN"/>
        </w:rPr>
        <w:t>青铜</w:t>
      </w:r>
      <w:r>
        <w:rPr>
          <w:rFonts w:hint="eastAsia" w:ascii="Times New Roman" w:hAnsi="Times New Roman" w:eastAsia="方正仿宋_GBK"/>
          <w:color w:val="auto"/>
          <w:sz w:val="32"/>
          <w:szCs w:val="32"/>
        </w:rPr>
        <w:t>文化</w:t>
      </w:r>
      <w:r>
        <w:rPr>
          <w:rFonts w:hint="eastAsia" w:ascii="Times New Roman" w:hAnsi="Times New Roman" w:eastAsia="方正仿宋_GBK"/>
          <w:color w:val="auto"/>
          <w:sz w:val="32"/>
          <w:szCs w:val="32"/>
          <w:lang w:eastAsia="zh-CN"/>
        </w:rPr>
        <w:t>，</w:t>
      </w:r>
      <w:r>
        <w:rPr>
          <w:rFonts w:hint="eastAsia" w:ascii="Times New Roman" w:hAnsi="Times New Roman" w:eastAsia="方正仿宋_GBK"/>
          <w:color w:val="auto"/>
          <w:sz w:val="32"/>
          <w:szCs w:val="32"/>
        </w:rPr>
        <w:t>打造以古滇铜街为龙头的文化创意产业品牌，推动文化和旅游康养深度融合发展。</w:t>
      </w:r>
    </w:p>
    <w:p>
      <w:pPr>
        <w:spacing w:line="560" w:lineRule="exact"/>
        <w:ind w:firstLine="640" w:firstLineChars="200"/>
        <w:rPr>
          <w:rFonts w:ascii="Times New Roman" w:hAnsi="Times New Roman" w:eastAsia="仿宋"/>
          <w:color w:val="auto"/>
          <w:sz w:val="32"/>
          <w:szCs w:val="32"/>
        </w:rPr>
      </w:pP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jc w:val="center"/>
              <w:rPr>
                <w:rFonts w:ascii="宋体" w:hAnsi="宋体" w:cs="FangSong_GB2312"/>
                <w:color w:val="000000"/>
                <w:kern w:val="0"/>
                <w:sz w:val="24"/>
                <w:szCs w:val="24"/>
              </w:rPr>
            </w:pPr>
            <w:r>
              <w:rPr>
                <w:rFonts w:hint="eastAsia" w:ascii="Times New Roman" w:hAnsi="Times New Roman" w:eastAsia="方正仿宋_GBK"/>
                <w:b/>
                <w:color w:val="auto"/>
                <w:sz w:val="32"/>
                <w:szCs w:val="28"/>
              </w:rPr>
              <w:t>专栏11：民生事业保障工程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360" w:lineRule="exact"/>
              <w:rPr>
                <w:rFonts w:ascii="Times New Roman" w:hAnsi="Times New Roman" w:eastAsia="方正仿宋_GBK"/>
                <w:b/>
                <w:color w:val="auto"/>
                <w:szCs w:val="21"/>
                <w:highlight w:val="yellow"/>
              </w:rPr>
            </w:pPr>
            <w:r>
              <w:rPr>
                <w:rFonts w:hint="eastAsia" w:ascii="Times New Roman" w:hAnsi="Times New Roman" w:eastAsia="方正仿宋_GBK"/>
                <w:b/>
                <w:color w:val="auto"/>
                <w:szCs w:val="21"/>
              </w:rPr>
              <w:t>城乡教育基础设施建设：</w:t>
            </w:r>
            <w:r>
              <w:rPr>
                <w:rFonts w:hint="eastAsia" w:ascii="Times New Roman" w:hAnsi="Times New Roman" w:eastAsia="方正仿宋_GBK"/>
                <w:color w:val="auto"/>
                <w:szCs w:val="21"/>
              </w:rPr>
              <w:t>江川区职业中学农产品保鲜与加工实训大楼项目、江川区校园安全智慧平台建设、江川区大街街道第二中学项目、江川区大街街道第二小学项目、江川区大街街道大庄村幼儿园建设项目、</w:t>
            </w:r>
            <w:r>
              <w:rPr>
                <w:rFonts w:hint="eastAsia" w:ascii="Times New Roman" w:hAnsi="Times New Roman" w:eastAsia="方正仿宋_GBK"/>
                <w:color w:val="auto"/>
                <w:szCs w:val="21"/>
                <w:highlight w:val="none"/>
              </w:rPr>
              <w:t>江川区大街街道石岩哨小学幼儿园迁建项目。</w:t>
            </w:r>
          </w:p>
          <w:p>
            <w:pPr>
              <w:spacing w:line="360" w:lineRule="exact"/>
              <w:rPr>
                <w:rFonts w:ascii="Times New Roman" w:hAnsi="Times New Roman" w:eastAsia="方正仿宋_GBK"/>
                <w:color w:val="auto"/>
                <w:szCs w:val="21"/>
              </w:rPr>
            </w:pPr>
            <w:r>
              <w:rPr>
                <w:rFonts w:hint="eastAsia" w:ascii="Times New Roman" w:hAnsi="Times New Roman" w:eastAsia="方正仿宋_GBK"/>
                <w:b/>
                <w:color w:val="auto"/>
                <w:szCs w:val="21"/>
              </w:rPr>
              <w:t>城乡</w:t>
            </w:r>
            <w:r>
              <w:rPr>
                <w:rFonts w:ascii="Times New Roman" w:hAnsi="Times New Roman" w:eastAsia="方正仿宋_GBK"/>
                <w:b/>
                <w:color w:val="auto"/>
                <w:szCs w:val="21"/>
              </w:rPr>
              <w:t>医疗卫生基础设施建设工程</w:t>
            </w:r>
            <w:r>
              <w:rPr>
                <w:rFonts w:hint="eastAsia" w:ascii="Times New Roman" w:hAnsi="Times New Roman" w:eastAsia="方正仿宋_GBK"/>
                <w:b/>
                <w:color w:val="auto"/>
                <w:szCs w:val="21"/>
              </w:rPr>
              <w:t>：</w:t>
            </w:r>
            <w:r>
              <w:rPr>
                <w:rFonts w:hint="eastAsia" w:ascii="Times New Roman" w:hAnsi="Times New Roman" w:eastAsia="方正仿宋_GBK"/>
                <w:color w:val="auto"/>
                <w:szCs w:val="21"/>
              </w:rPr>
              <w:t>玉溪市传染病医院、江川区人民医院综合住院大楼项目、江川区疾病预防控制中心整体搬迁新建项目、江川区医共体大街分院建设项目、江川区乡镇医共体建设项目、江川区示范性托育服务和指导中心新建项目。</w:t>
            </w:r>
          </w:p>
          <w:p>
            <w:pPr>
              <w:spacing w:line="360" w:lineRule="exact"/>
              <w:rPr>
                <w:rFonts w:ascii="Times New Roman" w:hAnsi="Times New Roman" w:eastAsia="方正仿宋_GBK"/>
                <w:color w:val="auto"/>
                <w:szCs w:val="21"/>
              </w:rPr>
            </w:pPr>
            <w:r>
              <w:rPr>
                <w:rFonts w:hint="eastAsia" w:ascii="Times New Roman" w:hAnsi="Times New Roman" w:eastAsia="方正仿宋_GBK"/>
                <w:b/>
                <w:color w:val="auto"/>
                <w:szCs w:val="21"/>
              </w:rPr>
              <w:t>养老服务提升工程：</w:t>
            </w:r>
            <w:r>
              <w:rPr>
                <w:rFonts w:hint="eastAsia" w:ascii="Times New Roman" w:hAnsi="Times New Roman" w:eastAsia="方正仿宋_GBK"/>
                <w:color w:val="auto"/>
                <w:szCs w:val="21"/>
              </w:rPr>
              <w:t>江川区老年大学（老干部活动中心）项目、江川区城乡社区服务系统建设、江川区社区、村委会养老机构建设。</w:t>
            </w:r>
          </w:p>
          <w:p>
            <w:pPr>
              <w:spacing w:line="360" w:lineRule="exact"/>
              <w:rPr>
                <w:rFonts w:ascii="宋体" w:hAnsi="宋体" w:cs="FangSong_GB2312"/>
                <w:b/>
                <w:color w:val="auto"/>
                <w:kern w:val="0"/>
                <w:szCs w:val="21"/>
              </w:rPr>
            </w:pPr>
            <w:r>
              <w:rPr>
                <w:rFonts w:hint="eastAsia" w:ascii="Times New Roman" w:hAnsi="Times New Roman" w:eastAsia="方正仿宋_GBK"/>
                <w:b/>
                <w:color w:val="auto"/>
                <w:szCs w:val="21"/>
              </w:rPr>
              <w:t>公共文化设施建设与提升工程：</w:t>
            </w:r>
            <w:r>
              <w:rPr>
                <w:rFonts w:hint="eastAsia" w:ascii="Times New Roman" w:hAnsi="Times New Roman" w:eastAsia="方正仿宋_GBK"/>
                <w:color w:val="auto"/>
                <w:szCs w:val="21"/>
              </w:rPr>
              <w:t>开展完成县级公共文化设施数字化全覆盖建设，补齐乡镇村级公共文化设施，建设乡镇综合文化广场。</w:t>
            </w:r>
          </w:p>
        </w:tc>
      </w:tr>
    </w:tbl>
    <w:p>
      <w:pPr>
        <w:spacing w:line="560" w:lineRule="exact"/>
        <w:ind w:firstLine="640" w:firstLineChars="200"/>
        <w:rPr>
          <w:rFonts w:eastAsia="方正仿宋简体"/>
          <w:color w:val="auto"/>
          <w:sz w:val="32"/>
          <w:szCs w:val="32"/>
        </w:rPr>
      </w:pPr>
    </w:p>
    <w:p>
      <w:pPr>
        <w:spacing w:line="560" w:lineRule="exact"/>
        <w:ind w:firstLine="640" w:firstLineChars="200"/>
        <w:rPr>
          <w:rFonts w:ascii="Times New Roman" w:hAnsi="Times New Roman" w:eastAsia="方正仿宋_GBK"/>
          <w:color w:val="auto"/>
          <w:sz w:val="32"/>
          <w:szCs w:val="32"/>
        </w:rPr>
        <w:sectPr>
          <w:pgSz w:w="11906" w:h="16838"/>
          <w:pgMar w:top="1814" w:right="1531" w:bottom="2098" w:left="1531" w:header="851" w:footer="1417" w:gutter="0"/>
          <w:pgNumType w:fmt="decimal"/>
          <w:cols w:space="0" w:num="1"/>
          <w:rtlGutter w:val="0"/>
          <w:docGrid w:type="lines" w:linePitch="312" w:charSpace="0"/>
        </w:sectPr>
      </w:pPr>
    </w:p>
    <w:p>
      <w:pPr>
        <w:pStyle w:val="3"/>
        <w:rPr>
          <w:rFonts w:eastAsia="方正小标宋简体"/>
          <w:b w:val="0"/>
          <w:bCs w:val="0"/>
          <w:color w:val="auto"/>
          <w:sz w:val="40"/>
        </w:rPr>
      </w:pPr>
      <w:bookmarkStart w:id="246" w:name="_Toc23590"/>
      <w:bookmarkStart w:id="247" w:name="_Toc15632"/>
      <w:bookmarkStart w:id="248" w:name="_Toc446364508"/>
      <w:bookmarkStart w:id="249" w:name="_Toc60044151"/>
      <w:bookmarkStart w:id="250" w:name="_Toc21657"/>
      <w:r>
        <w:rPr>
          <w:rFonts w:hint="eastAsia" w:eastAsia="方正小标宋简体"/>
          <w:b w:val="0"/>
          <w:bCs w:val="0"/>
          <w:color w:val="auto"/>
          <w:sz w:val="40"/>
        </w:rPr>
        <w:t>第十二篇　提升社会治理水平，建设“平安江川”</w:t>
      </w:r>
      <w:bookmarkEnd w:id="246"/>
      <w:bookmarkEnd w:id="247"/>
      <w:bookmarkEnd w:id="248"/>
      <w:bookmarkEnd w:id="249"/>
      <w:bookmarkEnd w:id="250"/>
    </w:p>
    <w:p>
      <w:pPr>
        <w:spacing w:line="560" w:lineRule="exact"/>
        <w:ind w:firstLine="640" w:firstLineChars="200"/>
        <w:rPr>
          <w:rFonts w:ascii="Times New Roman" w:hAnsi="Times New Roman" w:eastAsia="方正仿宋_GBK"/>
          <w:color w:val="auto"/>
          <w:sz w:val="32"/>
          <w:szCs w:val="32"/>
        </w:rPr>
      </w:pPr>
      <w:bookmarkStart w:id="251" w:name="_Toc60044152"/>
      <w:r>
        <w:rPr>
          <w:rFonts w:hint="eastAsia" w:ascii="Times New Roman" w:hAnsi="Times New Roman" w:eastAsia="方正仿宋_GBK"/>
          <w:color w:val="auto"/>
          <w:sz w:val="32"/>
          <w:szCs w:val="32"/>
        </w:rPr>
        <w:t>完善社会治理体系，健全党组织领导的自治、法治、德治相结合的城乡基层治理体系，完善基层民主协商制度，实现政府治理同社会调节、居民自治良性互动，建设人人有责、人人尽责、人人享有的社会治理共同体。</w:t>
      </w:r>
    </w:p>
    <w:p>
      <w:pPr>
        <w:pStyle w:val="4"/>
        <w:rPr>
          <w:b w:val="0"/>
          <w:bCs w:val="0"/>
          <w:color w:val="auto"/>
          <w:sz w:val="36"/>
        </w:rPr>
      </w:pPr>
      <w:bookmarkStart w:id="252" w:name="_Toc446364509"/>
      <w:bookmarkStart w:id="253" w:name="_Toc7700"/>
      <w:bookmarkStart w:id="254" w:name="_Toc25949"/>
      <w:bookmarkStart w:id="255" w:name="_Toc29987"/>
      <w:r>
        <w:rPr>
          <w:rFonts w:hint="eastAsia"/>
          <w:b w:val="0"/>
          <w:bCs w:val="0"/>
          <w:color w:val="auto"/>
          <w:sz w:val="36"/>
        </w:rPr>
        <w:t>第四十三章　建设法治江川</w:t>
      </w:r>
      <w:bookmarkEnd w:id="251"/>
      <w:bookmarkEnd w:id="252"/>
      <w:bookmarkEnd w:id="253"/>
      <w:bookmarkEnd w:id="254"/>
      <w:bookmarkEnd w:id="255"/>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加强法治教育，强化法治思维，提高依法履职能力，深入推进依法行政，将政府工作全面纳入法治轨道，提高运用法治思维和法治方式深化改革、推动发展、化解矛盾、维护稳定、应对风险的能力。深化行政执法体制改革，全面推行行政执法公示制度、执法全过程记录制度、重大执法决定法制审核制度，严格规范公正文明执法。加大政务公开力度，保障人民群众的知情权、参与权和监督权。探索区级综合执法改革路径，加大食品药品、安全生产、环境保护、社会治安等关系群众切身利益的重点领域执法力度。加强对法律实施的监督，保证行政权、监察权、审判权、检察权得到依法正确行使，保证公民、法人和其他组织合法权益得到切实保障，最大限度凝聚全社会共识和力量，推进改革发展，维护社会和谐稳定。</w:t>
      </w:r>
    </w:p>
    <w:p>
      <w:pPr>
        <w:pStyle w:val="4"/>
        <w:spacing w:line="540" w:lineRule="exact"/>
        <w:rPr>
          <w:b w:val="0"/>
          <w:bCs w:val="0"/>
          <w:color w:val="auto"/>
          <w:sz w:val="36"/>
        </w:rPr>
      </w:pPr>
      <w:bookmarkStart w:id="256" w:name="_Toc60044153"/>
      <w:bookmarkStart w:id="257" w:name="_Toc32045"/>
      <w:bookmarkStart w:id="258" w:name="_Toc7579"/>
      <w:bookmarkStart w:id="259" w:name="_Toc446364510"/>
      <w:bookmarkStart w:id="260" w:name="_Toc18499"/>
      <w:r>
        <w:rPr>
          <w:rFonts w:hint="eastAsia"/>
          <w:b w:val="0"/>
          <w:bCs w:val="0"/>
          <w:color w:val="auto"/>
          <w:sz w:val="36"/>
        </w:rPr>
        <w:t>第四十四章　提升治理能力</w:t>
      </w:r>
      <w:bookmarkEnd w:id="256"/>
      <w:bookmarkEnd w:id="257"/>
      <w:bookmarkEnd w:id="258"/>
      <w:bookmarkEnd w:id="259"/>
      <w:bookmarkEnd w:id="260"/>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全面推进市域社会治理现代化。健全社会治理“六和”工作体系，推进党建领和、政府主和、社会协和、智慧促和、法治守和、文化育和，全面打造平安城市和市域社会治理示范城市。加强区、乡镇（街道）、村（社区）社会矛盾纠纷调处化解中心（站）建设，建立诉源治理机制，实现矛盾纠纷化解“最多跑一地”。完善社会治安、公共安全隐患排查和风险防范化解机制，保障城市基础设施安全运行，健全重大舆情和突发事件舆论引导机制，推进应急管理体系和能力现代化，提高安全发展水平。加快推进城市数字管理平台建设，健全数据整合共享机制，拓展深化便民惠企的场景应用，充分发挥城市数字管理平台支撑作用，全面提升城市治理数字化水平。建立健全网络综合治理体系，加强互联网内容建设，强化隐私保护和数据安全管理。</w:t>
      </w:r>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构建基层社会治理新格局。强化基层党建对基层治理的引领作用，加强和改进乡镇（街道）党（工）委对基层组织的领导，做实做强街道“大工委”、社区“大党委”区域化党建体制机制。深化乡镇（街道）管理体制改革，整合基层审批服务执法力量，强化“基层治理综合平台”运行管理，组建统一的综合行政执法机构，加快实现一枚印章管审批、一支队伍管执法。建立基层职责事项准入清单制度，减轻基层负担。建立网格员机制，健全为民服务网格员和助企服务网格员队伍，实现服务对象和服务范围全覆盖。健全街道居民议事制度，推进政协协商平台建设，充分发挥人大代表联络站等载体作用，形成“民意直通车”长效机制。推进群团组织深度参与基层社会治理。</w:t>
      </w:r>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健全基层党组织领导下的基层群众自治制度，推进基层协商民主制度化规范化程序化。健全民主恳谈会、民主听证会、民情沟通日、百姓议事日、社区“网上协商”等工作机制。深入推进社区居委会、业委会、物业公司三方协同治理，探索城市小区治理新模式。完善乡村治理体系，加快数字乡村建设。打造枫桥式派出所、司法所，加强基层法庭、“微法庭”建设。深入实施公民道德建设工程，深化群众性精神文明创建活动。发挥社会组织、志愿者的积极作用，构建基层治理共同体。</w:t>
      </w:r>
    </w:p>
    <w:p>
      <w:pPr>
        <w:pStyle w:val="4"/>
        <w:spacing w:line="540" w:lineRule="exact"/>
        <w:rPr>
          <w:b w:val="0"/>
          <w:bCs w:val="0"/>
          <w:color w:val="auto"/>
          <w:sz w:val="36"/>
        </w:rPr>
      </w:pPr>
      <w:bookmarkStart w:id="261" w:name="_Toc60044154"/>
      <w:bookmarkStart w:id="262" w:name="_Toc24136"/>
      <w:bookmarkStart w:id="263" w:name="_Toc30655"/>
      <w:bookmarkStart w:id="264" w:name="_Toc446364511"/>
      <w:bookmarkStart w:id="265" w:name="_Toc21783"/>
      <w:r>
        <w:rPr>
          <w:rFonts w:hint="eastAsia"/>
          <w:b w:val="0"/>
          <w:bCs w:val="0"/>
          <w:color w:val="auto"/>
          <w:sz w:val="36"/>
        </w:rPr>
        <w:t>第四十五章　建设服务型政府</w:t>
      </w:r>
      <w:bookmarkEnd w:id="261"/>
      <w:bookmarkEnd w:id="262"/>
      <w:bookmarkEnd w:id="263"/>
      <w:bookmarkEnd w:id="264"/>
      <w:bookmarkEnd w:id="265"/>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坚持和加强党的全面领导，推进依法治理、系统治理、源头治理和综合治理有机统一，发挥政府作用，鼓励和支持社会各方面参与社会治理，积极整合卫生健康、宣传、教育等资源力量，形成党委领导、政府负责、部门协同、属地管理、社会参与、家庭尽责的良好局面。牢固树立以人民为中心的发展思想，紧紧依靠群众、密切联系群众，想群众之所想、急群众之所急、忧群众之所忧，全心全意为人民服务、真心实意为人民办事。把狠抓落实作为政府工作的第一要求，扎实开展“落地见效年”活动，推行工作项目化、项目清单化、清单责任化，形成工作闭环。进一步转变治理理念，创新行政方式，提高行政效能，构建权责明确、依法行政、人民满意的服务型政府。充分发挥党组织的核心引领和组织协调作用，始终把群众的需要作为第一信号，把群众的满意作为第一标准，抓好公共服务、社区治理、为民服务等工作。改革基层工作体系，将行政管理、综治防控、监管执法、公共服务有机整合为“一张网”，不断提升基层治理效能。创新行政管理和服务方式，用数据思维解决市域治理“精准抓”的问题，深入推进政府数字化转型，全面提升在线办理成熟度。</w:t>
      </w:r>
    </w:p>
    <w:p>
      <w:pPr>
        <w:pStyle w:val="4"/>
        <w:spacing w:line="540" w:lineRule="exact"/>
        <w:ind w:firstLine="723"/>
        <w:rPr>
          <w:b w:val="0"/>
          <w:bCs w:val="0"/>
          <w:color w:val="auto"/>
          <w:sz w:val="36"/>
        </w:rPr>
      </w:pPr>
      <w:bookmarkStart w:id="266" w:name="_Toc60044155"/>
      <w:bookmarkStart w:id="267" w:name="_Toc28995"/>
      <w:bookmarkStart w:id="268" w:name="_Toc9497"/>
      <w:bookmarkStart w:id="269" w:name="_Toc446364512"/>
      <w:bookmarkStart w:id="270" w:name="_Toc28333"/>
      <w:r>
        <w:rPr>
          <w:rFonts w:hint="eastAsia"/>
          <w:b w:val="0"/>
          <w:bCs w:val="0"/>
          <w:color w:val="auto"/>
          <w:sz w:val="36"/>
        </w:rPr>
        <w:t>第四十六章　提升社会治安防控水平</w:t>
      </w:r>
      <w:bookmarkEnd w:id="266"/>
      <w:bookmarkEnd w:id="267"/>
      <w:bookmarkEnd w:id="268"/>
      <w:bookmarkEnd w:id="269"/>
      <w:bookmarkEnd w:id="270"/>
    </w:p>
    <w:p>
      <w:pPr>
        <w:spacing w:line="540" w:lineRule="exact"/>
        <w:ind w:firstLine="640" w:firstLineChars="200"/>
        <w:rPr>
          <w:rFonts w:hint="eastAsia" w:ascii="Times New Roman" w:hAnsi="Times New Roman" w:eastAsia="方正仿宋_GBK"/>
          <w:color w:val="auto"/>
          <w:sz w:val="32"/>
          <w:szCs w:val="32"/>
        </w:rPr>
      </w:pPr>
      <w:r>
        <w:rPr>
          <w:rFonts w:hint="eastAsia" w:ascii="Times New Roman" w:hAnsi="Times New Roman" w:eastAsia="方正仿宋_GBK"/>
          <w:color w:val="auto"/>
          <w:sz w:val="32"/>
          <w:szCs w:val="32"/>
        </w:rPr>
        <w:t>坚持总体国家安全观，加快推进“雪亮工程”建设，筑牢公共安全防线，完成公共安全视频图像信息交换共享平台、视频结构化和综治应用分平台建设任务，实现前端有“眼睛”、后台有“大脑”、指挥有“系统”。</w:t>
      </w:r>
    </w:p>
    <w:p>
      <w:pPr>
        <w:spacing w:line="540" w:lineRule="exact"/>
        <w:ind w:firstLine="640" w:firstLineChars="200"/>
        <w:rPr>
          <w:rFonts w:hint="eastAsia" w:ascii="Times New Roman" w:hAnsi="Times New Roman" w:eastAsia="方正仿宋_GBK"/>
          <w:color w:val="auto"/>
          <w:sz w:val="32"/>
          <w:szCs w:val="32"/>
        </w:rPr>
      </w:pPr>
      <w:r>
        <w:rPr>
          <w:rFonts w:hint="eastAsia" w:ascii="黑体" w:hAnsi="黑体" w:eastAsia="黑体"/>
          <w:color w:val="auto"/>
          <w:sz w:val="32"/>
          <w:szCs w:val="32"/>
        </w:rPr>
        <w:t>一、完善基层社会治理模式</w:t>
      </w:r>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加快推进综治“9+X”及大数据应用平台建设及运用推广，以群众需求为导向，推进区、乡镇（街道）、村（社区）三级社会治理中心、综治中心、矛盾纠纷调处中心、公共法律服务中心规范化建设，构建人人有责、人人尽责、人人享有的社会治理共同体，实现“矛盾不上交，平安不出事，服务不缺位”，构建基层网格化服务管理新模式。</w:t>
      </w:r>
    </w:p>
    <w:p>
      <w:pPr>
        <w:spacing w:line="54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二、深入推进“平安江川”建设</w:t>
      </w:r>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健全和完善扫黑除恶专项斗争长效常治常态化机制，综合施策，持续不断开展源头治理、系统治理和依法治理，真正从源头上铲除滋生黑恶势力的土壤。坚决防范和打击暴力恐怖、黑恶势力、新型网络犯罪，保持社会和谐稳定。加强校园及周边综合治理，有效预防青少年违法犯罪。</w:t>
      </w:r>
    </w:p>
    <w:p>
      <w:pPr>
        <w:spacing w:line="54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三、健全信访机制</w:t>
      </w:r>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坚持和发展新时代</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枫桥经验</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，集中治理重复信访、化解信访积案，强化信访源头预防，深入推进信访工作改革创新，加强信访信息智能辅助系统及</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互联网</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政府服务热线</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rPr>
        <w:t>系统建设，积极推进网上信访工作，不断畅通和规范群众诉求表达、利益协调、权益保障通道，充分发挥信访部门在防范化解风险隐患、维护社会大局稳定中的重要作用。</w:t>
      </w:r>
    </w:p>
    <w:p>
      <w:pPr>
        <w:pStyle w:val="4"/>
        <w:spacing w:line="540" w:lineRule="exact"/>
        <w:rPr>
          <w:b w:val="0"/>
          <w:bCs w:val="0"/>
          <w:color w:val="auto"/>
          <w:sz w:val="36"/>
        </w:rPr>
      </w:pPr>
      <w:bookmarkStart w:id="271" w:name="_Toc60044156"/>
      <w:bookmarkStart w:id="272" w:name="_Toc17816"/>
      <w:bookmarkStart w:id="273" w:name="_Toc22504"/>
      <w:bookmarkStart w:id="274" w:name="_Toc446364513"/>
      <w:bookmarkStart w:id="275" w:name="_Toc10665"/>
      <w:r>
        <w:rPr>
          <w:rFonts w:hint="eastAsia"/>
          <w:b w:val="0"/>
          <w:bCs w:val="0"/>
          <w:color w:val="auto"/>
          <w:sz w:val="36"/>
        </w:rPr>
        <w:t>第四十七章　完善权力运行制约和监督机制</w:t>
      </w:r>
      <w:bookmarkEnd w:id="271"/>
      <w:bookmarkEnd w:id="272"/>
      <w:bookmarkEnd w:id="273"/>
      <w:bookmarkEnd w:id="274"/>
      <w:bookmarkEnd w:id="275"/>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完善“两个维护”的保障机制，完善中央重大决策部署和习近平总书记重要指示贯彻落实机制，自觉在思想上行动上同以习近平同志为核心的党中央保持高度一致。</w:t>
      </w:r>
    </w:p>
    <w:p>
      <w:pPr>
        <w:spacing w:line="54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一、健全加强党的全面领导制度</w:t>
      </w:r>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坚持党政军民学、东西南北中，党是领导一切的。加强党对各领域各方面各环节的全面领导，完善党领导人大、政府、政协、监察机关、审判机关、检察机关、武装力量、人民团体、企事业单位、基层群众自治组织、社会组织等制度，把党的领导落实到统筹推进“五位一体”总体布局、协调推进“四个全面”战略布局，改进党的领导方式和执政方式，增强各级党组织政治功能和组织力。</w:t>
      </w:r>
    </w:p>
    <w:p>
      <w:pPr>
        <w:spacing w:line="54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二、坚持全面从严治党制度</w:t>
      </w:r>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贯彻新时代党的建设总要求，健全以党的政治建设为统领，全面推进党的各方面建设的体制机制。坚持新时代党的组织路线，健全党管干部、选贤任能制度，推进基层党建全面进步全面过硬。严格落实全面从严治党的责任制度，完善“四责协同”机制。完善纪律监督、监察监督、派驻监督、巡察监督“四个全覆盖”的监督网络和统筹衔接工作机制。深化标本兼治，完善一体推进不敢腐、不能腐、不想腐的体制机制。健全作风建设长效机制，完善首问负责、“红黄黑榜”等工作机制，持续纠治形式主义、官僚主义。</w:t>
      </w:r>
    </w:p>
    <w:p>
      <w:pPr>
        <w:pStyle w:val="4"/>
        <w:spacing w:line="540" w:lineRule="exact"/>
        <w:rPr>
          <w:b w:val="0"/>
          <w:bCs w:val="0"/>
          <w:color w:val="auto"/>
          <w:sz w:val="36"/>
        </w:rPr>
      </w:pPr>
      <w:bookmarkStart w:id="276" w:name="_Toc1104"/>
      <w:bookmarkStart w:id="277" w:name="_Toc446364514"/>
      <w:bookmarkStart w:id="278" w:name="_Toc20540"/>
      <w:bookmarkStart w:id="279" w:name="_Toc18863"/>
      <w:r>
        <w:rPr>
          <w:b w:val="0"/>
          <w:bCs w:val="0"/>
          <w:color w:val="auto"/>
          <w:sz w:val="36"/>
        </w:rPr>
        <w:t>第</w:t>
      </w:r>
      <w:r>
        <w:rPr>
          <w:rFonts w:hint="eastAsia"/>
          <w:b w:val="0"/>
          <w:bCs w:val="0"/>
          <w:color w:val="auto"/>
          <w:sz w:val="36"/>
        </w:rPr>
        <w:t>四十八章 巩固民族团结进步成果</w:t>
      </w:r>
      <w:bookmarkEnd w:id="276"/>
      <w:bookmarkEnd w:id="277"/>
      <w:bookmarkEnd w:id="278"/>
      <w:bookmarkEnd w:id="279"/>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牢牢把握“共同团结奋斗，共同繁荣发展”的新时期民族工作主题，充分发挥各民族的主体作用，打牢民族团结进步基础，推进新时代民族团结进步事业发展。加快推进全国民族团结进步示范区创建，开展</w:t>
      </w:r>
      <w:r>
        <w:rPr>
          <w:rFonts w:ascii="Times New Roman" w:hAnsi="Times New Roman" w:eastAsia="方正仿宋_GBK"/>
          <w:color w:val="auto"/>
          <w:sz w:val="32"/>
          <w:szCs w:val="32"/>
        </w:rPr>
        <w:t>民族团结进步创建“</w:t>
      </w:r>
      <w:r>
        <w:rPr>
          <w:rFonts w:hint="eastAsia" w:ascii="Times New Roman" w:hAnsi="Times New Roman" w:eastAsia="方正仿宋_GBK"/>
          <w:color w:val="auto"/>
          <w:sz w:val="32"/>
          <w:szCs w:val="32"/>
        </w:rPr>
        <w:t>十</w:t>
      </w:r>
      <w:r>
        <w:rPr>
          <w:rFonts w:ascii="Times New Roman" w:hAnsi="Times New Roman" w:eastAsia="方正仿宋_GBK"/>
          <w:color w:val="auto"/>
          <w:sz w:val="32"/>
          <w:szCs w:val="32"/>
        </w:rPr>
        <w:t>进”</w:t>
      </w:r>
      <w:r>
        <w:rPr>
          <w:rFonts w:hint="eastAsia" w:ascii="Times New Roman" w:hAnsi="Times New Roman" w:eastAsia="方正仿宋_GBK"/>
          <w:color w:val="auto"/>
          <w:sz w:val="32"/>
          <w:szCs w:val="32"/>
        </w:rPr>
        <w:t>工作</w:t>
      </w:r>
      <w:r>
        <w:rPr>
          <w:rFonts w:ascii="Times New Roman" w:hAnsi="Times New Roman" w:eastAsia="方正仿宋_GBK"/>
          <w:color w:val="auto"/>
          <w:sz w:val="32"/>
          <w:szCs w:val="32"/>
        </w:rPr>
        <w:t>。</w:t>
      </w:r>
    </w:p>
    <w:p>
      <w:pPr>
        <w:spacing w:line="54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一、健全民族事务治理体系</w:t>
      </w:r>
    </w:p>
    <w:p>
      <w:pPr>
        <w:spacing w:line="54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提升民族宗教事务治理能力，</w:t>
      </w:r>
      <w:r>
        <w:rPr>
          <w:rFonts w:ascii="Times New Roman" w:hAnsi="Times New Roman" w:eastAsia="方正仿宋_GBK"/>
          <w:color w:val="auto"/>
          <w:sz w:val="32"/>
          <w:szCs w:val="32"/>
        </w:rPr>
        <w:t>推进民族宗教事务法治化、规范化、制度化。推进散居地区民族互嵌关系深入发展，构建城市民族互嵌式社区</w:t>
      </w:r>
      <w:r>
        <w:rPr>
          <w:rFonts w:hint="eastAsia" w:ascii="Times New Roman" w:hAnsi="Times New Roman" w:eastAsia="方正仿宋_GBK"/>
          <w:color w:val="auto"/>
          <w:sz w:val="32"/>
          <w:szCs w:val="32"/>
        </w:rPr>
        <w:t>，共建共享美好家园。</w:t>
      </w:r>
      <w:r>
        <w:rPr>
          <w:rFonts w:ascii="Times New Roman" w:hAnsi="Times New Roman" w:eastAsia="方正仿宋_GBK"/>
          <w:color w:val="auto"/>
          <w:sz w:val="32"/>
          <w:szCs w:val="32"/>
        </w:rPr>
        <w:t>以社区少数民族服务管理为抓手，推进社区民族团结进步工作。创新城市民族工作模式，切实为进城少数民族群众解决在职业培训、就业指导、急难救助、法律援助、子女入学、医疗卫生和精神文化等方面需求，促进城乡地区各族</w:t>
      </w:r>
      <w:r>
        <w:rPr>
          <w:rFonts w:hint="eastAsia" w:ascii="Times New Roman" w:hAnsi="Times New Roman" w:eastAsia="方正仿宋_GBK"/>
          <w:color w:val="auto"/>
          <w:sz w:val="32"/>
          <w:szCs w:val="32"/>
        </w:rPr>
        <w:t>群众</w:t>
      </w:r>
      <w:r>
        <w:rPr>
          <w:rFonts w:ascii="Times New Roman" w:hAnsi="Times New Roman" w:eastAsia="方正仿宋_GBK"/>
          <w:color w:val="auto"/>
          <w:sz w:val="32"/>
          <w:szCs w:val="32"/>
        </w:rPr>
        <w:t>基本社会保障水平均等化，依法保障民族平等权益。加强民族宗教问题研判和排查化解工作，及时发现民族宗教领域存在的矛盾纠纷，定期排查化解存在的问题，维护团结稳定。</w:t>
      </w:r>
    </w:p>
    <w:p>
      <w:pPr>
        <w:spacing w:line="54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二、</w:t>
      </w:r>
      <w:r>
        <w:rPr>
          <w:rFonts w:ascii="黑体" w:hAnsi="黑体" w:eastAsia="黑体"/>
          <w:color w:val="auto"/>
          <w:sz w:val="32"/>
          <w:szCs w:val="32"/>
        </w:rPr>
        <w:t>促进民族地区经济社会发展</w:t>
      </w:r>
    </w:p>
    <w:p>
      <w:pPr>
        <w:spacing w:line="54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完善民族地区基础设施，发展新型基础设施建设</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推进示范村、特色旅游村等建设</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提高城镇化水平，优化产业结构，大力培育发展新型乡村产业，鼓励和支持民族地区特色优势产业发展。大力提升民族地区住房、教育、医疗卫生、人居环境和社会保障水平，提供保基本、兜底线、促公平、可持续的民生保障。</w:t>
      </w:r>
      <w:r>
        <w:rPr>
          <w:rFonts w:hint="eastAsia" w:ascii="Times New Roman" w:hAnsi="Times New Roman" w:eastAsia="方正仿宋_GBK"/>
          <w:color w:val="auto"/>
          <w:sz w:val="32"/>
          <w:szCs w:val="32"/>
        </w:rPr>
        <w:t>加强少数民族</w:t>
      </w:r>
      <w:r>
        <w:rPr>
          <w:rFonts w:ascii="Times New Roman" w:hAnsi="Times New Roman" w:eastAsia="方正仿宋_GBK"/>
          <w:color w:val="auto"/>
          <w:sz w:val="32"/>
          <w:szCs w:val="32"/>
        </w:rPr>
        <w:t>专业技能</w:t>
      </w:r>
      <w:r>
        <w:rPr>
          <w:rFonts w:hint="eastAsia" w:ascii="Times New Roman" w:hAnsi="Times New Roman" w:eastAsia="方正仿宋_GBK"/>
          <w:color w:val="auto"/>
          <w:sz w:val="32"/>
          <w:szCs w:val="32"/>
        </w:rPr>
        <w:t>培养，促进</w:t>
      </w:r>
      <w:r>
        <w:rPr>
          <w:rFonts w:ascii="Times New Roman" w:hAnsi="Times New Roman" w:eastAsia="方正仿宋_GBK"/>
          <w:color w:val="auto"/>
          <w:sz w:val="32"/>
          <w:szCs w:val="32"/>
        </w:rPr>
        <w:t>创业就业。</w:t>
      </w:r>
    </w:p>
    <w:p>
      <w:pPr>
        <w:spacing w:line="54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三、完善民族交往交流交融体制机制</w:t>
      </w:r>
    </w:p>
    <w:p>
      <w:pPr>
        <w:spacing w:line="540" w:lineRule="exact"/>
        <w:ind w:firstLine="640" w:firstLineChars="200"/>
        <w:rPr>
          <w:rFonts w:ascii="Times New Roman" w:hAnsi="Times New Roman" w:eastAsia="仿宋"/>
          <w:color w:val="auto"/>
          <w:sz w:val="32"/>
          <w:szCs w:val="32"/>
        </w:rPr>
      </w:pPr>
      <w:r>
        <w:rPr>
          <w:rFonts w:ascii="Times New Roman" w:hAnsi="Times New Roman" w:eastAsia="方正仿宋_GBK"/>
          <w:color w:val="auto"/>
          <w:sz w:val="32"/>
          <w:szCs w:val="32"/>
        </w:rPr>
        <w:t>加强</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互联网</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民族团结</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开展</w:t>
      </w:r>
      <w:r>
        <w:rPr>
          <w:rFonts w:hint="eastAsia" w:ascii="Times New Roman" w:hAnsi="Times New Roman" w:eastAsia="方正仿宋_GBK"/>
          <w:color w:val="auto"/>
          <w:sz w:val="32"/>
          <w:szCs w:val="32"/>
        </w:rPr>
        <w:t>多层次、多形式</w:t>
      </w:r>
      <w:r>
        <w:rPr>
          <w:rFonts w:hint="eastAsia" w:ascii="Times New Roman" w:hAnsi="Times New Roman" w:eastAsia="方正仿宋_GBK"/>
          <w:color w:val="auto"/>
          <w:sz w:val="32"/>
          <w:szCs w:val="32"/>
          <w:lang w:eastAsia="zh-CN"/>
        </w:rPr>
        <w:t>的</w:t>
      </w:r>
      <w:r>
        <w:rPr>
          <w:rFonts w:hint="eastAsia" w:ascii="Times New Roman" w:hAnsi="Times New Roman" w:eastAsia="方正仿宋_GBK"/>
          <w:color w:val="auto"/>
          <w:sz w:val="32"/>
          <w:szCs w:val="32"/>
        </w:rPr>
        <w:t>民族团结进步主题教育和社会实践活动，</w:t>
      </w:r>
      <w:r>
        <w:rPr>
          <w:rFonts w:ascii="Times New Roman" w:hAnsi="Times New Roman" w:eastAsia="方正仿宋_GBK"/>
          <w:color w:val="auto"/>
          <w:sz w:val="32"/>
          <w:szCs w:val="32"/>
        </w:rPr>
        <w:t>充分发挥鉴史资政、教化育人作用</w:t>
      </w:r>
      <w:r>
        <w:rPr>
          <w:rFonts w:hint="eastAsia" w:ascii="Times New Roman" w:hAnsi="Times New Roman" w:eastAsia="方正仿宋_GBK"/>
          <w:color w:val="auto"/>
          <w:sz w:val="32"/>
          <w:szCs w:val="32"/>
        </w:rPr>
        <w:t>，大力发展民族教育，加强国家通用语言文字课程，</w:t>
      </w:r>
      <w:r>
        <w:rPr>
          <w:rFonts w:ascii="Times New Roman" w:hAnsi="Times New Roman" w:eastAsia="方正仿宋_GBK"/>
          <w:color w:val="auto"/>
          <w:sz w:val="32"/>
          <w:szCs w:val="32"/>
        </w:rPr>
        <w:t>引导各族群众互动交往、交流与交融</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充分挖掘民族文化资源，保护、传承和开发优秀民族文化，开发一批以民族服饰、民族歌舞、民族节庆、民族餐饮、民族工艺品和民族特色村（乡）为主要内容的旅游产品，广泛开展民族文化活动，打造一批独具民族特色的民族文化精品和广泛影响力的民族节日品牌，推进民族文化创造性转化和创新性发展，使各民族文化繁荣发展的过程成为各民族相知相亲相惜的过程，形成中华民族共有精神家园和共同体意识。</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jc w:val="center"/>
              <w:rPr>
                <w:rFonts w:ascii="宋体" w:hAnsi="宋体" w:cs="FangSong_GB2312"/>
                <w:color w:val="000000"/>
                <w:sz w:val="24"/>
                <w:szCs w:val="24"/>
              </w:rPr>
            </w:pPr>
            <w:r>
              <w:rPr>
                <w:rFonts w:hint="eastAsia" w:ascii="Times New Roman" w:hAnsi="Times New Roman" w:eastAsia="方正仿宋_GBK"/>
                <w:b/>
                <w:color w:val="auto"/>
                <w:sz w:val="32"/>
                <w:szCs w:val="28"/>
              </w:rPr>
              <w:t>专栏12：民族团结进步示范创建工程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360" w:lineRule="exact"/>
              <w:rPr>
                <w:rFonts w:ascii="宋体" w:hAnsi="宋体" w:cs="FangSong_GB2312"/>
                <w:color w:val="auto"/>
                <w:szCs w:val="21"/>
              </w:rPr>
            </w:pPr>
            <w:r>
              <w:rPr>
                <w:rFonts w:hint="eastAsia" w:ascii="Times New Roman" w:hAnsi="Times New Roman" w:eastAsia="方正仿宋_GBK"/>
                <w:b/>
                <w:color w:val="auto"/>
                <w:szCs w:val="21"/>
              </w:rPr>
              <w:t>全国民族团结进步示范区建设工程。</w:t>
            </w:r>
            <w:r>
              <w:rPr>
                <w:rFonts w:hint="eastAsia" w:ascii="Times New Roman" w:hAnsi="Times New Roman" w:eastAsia="方正仿宋_GBK"/>
                <w:color w:val="auto"/>
                <w:szCs w:val="21"/>
              </w:rPr>
              <w:t>围绕《云南省民族团结进步示范区建设条例》12个方面，对标对表推进“十百千万”民族团结进步示范区建设，开展民族地区基础设施建设工程、民族地区新型城镇化建设工程、民族特色产业发展工程、民族地区生态文明建设工程、民族文化传承与创造性转化工程、民族人才培育工程，在2025年以前建成全国民族团结进步示范区，创建10个民族团结进步示范村，打造100个类型多样、富有特色的示范单位。</w:t>
            </w:r>
          </w:p>
        </w:tc>
      </w:tr>
    </w:tbl>
    <w:p>
      <w:pPr>
        <w:spacing w:line="560" w:lineRule="exact"/>
        <w:ind w:firstLine="640" w:firstLineChars="200"/>
        <w:rPr>
          <w:rFonts w:ascii="Times New Roman" w:hAnsi="Times New Roman" w:eastAsia="方正仿宋_GBK"/>
          <w:color w:val="auto"/>
          <w:sz w:val="32"/>
          <w:szCs w:val="32"/>
        </w:rPr>
        <w:sectPr>
          <w:pgSz w:w="11906" w:h="16838"/>
          <w:pgMar w:top="1814" w:right="1531" w:bottom="2098" w:left="1531" w:header="851" w:footer="1417" w:gutter="0"/>
          <w:pgNumType w:fmt="decimal"/>
          <w:cols w:space="0" w:num="1"/>
          <w:rtlGutter w:val="0"/>
          <w:docGrid w:type="lines" w:linePitch="312" w:charSpace="0"/>
        </w:sectPr>
      </w:pPr>
      <w:bookmarkStart w:id="280" w:name="_Toc60042427"/>
    </w:p>
    <w:p>
      <w:pPr>
        <w:pStyle w:val="4"/>
        <w:adjustRightInd w:val="0"/>
        <w:snapToGrid w:val="0"/>
        <w:outlineLvl w:val="1"/>
        <w:rPr>
          <w:rFonts w:hint="eastAsia" w:eastAsia="方正小标宋简体"/>
          <w:b w:val="0"/>
          <w:bCs w:val="0"/>
          <w:color w:val="auto"/>
          <w:sz w:val="40"/>
          <w:lang w:val="en-US" w:eastAsia="zh-CN"/>
        </w:rPr>
      </w:pPr>
      <w:bookmarkStart w:id="281" w:name="_Toc19230"/>
      <w:bookmarkStart w:id="282" w:name="_Toc4173"/>
      <w:bookmarkStart w:id="283" w:name="_Toc32284"/>
      <w:bookmarkStart w:id="284" w:name="_Toc446364515"/>
      <w:r>
        <w:rPr>
          <w:rFonts w:hint="eastAsia" w:eastAsia="方正小标宋简体"/>
          <w:b w:val="0"/>
          <w:bCs w:val="0"/>
          <w:color w:val="auto"/>
          <w:sz w:val="40"/>
          <w:lang w:eastAsia="zh-CN"/>
        </w:rPr>
        <w:t>第四十九章</w:t>
      </w:r>
      <w:r>
        <w:rPr>
          <w:rFonts w:hint="eastAsia" w:eastAsia="方正小标宋简体"/>
          <w:b w:val="0"/>
          <w:bCs w:val="0"/>
          <w:color w:val="auto"/>
          <w:sz w:val="40"/>
          <w:lang w:val="en-US" w:eastAsia="zh-CN"/>
        </w:rPr>
        <w:t xml:space="preserve">  加强国防动员及后备力量建设</w:t>
      </w:r>
      <w:bookmarkEnd w:id="281"/>
      <w:bookmarkEnd w:id="282"/>
      <w:bookmarkEnd w:id="283"/>
    </w:p>
    <w:p>
      <w:pPr>
        <w:adjustRightInd w:val="0"/>
        <w:snapToGrid w:val="0"/>
        <w:spacing w:line="560" w:lineRule="exact"/>
        <w:ind w:firstLine="640" w:firstLineChars="200"/>
        <w:rPr>
          <w:rFonts w:hint="eastAsia" w:ascii="方正仿宋_GBK" w:hAnsi="方正仿宋_GBK" w:eastAsia="方正仿宋_GBK" w:cs="方正仿宋_GBK"/>
          <w:bCs/>
          <w:color w:val="000000"/>
          <w:kern w:val="0"/>
          <w:sz w:val="32"/>
          <w:szCs w:val="32"/>
        </w:rPr>
      </w:pPr>
      <w:r>
        <w:rPr>
          <w:rFonts w:hint="eastAsia" w:ascii="方正仿宋_GBK" w:hAnsi="方正仿宋_GBK" w:eastAsia="方正仿宋_GBK" w:cs="方正仿宋_GBK"/>
          <w:snapToGrid w:val="0"/>
          <w:color w:val="000000"/>
          <w:kern w:val="0"/>
          <w:sz w:val="32"/>
          <w:szCs w:val="32"/>
        </w:rPr>
        <w:t>贯彻落实党管武装工作必须把讲政治摆在首位这一要求</w:t>
      </w:r>
      <w:r>
        <w:rPr>
          <w:rFonts w:hint="eastAsia" w:ascii="方正仿宋_GBK" w:hAnsi="方正仿宋_GBK" w:eastAsia="方正仿宋_GBK" w:cs="方正仿宋_GBK"/>
          <w:snapToGrid w:val="0"/>
          <w:color w:val="000000"/>
          <w:kern w:val="0"/>
          <w:sz w:val="32"/>
          <w:szCs w:val="32"/>
          <w:lang w:eastAsia="zh-CN"/>
        </w:rPr>
        <w:t>，</w:t>
      </w:r>
      <w:r>
        <w:rPr>
          <w:rFonts w:hint="eastAsia" w:ascii="方正仿宋_GBK" w:hAnsi="方正仿宋_GBK" w:eastAsia="方正仿宋_GBK" w:cs="方正仿宋_GBK"/>
          <w:snapToGrid w:val="0"/>
          <w:kern w:val="0"/>
          <w:sz w:val="32"/>
          <w:szCs w:val="32"/>
        </w:rPr>
        <w:t>持续学习习近平新时代中国特色社会主义思想和</w:t>
      </w:r>
      <w:ins w:id="3" w:author="7a" w:date="2022-05-30T11:35:28Z">
        <w:r>
          <w:rPr>
            <w:rFonts w:hint="eastAsia" w:ascii="方正仿宋_GBK" w:hAnsi="方正仿宋_GBK" w:eastAsia="方正仿宋_GBK" w:cs="方正仿宋_GBK"/>
            <w:snapToGrid w:val="0"/>
            <w:color w:val="auto"/>
            <w:kern w:val="0"/>
            <w:sz w:val="32"/>
            <w:szCs w:val="32"/>
            <w:lang w:eastAsia="zh-CN"/>
          </w:rPr>
          <w:t>习近平</w:t>
        </w:r>
      </w:ins>
      <w:r>
        <w:rPr>
          <w:rFonts w:hint="eastAsia" w:ascii="方正仿宋_GBK" w:hAnsi="方正仿宋_GBK" w:eastAsia="方正仿宋_GBK" w:cs="方正仿宋_GBK"/>
          <w:snapToGrid w:val="0"/>
          <w:kern w:val="0"/>
          <w:sz w:val="32"/>
          <w:szCs w:val="32"/>
        </w:rPr>
        <w:t>强军思想，全面落实党管武装各项工作制度</w:t>
      </w:r>
      <w:r>
        <w:rPr>
          <w:rFonts w:hint="eastAsia" w:ascii="方正仿宋_GBK" w:hAnsi="方正仿宋_GBK" w:eastAsia="方正仿宋_GBK" w:cs="方正仿宋_GBK"/>
          <w:bCs/>
          <w:color w:val="000000"/>
          <w:kern w:val="0"/>
          <w:sz w:val="32"/>
          <w:szCs w:val="32"/>
        </w:rPr>
        <w:t>。</w:t>
      </w:r>
      <w:r>
        <w:rPr>
          <w:rFonts w:hint="eastAsia" w:ascii="方正仿宋_GBK" w:hAnsi="方正仿宋_GBK" w:eastAsia="方正仿宋_GBK" w:cs="方正仿宋_GBK"/>
          <w:kern w:val="0"/>
          <w:sz w:val="32"/>
          <w:szCs w:val="32"/>
        </w:rPr>
        <w:t>狠抓战备建设，提升</w:t>
      </w:r>
      <w:r>
        <w:rPr>
          <w:rFonts w:hint="eastAsia" w:ascii="方正仿宋_GBK" w:hAnsi="方正仿宋_GBK" w:eastAsia="方正仿宋_GBK" w:cs="方正仿宋_GBK"/>
          <w:color w:val="000000"/>
          <w:kern w:val="0"/>
          <w:sz w:val="32"/>
          <w:szCs w:val="32"/>
        </w:rPr>
        <w:t>民兵</w:t>
      </w:r>
      <w:r>
        <w:rPr>
          <w:rFonts w:hint="eastAsia" w:ascii="方正仿宋_GBK" w:hAnsi="方正仿宋_GBK" w:eastAsia="方正仿宋_GBK" w:cs="方正仿宋_GBK"/>
          <w:color w:val="000000"/>
          <w:kern w:val="0"/>
          <w:sz w:val="32"/>
          <w:szCs w:val="32"/>
          <w:lang w:eastAsia="zh-CN"/>
        </w:rPr>
        <w:t>执</w:t>
      </w:r>
      <w:r>
        <w:rPr>
          <w:rFonts w:hint="eastAsia" w:ascii="方正仿宋_GBK" w:hAnsi="方正仿宋_GBK" w:eastAsia="方正仿宋_GBK" w:cs="方正仿宋_GBK"/>
          <w:color w:val="000000"/>
          <w:kern w:val="0"/>
          <w:sz w:val="32"/>
          <w:szCs w:val="32"/>
        </w:rPr>
        <w:t>行任务能力。</w:t>
      </w:r>
      <w:r>
        <w:rPr>
          <w:rFonts w:hint="eastAsia" w:ascii="方正仿宋_GBK" w:hAnsi="方正仿宋_GBK" w:eastAsia="方正仿宋_GBK" w:cs="方正仿宋_GBK"/>
          <w:kern w:val="0"/>
          <w:sz w:val="32"/>
          <w:szCs w:val="32"/>
        </w:rPr>
        <w:t>加快国防动员和后备力量在“十四五”期间融入地方经济社会发展，推动我区国防和后备力量建设实现高质量跨越式发展。</w:t>
      </w:r>
      <w:r>
        <w:rPr>
          <w:rFonts w:hint="eastAsia" w:ascii="方正仿宋_GBK" w:hAnsi="方正仿宋_GBK" w:eastAsia="方正仿宋_GBK" w:cs="方正仿宋_GBK"/>
          <w:bCs/>
          <w:color w:val="000000"/>
          <w:kern w:val="0"/>
          <w:sz w:val="32"/>
          <w:szCs w:val="32"/>
        </w:rPr>
        <w:t>着眼</w:t>
      </w:r>
      <w:r>
        <w:rPr>
          <w:rFonts w:hint="eastAsia" w:ascii="方正仿宋_GBK" w:hAnsi="方正仿宋_GBK" w:eastAsia="方正仿宋_GBK" w:cs="方正仿宋_GBK"/>
          <w:bCs/>
          <w:snapToGrid w:val="0"/>
          <w:kern w:val="0"/>
          <w:sz w:val="32"/>
          <w:szCs w:val="32"/>
        </w:rPr>
        <w:t>使命任务，提升国防动员质量效益。</w:t>
      </w:r>
      <w:r>
        <w:rPr>
          <w:rFonts w:hint="eastAsia" w:ascii="方正仿宋_GBK" w:hAnsi="方正仿宋_GBK" w:eastAsia="方正仿宋_GBK" w:cs="方正仿宋_GBK"/>
          <w:sz w:val="32"/>
          <w:szCs w:val="32"/>
        </w:rPr>
        <w:t>优化结构布局、编实建强基干民兵，持续</w:t>
      </w:r>
      <w:r>
        <w:rPr>
          <w:rFonts w:hint="eastAsia" w:ascii="方正仿宋_GBK" w:hAnsi="方正仿宋_GBK" w:eastAsia="方正仿宋_GBK" w:cs="方正仿宋_GBK"/>
          <w:spacing w:val="-4"/>
          <w:sz w:val="32"/>
          <w:szCs w:val="32"/>
        </w:rPr>
        <w:t>提高国防动员潜力数据的质量。</w:t>
      </w:r>
      <w:r>
        <w:rPr>
          <w:rFonts w:hint="eastAsia" w:ascii="方正仿宋_GBK" w:hAnsi="方正仿宋_GBK" w:eastAsia="方正仿宋_GBK" w:cs="方正仿宋_GBK"/>
          <w:sz w:val="32"/>
          <w:szCs w:val="32"/>
        </w:rPr>
        <w:t>盯住征兵“五率”关键指标，征集优质兵员。</w:t>
      </w:r>
      <w:r>
        <w:rPr>
          <w:rFonts w:hint="eastAsia" w:ascii="方正仿宋_GBK" w:hAnsi="方正仿宋_GBK" w:eastAsia="方正仿宋_GBK" w:cs="方正仿宋_GBK"/>
          <w:bCs/>
          <w:color w:val="000000"/>
          <w:kern w:val="0"/>
          <w:sz w:val="32"/>
          <w:szCs w:val="32"/>
        </w:rPr>
        <w:t>推进融合发展，开创双拥工作崭新局面。持续</w:t>
      </w:r>
      <w:r>
        <w:rPr>
          <w:rFonts w:hint="eastAsia" w:ascii="方正仿宋_GBK" w:hAnsi="方正仿宋_GBK" w:eastAsia="方正仿宋_GBK" w:cs="方正仿宋_GBK"/>
          <w:color w:val="000000"/>
          <w:kern w:val="0"/>
          <w:sz w:val="32"/>
          <w:szCs w:val="32"/>
        </w:rPr>
        <w:t>开展创建“双拥模范城”活动，军地合力落实退役军人保障工作</w:t>
      </w:r>
      <w:r>
        <w:rPr>
          <w:rFonts w:hint="eastAsia" w:ascii="方正仿宋_GBK" w:hAnsi="方正仿宋_GBK" w:eastAsia="方正仿宋_GBK" w:cs="方正仿宋_GBK"/>
          <w:kern w:val="0"/>
          <w:sz w:val="32"/>
          <w:szCs w:val="32"/>
        </w:rPr>
        <w:t>创新军人及军属优待举措营造“一人参军、全家光荣”的浓厚氛围。</w:t>
      </w:r>
    </w:p>
    <w:p/>
    <w:p>
      <w:pPr>
        <w:pStyle w:val="2"/>
      </w:pPr>
    </w:p>
    <w:p/>
    <w:p>
      <w:pPr>
        <w:pStyle w:val="2"/>
      </w:pPr>
    </w:p>
    <w:p/>
    <w:p>
      <w:pPr>
        <w:pStyle w:val="2"/>
      </w:pPr>
    </w:p>
    <w:p/>
    <w:p>
      <w:pPr>
        <w:pStyle w:val="2"/>
      </w:pPr>
    </w:p>
    <w:p/>
    <w:p>
      <w:pPr>
        <w:pStyle w:val="2"/>
      </w:pPr>
    </w:p>
    <w:p/>
    <w:p>
      <w:pPr>
        <w:pStyle w:val="2"/>
      </w:pPr>
    </w:p>
    <w:p/>
    <w:p>
      <w:pPr>
        <w:pStyle w:val="3"/>
        <w:rPr>
          <w:rFonts w:eastAsia="方正小标宋简体"/>
          <w:b w:val="0"/>
          <w:bCs w:val="0"/>
          <w:color w:val="auto"/>
          <w:sz w:val="40"/>
        </w:rPr>
      </w:pPr>
      <w:bookmarkStart w:id="285" w:name="_Toc13566"/>
      <w:bookmarkStart w:id="286" w:name="_Toc22955"/>
      <w:bookmarkStart w:id="287" w:name="_Toc19721"/>
      <w:r>
        <w:rPr>
          <w:rFonts w:hint="eastAsia" w:eastAsia="方正小标宋简体"/>
          <w:b w:val="0"/>
          <w:bCs w:val="0"/>
          <w:color w:val="auto"/>
          <w:sz w:val="40"/>
        </w:rPr>
        <w:t>第十三篇　规划实施保障</w:t>
      </w:r>
      <w:bookmarkEnd w:id="280"/>
      <w:bookmarkEnd w:id="284"/>
      <w:bookmarkEnd w:id="285"/>
      <w:bookmarkEnd w:id="286"/>
      <w:bookmarkEnd w:id="287"/>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《江川区国民经济和社会发展第十四个五年（</w:t>
      </w:r>
      <w:r>
        <w:rPr>
          <w:rFonts w:hint="eastAsia" w:ascii="Times New Roman" w:hAnsi="Times New Roman" w:eastAsia="方正仿宋_GBK"/>
          <w:color w:val="auto"/>
          <w:sz w:val="32"/>
          <w:szCs w:val="32"/>
        </w:rPr>
        <w:t>2021-2025）规划纲要》（以下简称“纲要）是全区经济社会发展的行动纲领，依法通过江川区人民代表大会审议批准，具有法律效力。纲要的实施在区委的坚强领导下，各级各部门认真履行职责，健全统一规划体系，完善监测评估机制，举全区之力，集全民之智，确保各项目标任务顺利完成。</w:t>
      </w:r>
    </w:p>
    <w:p>
      <w:pPr>
        <w:pStyle w:val="4"/>
        <w:rPr>
          <w:b w:val="0"/>
          <w:bCs w:val="0"/>
          <w:color w:val="auto"/>
          <w:sz w:val="36"/>
        </w:rPr>
      </w:pPr>
      <w:bookmarkStart w:id="288" w:name="_Toc9979"/>
      <w:bookmarkStart w:id="289" w:name="_Toc60042428"/>
      <w:bookmarkStart w:id="290" w:name="_Toc4802"/>
      <w:bookmarkStart w:id="291" w:name="_Toc446364516"/>
      <w:bookmarkStart w:id="292" w:name="_Toc24215"/>
      <w:r>
        <w:rPr>
          <w:rFonts w:hint="eastAsia"/>
          <w:b w:val="0"/>
          <w:bCs w:val="0"/>
          <w:color w:val="auto"/>
          <w:sz w:val="36"/>
        </w:rPr>
        <w:t>第</w:t>
      </w:r>
      <w:r>
        <w:rPr>
          <w:rFonts w:hint="eastAsia"/>
          <w:b w:val="0"/>
          <w:bCs w:val="0"/>
          <w:color w:val="auto"/>
          <w:sz w:val="36"/>
          <w:lang w:eastAsia="zh-CN"/>
        </w:rPr>
        <w:t>五十</w:t>
      </w:r>
      <w:r>
        <w:rPr>
          <w:rFonts w:hint="eastAsia"/>
          <w:b w:val="0"/>
          <w:bCs w:val="0"/>
          <w:color w:val="auto"/>
          <w:sz w:val="36"/>
        </w:rPr>
        <w:t>章　坚持党的全面领导</w:t>
      </w:r>
      <w:bookmarkEnd w:id="288"/>
      <w:bookmarkEnd w:id="289"/>
      <w:bookmarkEnd w:id="290"/>
      <w:bookmarkEnd w:id="291"/>
      <w:bookmarkEnd w:id="292"/>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坚持党总揽全局、协调各方的领导核心作用，贯彻党把方向、谋大局、定政策、促改革的要求，把党的领导贯彻到经济社会发展全过程各方面，完善党委研究经济社会发展战略、定期分析经济社会形势、研究重大政策决策的工作机制，提高科学决策水平。建立健全推动高质量发展的指标体系、政策体系、考评体系等，改进政绩考核方式。</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全面贯彻新时代党的组织路线，加强干部队伍建设，落实好干部标准，打造政治、能力双过硬的高素质干部队伍，完善干部激励保护机制，营造良好干事创业氛围。坚持党管人才，完善人才工作体系，培育造就一批德才兼备高素质人才队伍。高标准高质量完成区、乡党委和村（社区）“两委”换届选举工作。持续抓好农村、城市、机关、“两新”组织等党建工作。</w:t>
      </w:r>
    </w:p>
    <w:p>
      <w:pPr>
        <w:pStyle w:val="4"/>
        <w:rPr>
          <w:b w:val="0"/>
          <w:bCs w:val="0"/>
          <w:color w:val="auto"/>
          <w:sz w:val="36"/>
        </w:rPr>
      </w:pPr>
      <w:bookmarkStart w:id="293" w:name="_Toc446364517"/>
      <w:bookmarkStart w:id="294" w:name="_Toc17562"/>
      <w:bookmarkStart w:id="295" w:name="_Toc20574"/>
      <w:bookmarkStart w:id="296" w:name="_Toc60042429"/>
      <w:bookmarkStart w:id="297" w:name="_Toc9760"/>
      <w:r>
        <w:rPr>
          <w:rFonts w:hint="eastAsia"/>
          <w:b w:val="0"/>
          <w:bCs w:val="0"/>
          <w:color w:val="auto"/>
          <w:sz w:val="36"/>
        </w:rPr>
        <w:t>第五十</w:t>
      </w:r>
      <w:r>
        <w:rPr>
          <w:rFonts w:hint="eastAsia"/>
          <w:b w:val="0"/>
          <w:bCs w:val="0"/>
          <w:color w:val="auto"/>
          <w:sz w:val="36"/>
          <w:lang w:eastAsia="zh-CN"/>
        </w:rPr>
        <w:t>一</w:t>
      </w:r>
      <w:r>
        <w:rPr>
          <w:rFonts w:hint="eastAsia"/>
          <w:b w:val="0"/>
          <w:bCs w:val="0"/>
          <w:color w:val="auto"/>
          <w:sz w:val="36"/>
        </w:rPr>
        <w:t>章　加强规划统筹</w:t>
      </w:r>
      <w:bookmarkEnd w:id="293"/>
      <w:bookmarkEnd w:id="294"/>
      <w:bookmarkEnd w:id="295"/>
      <w:bookmarkEnd w:id="296"/>
      <w:bookmarkEnd w:id="297"/>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强化纲要的统领作用，加强各级各类规划的衔接协调，切实做好总体规划与上级规划、各部门专项规划之间的衔接，形成定位准确、边界清晰、功能互补、统一衔接的规划体系。</w:t>
      </w:r>
    </w:p>
    <w:p>
      <w:pPr>
        <w:spacing w:line="560" w:lineRule="exact"/>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明确规划实施责任。强化规划权威性和刚性约束，形成严密的规划落实责任体系，纲要提出的预期性指标，主要是依靠市场主体的自主行为实现，要完善市场机制和利益导向机制，充分发挥市场对资源配置的决定性作用。纲要提出的约束性指标和主要任务，由区政府分解细化，各级各部门按照“统筹协调、分工负责”的原则认真落实，各级各部门要明确工作目标和任务，认真履行职能职责，对照《纲要》确定的目标任务、政策措施、重大基础设施和重大项目布局等，科学编制部门年度预算、投资计划、土地储备及用地计划等，逐年分解落实目标任务，确保纲要顺利实施。</w:t>
      </w:r>
    </w:p>
    <w:p>
      <w:pPr>
        <w:pStyle w:val="4"/>
        <w:rPr>
          <w:b w:val="0"/>
          <w:bCs w:val="0"/>
          <w:color w:val="auto"/>
          <w:sz w:val="36"/>
        </w:rPr>
      </w:pPr>
      <w:bookmarkStart w:id="298" w:name="_Toc60042431"/>
      <w:bookmarkStart w:id="299" w:name="_Toc446364518"/>
      <w:bookmarkStart w:id="300" w:name="_Toc9107"/>
      <w:bookmarkStart w:id="301" w:name="_Toc18858"/>
      <w:bookmarkStart w:id="302" w:name="_Toc13658"/>
      <w:r>
        <w:rPr>
          <w:rFonts w:hint="eastAsia"/>
          <w:b w:val="0"/>
          <w:bCs w:val="0"/>
          <w:color w:val="auto"/>
          <w:sz w:val="36"/>
        </w:rPr>
        <w:t>第五十</w:t>
      </w:r>
      <w:r>
        <w:rPr>
          <w:rFonts w:hint="eastAsia"/>
          <w:b w:val="0"/>
          <w:bCs w:val="0"/>
          <w:color w:val="auto"/>
          <w:sz w:val="36"/>
          <w:lang w:eastAsia="zh-CN"/>
        </w:rPr>
        <w:t>二</w:t>
      </w:r>
      <w:r>
        <w:rPr>
          <w:rFonts w:hint="eastAsia"/>
          <w:b w:val="0"/>
          <w:bCs w:val="0"/>
          <w:color w:val="auto"/>
          <w:sz w:val="36"/>
        </w:rPr>
        <w:t>章　落实监测评估</w:t>
      </w:r>
      <w:bookmarkEnd w:id="298"/>
      <w:bookmarkEnd w:id="299"/>
      <w:bookmarkEnd w:id="300"/>
      <w:bookmarkEnd w:id="301"/>
      <w:bookmarkEnd w:id="302"/>
    </w:p>
    <w:p>
      <w:pPr>
        <w:spacing w:line="560" w:lineRule="exact"/>
        <w:ind w:firstLine="640" w:firstLineChars="200"/>
        <w:rPr>
          <w:rFonts w:ascii="Times New Roman" w:hAnsi="Times New Roman" w:eastAsia="方正仿宋_GBK"/>
          <w:color w:val="auto"/>
          <w:sz w:val="32"/>
          <w:szCs w:val="32"/>
        </w:rPr>
      </w:pPr>
      <w:r>
        <w:rPr>
          <w:rFonts w:ascii="Times New Roman" w:hAnsi="Times New Roman" w:eastAsia="方正仿宋_GBK"/>
          <w:color w:val="auto"/>
          <w:sz w:val="32"/>
          <w:szCs w:val="32"/>
        </w:rPr>
        <w:t>对纲要设置的主要目标指标，实施的重大工程项目，制定的重大政策，出台的重大改革举措，要强化监测评估和跟踪落实，提升规划实施效能，组织开展规划实施年度监测分析、中期评估和总结评估，强化监测评估结果应用。各级各部门要将规划实施情况作为政务公开的重要内容，及时公布实施进展，自觉接受人大监督、审计监督和社会监督。要将规划实施情况作为各级各部门领导班子、领导干部考核评价的重要依据。</w:t>
      </w:r>
    </w:p>
    <w:sectPr>
      <w:pgSz w:w="11906" w:h="16838"/>
      <w:pgMar w:top="1814" w:right="1531" w:bottom="2098" w:left="1531" w:header="851" w:footer="1417"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CBA6073-9960-4C6A-B264-510EE0A7D52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4775B21C-950D-4B64-8605-34FF80A054D2}"/>
  </w:font>
  <w:font w:name="方正小标宋_GBK">
    <w:panose1 w:val="03000509000000000000"/>
    <w:charset w:val="86"/>
    <w:family w:val="auto"/>
    <w:pitch w:val="default"/>
    <w:sig w:usb0="00000001" w:usb1="080E0000" w:usb2="00000000" w:usb3="00000000" w:csb0="00040000" w:csb1="00000000"/>
    <w:embedRegular r:id="rId3" w:fontKey="{4A1309C1-DD4D-4901-B247-542B3BC341AC}"/>
  </w:font>
  <w:font w:name="楷体">
    <w:panose1 w:val="02010609060101010101"/>
    <w:charset w:val="86"/>
    <w:family w:val="modern"/>
    <w:pitch w:val="default"/>
    <w:sig w:usb0="800002BF" w:usb1="38CF7CFA" w:usb2="00000016" w:usb3="00000000" w:csb0="00040001" w:csb1="00000000"/>
    <w:embedRegular r:id="rId4" w:fontKey="{867BB9E0-D19D-487B-A2AC-B8A0BE1D9C82}"/>
  </w:font>
  <w:font w:name="Cambria">
    <w:panose1 w:val="02040503050406030204"/>
    <w:charset w:val="00"/>
    <w:family w:val="roman"/>
    <w:pitch w:val="default"/>
    <w:sig w:usb0="E00002FF" w:usb1="400004FF" w:usb2="00000000" w:usb3="00000000" w:csb0="2000019F" w:csb1="00000000"/>
    <w:embedRegular r:id="rId5" w:fontKey="{D982E4B7-8CF0-42AB-A3F1-C1ACFB363C96}"/>
  </w:font>
  <w:font w:name="FangSong_GB2312">
    <w:altName w:val="仿宋_GB2312"/>
    <w:panose1 w:val="02010609030101010101"/>
    <w:charset w:val="86"/>
    <w:family w:val="modern"/>
    <w:pitch w:val="default"/>
    <w:sig w:usb0="00000000" w:usb1="00000000" w:usb2="00000000" w:usb3="00000000" w:csb0="00040000" w:csb1="00000000"/>
    <w:embedRegular r:id="rId6" w:fontKey="{F4F00ECF-0539-4AFB-86F0-A7E9F6B945D3}"/>
  </w:font>
  <w:font w:name="方正仿宋_GBK">
    <w:panose1 w:val="03000509000000000000"/>
    <w:charset w:val="86"/>
    <w:family w:val="script"/>
    <w:pitch w:val="default"/>
    <w:sig w:usb0="00000001" w:usb1="080E0000" w:usb2="00000000" w:usb3="00000000" w:csb0="00040000" w:csb1="00000000"/>
    <w:embedRegular r:id="rId7" w:fontKey="{0A5D5777-7DD5-44BF-8C11-380B61260FE9}"/>
  </w:font>
  <w:font w:name="方正小标宋简体">
    <w:panose1 w:val="02000000000000000000"/>
    <w:charset w:val="86"/>
    <w:family w:val="auto"/>
    <w:pitch w:val="default"/>
    <w:sig w:usb0="00000001" w:usb1="08000000" w:usb2="00000000" w:usb3="00000000" w:csb0="00040000" w:csb1="00000000"/>
    <w:embedRegular r:id="rId8" w:fontKey="{B63AB12F-1F2D-484A-85AC-2008CD322B6F}"/>
  </w:font>
  <w:font w:name="微软雅黑">
    <w:panose1 w:val="020B0503020204020204"/>
    <w:charset w:val="86"/>
    <w:family w:val="auto"/>
    <w:pitch w:val="default"/>
    <w:sig w:usb0="80000287" w:usb1="280F3C52" w:usb2="00000016" w:usb3="00000000" w:csb0="0004001F" w:csb1="00000000"/>
    <w:embedRegular r:id="rId9" w:fontKey="{283F8B6A-5922-47B3-BFCC-02396281DEA7}"/>
  </w:font>
  <w:font w:name="方正楷体_GBK">
    <w:panose1 w:val="03000509000000000000"/>
    <w:charset w:val="86"/>
    <w:family w:val="auto"/>
    <w:pitch w:val="default"/>
    <w:sig w:usb0="00000001" w:usb1="080E0000" w:usb2="00000000" w:usb3="00000000" w:csb0="00040000" w:csb1="00000000"/>
    <w:embedRegular r:id="rId10" w:fontKey="{60298B58-2318-499E-8A0B-F08E4FACED71}"/>
  </w:font>
  <w:font w:name="方正仿宋简体">
    <w:altName w:val="微软雅黑"/>
    <w:panose1 w:val="03000509000000000000"/>
    <w:charset w:val="86"/>
    <w:family w:val="auto"/>
    <w:pitch w:val="default"/>
    <w:sig w:usb0="00000000" w:usb1="00000000" w:usb2="00000000" w:usb3="00000000" w:csb0="00040000" w:csb1="00000000"/>
    <w:embedRegular r:id="rId11" w:fontKey="{1B2F146A-362D-4557-B072-E97127F828E2}"/>
  </w:font>
  <w:font w:name="KaiTi_GB2312">
    <w:altName w:val="楷体"/>
    <w:panose1 w:val="02010609030101010101"/>
    <w:charset w:val="86"/>
    <w:family w:val="modern"/>
    <w:pitch w:val="default"/>
    <w:sig w:usb0="00000000" w:usb1="00000000" w:usb2="00000000" w:usb3="00000000" w:csb0="00040000" w:csb1="00000000"/>
    <w:embedRegular r:id="rId12" w:fontKey="{C2097A61-BB57-4FAF-9712-EDE377EC126B}"/>
  </w:font>
  <w:font w:name="方正宋一_GBK">
    <w:altName w:val="宋体"/>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3" w:fontKey="{98ABC5AA-DA5F-4155-B08E-2F86333681CF}"/>
  </w:font>
  <w:font w:name="方正黑体_GBK">
    <w:panose1 w:val="03000509000000000000"/>
    <w:charset w:val="86"/>
    <w:family w:val="auto"/>
    <w:pitch w:val="default"/>
    <w:sig w:usb0="00000001" w:usb1="080E0000" w:usb2="00000000" w:usb3="00000000" w:csb0="00040000" w:csb1="00000000"/>
    <w:embedRegular r:id="rId14" w:fontKey="{99CAC035-7718-4458-B612-4EF50662CE7E}"/>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23"/>
      </w:rPr>
    </w:pPr>
    <w:r>
      <w:fldChar w:fldCharType="begin"/>
    </w:r>
    <w:r>
      <w:rPr>
        <w:rStyle w:val="23"/>
      </w:rPr>
      <w:instrText xml:space="preserve">PAGE  </w:instrText>
    </w:r>
    <w:r>
      <w:fldChar w:fldCharType="end"/>
    </w:r>
  </w:p>
  <w:p>
    <w:pPr>
      <w:pStyle w:val="1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jc w:val="center"/>
                            <w:rPr>
                              <w:rFonts w:hint="eastAsia" w:ascii="方正宋一_GBK" w:hAnsi="方正宋一_GBK" w:eastAsia="方正宋一_GBK" w:cs="方正宋一_GBK"/>
                              <w:sz w:val="28"/>
                              <w:szCs w:val="28"/>
                            </w:rPr>
                          </w:pPr>
                          <w:r>
                            <w:rPr>
                              <w:rFonts w:hint="eastAsia" w:ascii="方正宋一_GBK" w:hAnsi="方正宋一_GBK" w:eastAsia="方正宋一_GBK" w:cs="方正宋一_GBK"/>
                              <w:sz w:val="28"/>
                              <w:szCs w:val="28"/>
                              <w:lang w:eastAsia="zh-CN"/>
                            </w:rPr>
                            <w:t xml:space="preserve">— </w:t>
                          </w:r>
                          <w:r>
                            <w:rPr>
                              <w:rFonts w:hint="eastAsia" w:ascii="方正宋一_GBK" w:hAnsi="方正宋一_GBK" w:eastAsia="方正宋一_GBK" w:cs="方正宋一_GBK"/>
                              <w:sz w:val="28"/>
                              <w:szCs w:val="28"/>
                              <w:lang w:eastAsia="zh-CN"/>
                            </w:rPr>
                            <w:fldChar w:fldCharType="begin"/>
                          </w:r>
                          <w:r>
                            <w:rPr>
                              <w:rFonts w:hint="eastAsia" w:ascii="方正宋一_GBK" w:hAnsi="方正宋一_GBK" w:eastAsia="方正宋一_GBK" w:cs="方正宋一_GBK"/>
                              <w:sz w:val="28"/>
                              <w:szCs w:val="28"/>
                              <w:lang w:eastAsia="zh-CN"/>
                            </w:rPr>
                            <w:instrText xml:space="preserve"> PAGE  \* MERGEFORMAT </w:instrText>
                          </w:r>
                          <w:r>
                            <w:rPr>
                              <w:rFonts w:hint="eastAsia" w:ascii="方正宋一_GBK" w:hAnsi="方正宋一_GBK" w:eastAsia="方正宋一_GBK" w:cs="方正宋一_GBK"/>
                              <w:sz w:val="28"/>
                              <w:szCs w:val="28"/>
                              <w:lang w:eastAsia="zh-CN"/>
                            </w:rPr>
                            <w:fldChar w:fldCharType="separate"/>
                          </w:r>
                          <w:r>
                            <w:rPr>
                              <w:rFonts w:hint="eastAsia" w:ascii="方正宋一_GBK" w:hAnsi="方正宋一_GBK" w:eastAsia="方正宋一_GBK" w:cs="方正宋一_GBK"/>
                              <w:sz w:val="28"/>
                              <w:szCs w:val="28"/>
                              <w:lang w:eastAsia="zh-CN"/>
                            </w:rPr>
                            <w:t>1</w:t>
                          </w:r>
                          <w:r>
                            <w:rPr>
                              <w:rFonts w:hint="eastAsia" w:ascii="方正宋一_GBK" w:hAnsi="方正宋一_GBK" w:eastAsia="方正宋一_GBK" w:cs="方正宋一_GBK"/>
                              <w:sz w:val="28"/>
                              <w:szCs w:val="28"/>
                              <w:lang w:eastAsia="zh-CN"/>
                            </w:rPr>
                            <w:fldChar w:fldCharType="end"/>
                          </w:r>
                          <w:r>
                            <w:rPr>
                              <w:rFonts w:hint="eastAsia" w:ascii="方正宋一_GBK" w:hAnsi="方正宋一_GBK" w:eastAsia="方正宋一_GBK" w:cs="方正宋一_GBK"/>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3"/>
                      <w:jc w:val="center"/>
                      <w:rPr>
                        <w:rFonts w:hint="eastAsia" w:ascii="方正宋一_GBK" w:hAnsi="方正宋一_GBK" w:eastAsia="方正宋一_GBK" w:cs="方正宋一_GBK"/>
                        <w:sz w:val="28"/>
                        <w:szCs w:val="28"/>
                      </w:rPr>
                    </w:pPr>
                    <w:r>
                      <w:rPr>
                        <w:rFonts w:hint="eastAsia" w:ascii="方正宋一_GBK" w:hAnsi="方正宋一_GBK" w:eastAsia="方正宋一_GBK" w:cs="方正宋一_GBK"/>
                        <w:sz w:val="28"/>
                        <w:szCs w:val="28"/>
                        <w:lang w:eastAsia="zh-CN"/>
                      </w:rPr>
                      <w:t xml:space="preserve">— </w:t>
                    </w:r>
                    <w:r>
                      <w:rPr>
                        <w:rFonts w:hint="eastAsia" w:ascii="方正宋一_GBK" w:hAnsi="方正宋一_GBK" w:eastAsia="方正宋一_GBK" w:cs="方正宋一_GBK"/>
                        <w:sz w:val="28"/>
                        <w:szCs w:val="28"/>
                        <w:lang w:eastAsia="zh-CN"/>
                      </w:rPr>
                      <w:fldChar w:fldCharType="begin"/>
                    </w:r>
                    <w:r>
                      <w:rPr>
                        <w:rFonts w:hint="eastAsia" w:ascii="方正宋一_GBK" w:hAnsi="方正宋一_GBK" w:eastAsia="方正宋一_GBK" w:cs="方正宋一_GBK"/>
                        <w:sz w:val="28"/>
                        <w:szCs w:val="28"/>
                        <w:lang w:eastAsia="zh-CN"/>
                      </w:rPr>
                      <w:instrText xml:space="preserve"> PAGE  \* MERGEFORMAT </w:instrText>
                    </w:r>
                    <w:r>
                      <w:rPr>
                        <w:rFonts w:hint="eastAsia" w:ascii="方正宋一_GBK" w:hAnsi="方正宋一_GBK" w:eastAsia="方正宋一_GBK" w:cs="方正宋一_GBK"/>
                        <w:sz w:val="28"/>
                        <w:szCs w:val="28"/>
                        <w:lang w:eastAsia="zh-CN"/>
                      </w:rPr>
                      <w:fldChar w:fldCharType="separate"/>
                    </w:r>
                    <w:r>
                      <w:rPr>
                        <w:rFonts w:hint="eastAsia" w:ascii="方正宋一_GBK" w:hAnsi="方正宋一_GBK" w:eastAsia="方正宋一_GBK" w:cs="方正宋一_GBK"/>
                        <w:sz w:val="28"/>
                        <w:szCs w:val="28"/>
                        <w:lang w:eastAsia="zh-CN"/>
                      </w:rPr>
                      <w:t>1</w:t>
                    </w:r>
                    <w:r>
                      <w:rPr>
                        <w:rFonts w:hint="eastAsia" w:ascii="方正宋一_GBK" w:hAnsi="方正宋一_GBK" w:eastAsia="方正宋一_GBK" w:cs="方正宋一_GBK"/>
                        <w:sz w:val="28"/>
                        <w:szCs w:val="28"/>
                        <w:lang w:eastAsia="zh-CN"/>
                      </w:rPr>
                      <w:fldChar w:fldCharType="end"/>
                    </w:r>
                    <w:r>
                      <w:rPr>
                        <w:rFonts w:hint="eastAsia" w:ascii="方正宋一_GBK" w:hAnsi="方正宋一_GBK" w:eastAsia="方正宋一_GBK" w:cs="方正宋一_GBK"/>
                        <w:sz w:val="28"/>
                        <w:szCs w:val="28"/>
                        <w:lang w:eastAsia="zh-CN"/>
                      </w:rPr>
                      <w:t xml:space="preserve"> —</w:t>
                    </w:r>
                  </w:p>
                </w:txbxContent>
              </v:textbox>
            </v:shape>
          </w:pict>
        </mc:Fallback>
      </mc:AlternateContent>
    </w:r>
  </w:p>
  <w:p>
    <w:pPr>
      <w:pStyle w:val="13"/>
      <w:ind w:right="360"/>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马雪媛">
    <w15:presenceInfo w15:providerId="WPS Office" w15:userId="3868863434"/>
  </w15:person>
  <w15:person w15:author="7a">
    <w15:presenceInfo w15:providerId="None" w15:userId="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0NGYxZjVlNGIxY2JkYzQ3ZTdmYjNjNTkyZjU5ZmQifQ=="/>
    <w:docVar w:name="KSO_WPS_MARK_KEY" w:val="251f8bfe-b16e-4354-b3d0-f82478c5ac81"/>
  </w:docVars>
  <w:rsids>
    <w:rsidRoot w:val="5EA047CF"/>
    <w:rsid w:val="00001C28"/>
    <w:rsid w:val="00001EE1"/>
    <w:rsid w:val="0000465F"/>
    <w:rsid w:val="00007D5E"/>
    <w:rsid w:val="000178F2"/>
    <w:rsid w:val="00021496"/>
    <w:rsid w:val="00021BB0"/>
    <w:rsid w:val="000221DE"/>
    <w:rsid w:val="000245FB"/>
    <w:rsid w:val="0003085E"/>
    <w:rsid w:val="0003583A"/>
    <w:rsid w:val="00041CB5"/>
    <w:rsid w:val="0004654C"/>
    <w:rsid w:val="00050350"/>
    <w:rsid w:val="00052E52"/>
    <w:rsid w:val="00053E27"/>
    <w:rsid w:val="000562BD"/>
    <w:rsid w:val="00064811"/>
    <w:rsid w:val="00070BE1"/>
    <w:rsid w:val="00072937"/>
    <w:rsid w:val="000759D8"/>
    <w:rsid w:val="00087D3A"/>
    <w:rsid w:val="00092E83"/>
    <w:rsid w:val="000A37BC"/>
    <w:rsid w:val="000A4189"/>
    <w:rsid w:val="000A478E"/>
    <w:rsid w:val="000A6043"/>
    <w:rsid w:val="000B60FD"/>
    <w:rsid w:val="000B6539"/>
    <w:rsid w:val="000B670D"/>
    <w:rsid w:val="000C287F"/>
    <w:rsid w:val="000C2CDF"/>
    <w:rsid w:val="000C3AD1"/>
    <w:rsid w:val="000D7000"/>
    <w:rsid w:val="000E38CB"/>
    <w:rsid w:val="000E4E44"/>
    <w:rsid w:val="000E6BFD"/>
    <w:rsid w:val="000E7F93"/>
    <w:rsid w:val="000F06EF"/>
    <w:rsid w:val="000F0FC8"/>
    <w:rsid w:val="00110789"/>
    <w:rsid w:val="00111325"/>
    <w:rsid w:val="001144EB"/>
    <w:rsid w:val="0012179C"/>
    <w:rsid w:val="001319FC"/>
    <w:rsid w:val="00135F9B"/>
    <w:rsid w:val="001403E5"/>
    <w:rsid w:val="00141F26"/>
    <w:rsid w:val="00142671"/>
    <w:rsid w:val="0015141E"/>
    <w:rsid w:val="0015532F"/>
    <w:rsid w:val="0016228D"/>
    <w:rsid w:val="00163B00"/>
    <w:rsid w:val="00164DE3"/>
    <w:rsid w:val="00182236"/>
    <w:rsid w:val="001834E1"/>
    <w:rsid w:val="00185D18"/>
    <w:rsid w:val="00187F26"/>
    <w:rsid w:val="00191669"/>
    <w:rsid w:val="00193949"/>
    <w:rsid w:val="001961FD"/>
    <w:rsid w:val="001A3BC6"/>
    <w:rsid w:val="001B0CEF"/>
    <w:rsid w:val="001B3F22"/>
    <w:rsid w:val="001B4471"/>
    <w:rsid w:val="001B5948"/>
    <w:rsid w:val="001C1AA1"/>
    <w:rsid w:val="001C466B"/>
    <w:rsid w:val="001C4BB5"/>
    <w:rsid w:val="001D10D4"/>
    <w:rsid w:val="001D40AB"/>
    <w:rsid w:val="001E08DE"/>
    <w:rsid w:val="001E11B5"/>
    <w:rsid w:val="001E1A8D"/>
    <w:rsid w:val="001E4F3A"/>
    <w:rsid w:val="001F156B"/>
    <w:rsid w:val="001F67C3"/>
    <w:rsid w:val="002006EF"/>
    <w:rsid w:val="00200726"/>
    <w:rsid w:val="00202BA4"/>
    <w:rsid w:val="002031C7"/>
    <w:rsid w:val="00221C07"/>
    <w:rsid w:val="002245F6"/>
    <w:rsid w:val="002325F0"/>
    <w:rsid w:val="00233441"/>
    <w:rsid w:val="00236B0F"/>
    <w:rsid w:val="002400F8"/>
    <w:rsid w:val="002420C4"/>
    <w:rsid w:val="00245755"/>
    <w:rsid w:val="00252A8B"/>
    <w:rsid w:val="00252DCB"/>
    <w:rsid w:val="00257D06"/>
    <w:rsid w:val="00265175"/>
    <w:rsid w:val="002657AF"/>
    <w:rsid w:val="002743C3"/>
    <w:rsid w:val="002774E4"/>
    <w:rsid w:val="00277676"/>
    <w:rsid w:val="00284D96"/>
    <w:rsid w:val="00286F16"/>
    <w:rsid w:val="00293383"/>
    <w:rsid w:val="00293939"/>
    <w:rsid w:val="00294193"/>
    <w:rsid w:val="00294861"/>
    <w:rsid w:val="00297FDB"/>
    <w:rsid w:val="002A22E5"/>
    <w:rsid w:val="002A3200"/>
    <w:rsid w:val="002B0C00"/>
    <w:rsid w:val="002B2417"/>
    <w:rsid w:val="002B2B47"/>
    <w:rsid w:val="002B5291"/>
    <w:rsid w:val="002B713F"/>
    <w:rsid w:val="002C0980"/>
    <w:rsid w:val="002C0C93"/>
    <w:rsid w:val="002C4CAD"/>
    <w:rsid w:val="002C4FBF"/>
    <w:rsid w:val="002C535C"/>
    <w:rsid w:val="002D1898"/>
    <w:rsid w:val="002D2BC1"/>
    <w:rsid w:val="002E256C"/>
    <w:rsid w:val="002E5BAD"/>
    <w:rsid w:val="002E66DC"/>
    <w:rsid w:val="002F3409"/>
    <w:rsid w:val="0030096C"/>
    <w:rsid w:val="00303FDB"/>
    <w:rsid w:val="003044F7"/>
    <w:rsid w:val="003047BE"/>
    <w:rsid w:val="00314C63"/>
    <w:rsid w:val="00321A2A"/>
    <w:rsid w:val="00322372"/>
    <w:rsid w:val="00324E99"/>
    <w:rsid w:val="003305F0"/>
    <w:rsid w:val="00331386"/>
    <w:rsid w:val="00337CB0"/>
    <w:rsid w:val="003408BB"/>
    <w:rsid w:val="003408C6"/>
    <w:rsid w:val="003415BB"/>
    <w:rsid w:val="00341EE4"/>
    <w:rsid w:val="00343289"/>
    <w:rsid w:val="00343814"/>
    <w:rsid w:val="003474F3"/>
    <w:rsid w:val="00351A2C"/>
    <w:rsid w:val="003533E6"/>
    <w:rsid w:val="00356C46"/>
    <w:rsid w:val="00357354"/>
    <w:rsid w:val="003578DB"/>
    <w:rsid w:val="00360767"/>
    <w:rsid w:val="0036144C"/>
    <w:rsid w:val="00362234"/>
    <w:rsid w:val="00364C15"/>
    <w:rsid w:val="00365B14"/>
    <w:rsid w:val="003679BC"/>
    <w:rsid w:val="00371538"/>
    <w:rsid w:val="00374DDC"/>
    <w:rsid w:val="0038090B"/>
    <w:rsid w:val="0038310E"/>
    <w:rsid w:val="00386684"/>
    <w:rsid w:val="003872C0"/>
    <w:rsid w:val="00391055"/>
    <w:rsid w:val="00397F49"/>
    <w:rsid w:val="003B383C"/>
    <w:rsid w:val="003B4298"/>
    <w:rsid w:val="003B4735"/>
    <w:rsid w:val="003C06D4"/>
    <w:rsid w:val="003D07AF"/>
    <w:rsid w:val="003D5C88"/>
    <w:rsid w:val="003E106B"/>
    <w:rsid w:val="003E3C10"/>
    <w:rsid w:val="003E5828"/>
    <w:rsid w:val="003F1473"/>
    <w:rsid w:val="003F1C58"/>
    <w:rsid w:val="003F2653"/>
    <w:rsid w:val="003F5460"/>
    <w:rsid w:val="00405281"/>
    <w:rsid w:val="004109DD"/>
    <w:rsid w:val="00420BCC"/>
    <w:rsid w:val="0042128C"/>
    <w:rsid w:val="00422CC2"/>
    <w:rsid w:val="00422DBA"/>
    <w:rsid w:val="0042588D"/>
    <w:rsid w:val="00425AFD"/>
    <w:rsid w:val="00427B1C"/>
    <w:rsid w:val="00430046"/>
    <w:rsid w:val="00431117"/>
    <w:rsid w:val="00432357"/>
    <w:rsid w:val="0043596D"/>
    <w:rsid w:val="00436D08"/>
    <w:rsid w:val="004448B5"/>
    <w:rsid w:val="00450786"/>
    <w:rsid w:val="00452997"/>
    <w:rsid w:val="00466241"/>
    <w:rsid w:val="004711DC"/>
    <w:rsid w:val="00490194"/>
    <w:rsid w:val="0049168D"/>
    <w:rsid w:val="004959D0"/>
    <w:rsid w:val="00495A44"/>
    <w:rsid w:val="004A126E"/>
    <w:rsid w:val="004B1BEC"/>
    <w:rsid w:val="004B2DE1"/>
    <w:rsid w:val="004B5C76"/>
    <w:rsid w:val="004C19C7"/>
    <w:rsid w:val="004C313C"/>
    <w:rsid w:val="004E0214"/>
    <w:rsid w:val="004E0699"/>
    <w:rsid w:val="004E7738"/>
    <w:rsid w:val="004F2D58"/>
    <w:rsid w:val="004F56D0"/>
    <w:rsid w:val="005007CF"/>
    <w:rsid w:val="005045BD"/>
    <w:rsid w:val="00506B4B"/>
    <w:rsid w:val="00511C3B"/>
    <w:rsid w:val="00512348"/>
    <w:rsid w:val="005126AB"/>
    <w:rsid w:val="00512D66"/>
    <w:rsid w:val="005161A2"/>
    <w:rsid w:val="00520E78"/>
    <w:rsid w:val="00542035"/>
    <w:rsid w:val="00542BE8"/>
    <w:rsid w:val="00543113"/>
    <w:rsid w:val="0054325C"/>
    <w:rsid w:val="005441D3"/>
    <w:rsid w:val="005447F0"/>
    <w:rsid w:val="00545057"/>
    <w:rsid w:val="00546B9C"/>
    <w:rsid w:val="00550050"/>
    <w:rsid w:val="005509D2"/>
    <w:rsid w:val="0055149A"/>
    <w:rsid w:val="00552AC2"/>
    <w:rsid w:val="00553986"/>
    <w:rsid w:val="00554890"/>
    <w:rsid w:val="00561CED"/>
    <w:rsid w:val="00562873"/>
    <w:rsid w:val="00563757"/>
    <w:rsid w:val="0056465C"/>
    <w:rsid w:val="00567FD5"/>
    <w:rsid w:val="0057035A"/>
    <w:rsid w:val="005705F2"/>
    <w:rsid w:val="005756BE"/>
    <w:rsid w:val="00576D0B"/>
    <w:rsid w:val="00577E78"/>
    <w:rsid w:val="00580F27"/>
    <w:rsid w:val="00582DA7"/>
    <w:rsid w:val="00592CB4"/>
    <w:rsid w:val="005935D5"/>
    <w:rsid w:val="00593C70"/>
    <w:rsid w:val="005A07EC"/>
    <w:rsid w:val="005A7944"/>
    <w:rsid w:val="005A7B75"/>
    <w:rsid w:val="005A7FAC"/>
    <w:rsid w:val="005C090C"/>
    <w:rsid w:val="005C5ED5"/>
    <w:rsid w:val="005D0E32"/>
    <w:rsid w:val="005D1DA5"/>
    <w:rsid w:val="005D30C1"/>
    <w:rsid w:val="005D4D82"/>
    <w:rsid w:val="005E21C0"/>
    <w:rsid w:val="005E34F9"/>
    <w:rsid w:val="005F4058"/>
    <w:rsid w:val="005F40F2"/>
    <w:rsid w:val="005F5B74"/>
    <w:rsid w:val="005F7D1D"/>
    <w:rsid w:val="00607650"/>
    <w:rsid w:val="006108C7"/>
    <w:rsid w:val="00612786"/>
    <w:rsid w:val="00612CD3"/>
    <w:rsid w:val="00612CE7"/>
    <w:rsid w:val="00622E6A"/>
    <w:rsid w:val="00624C59"/>
    <w:rsid w:val="006339B9"/>
    <w:rsid w:val="00636ECC"/>
    <w:rsid w:val="0064391B"/>
    <w:rsid w:val="00647C09"/>
    <w:rsid w:val="00654173"/>
    <w:rsid w:val="006552FD"/>
    <w:rsid w:val="00663A4F"/>
    <w:rsid w:val="006654EA"/>
    <w:rsid w:val="006702D8"/>
    <w:rsid w:val="00670724"/>
    <w:rsid w:val="00676B86"/>
    <w:rsid w:val="00676F39"/>
    <w:rsid w:val="0068035C"/>
    <w:rsid w:val="006808FE"/>
    <w:rsid w:val="006853E8"/>
    <w:rsid w:val="00686870"/>
    <w:rsid w:val="006915A0"/>
    <w:rsid w:val="00691F54"/>
    <w:rsid w:val="00692511"/>
    <w:rsid w:val="00693446"/>
    <w:rsid w:val="006A320F"/>
    <w:rsid w:val="006A438D"/>
    <w:rsid w:val="006A55AD"/>
    <w:rsid w:val="006A660A"/>
    <w:rsid w:val="006A7A5D"/>
    <w:rsid w:val="006A7BE3"/>
    <w:rsid w:val="006B275E"/>
    <w:rsid w:val="006B421B"/>
    <w:rsid w:val="006B563B"/>
    <w:rsid w:val="006B6128"/>
    <w:rsid w:val="006C5A71"/>
    <w:rsid w:val="006D24BE"/>
    <w:rsid w:val="006D52EE"/>
    <w:rsid w:val="0070080E"/>
    <w:rsid w:val="007122E4"/>
    <w:rsid w:val="00713265"/>
    <w:rsid w:val="007136B0"/>
    <w:rsid w:val="00723E19"/>
    <w:rsid w:val="00725D1A"/>
    <w:rsid w:val="00726541"/>
    <w:rsid w:val="00731474"/>
    <w:rsid w:val="00732C0A"/>
    <w:rsid w:val="00732DEC"/>
    <w:rsid w:val="00733F91"/>
    <w:rsid w:val="00734115"/>
    <w:rsid w:val="00740227"/>
    <w:rsid w:val="007459F3"/>
    <w:rsid w:val="00754034"/>
    <w:rsid w:val="0075653E"/>
    <w:rsid w:val="00756940"/>
    <w:rsid w:val="00760706"/>
    <w:rsid w:val="0076656E"/>
    <w:rsid w:val="00767F29"/>
    <w:rsid w:val="007715DB"/>
    <w:rsid w:val="00772924"/>
    <w:rsid w:val="007748CB"/>
    <w:rsid w:val="0077730D"/>
    <w:rsid w:val="0077735A"/>
    <w:rsid w:val="00780488"/>
    <w:rsid w:val="00781B99"/>
    <w:rsid w:val="0078403C"/>
    <w:rsid w:val="00797B00"/>
    <w:rsid w:val="007A18C3"/>
    <w:rsid w:val="007A4A89"/>
    <w:rsid w:val="007A63DE"/>
    <w:rsid w:val="007B1DB6"/>
    <w:rsid w:val="007B2D68"/>
    <w:rsid w:val="007B7B19"/>
    <w:rsid w:val="007B7E85"/>
    <w:rsid w:val="007C3C93"/>
    <w:rsid w:val="007C54BB"/>
    <w:rsid w:val="007D38B7"/>
    <w:rsid w:val="007E032B"/>
    <w:rsid w:val="007F0CDD"/>
    <w:rsid w:val="007F346F"/>
    <w:rsid w:val="007F4415"/>
    <w:rsid w:val="008002A0"/>
    <w:rsid w:val="00801105"/>
    <w:rsid w:val="008024F8"/>
    <w:rsid w:val="00804C8B"/>
    <w:rsid w:val="008066F4"/>
    <w:rsid w:val="0080719B"/>
    <w:rsid w:val="0080760F"/>
    <w:rsid w:val="00807A02"/>
    <w:rsid w:val="008108CF"/>
    <w:rsid w:val="00810C1D"/>
    <w:rsid w:val="00811441"/>
    <w:rsid w:val="00813520"/>
    <w:rsid w:val="00814B78"/>
    <w:rsid w:val="00816242"/>
    <w:rsid w:val="0081658A"/>
    <w:rsid w:val="00822456"/>
    <w:rsid w:val="00824334"/>
    <w:rsid w:val="00833846"/>
    <w:rsid w:val="008447D6"/>
    <w:rsid w:val="00844E1C"/>
    <w:rsid w:val="00845E7E"/>
    <w:rsid w:val="00846012"/>
    <w:rsid w:val="008514C0"/>
    <w:rsid w:val="00863159"/>
    <w:rsid w:val="0087249F"/>
    <w:rsid w:val="00873080"/>
    <w:rsid w:val="00875462"/>
    <w:rsid w:val="00876E71"/>
    <w:rsid w:val="00877D93"/>
    <w:rsid w:val="008855D6"/>
    <w:rsid w:val="00887426"/>
    <w:rsid w:val="00896C67"/>
    <w:rsid w:val="008A394F"/>
    <w:rsid w:val="008A5480"/>
    <w:rsid w:val="008B02EB"/>
    <w:rsid w:val="008B25E6"/>
    <w:rsid w:val="008C11C9"/>
    <w:rsid w:val="008C16BC"/>
    <w:rsid w:val="008C19A3"/>
    <w:rsid w:val="008C2749"/>
    <w:rsid w:val="008C3346"/>
    <w:rsid w:val="008C3C50"/>
    <w:rsid w:val="008C6992"/>
    <w:rsid w:val="008C7CE7"/>
    <w:rsid w:val="008D33FB"/>
    <w:rsid w:val="008E2123"/>
    <w:rsid w:val="008E7CD5"/>
    <w:rsid w:val="008E7E36"/>
    <w:rsid w:val="008F2E56"/>
    <w:rsid w:val="0090786A"/>
    <w:rsid w:val="00907B37"/>
    <w:rsid w:val="00915523"/>
    <w:rsid w:val="009222FC"/>
    <w:rsid w:val="009226F6"/>
    <w:rsid w:val="00923F28"/>
    <w:rsid w:val="00930EB3"/>
    <w:rsid w:val="009318AE"/>
    <w:rsid w:val="00936FE1"/>
    <w:rsid w:val="0093772D"/>
    <w:rsid w:val="00941557"/>
    <w:rsid w:val="00944803"/>
    <w:rsid w:val="009534CD"/>
    <w:rsid w:val="00954880"/>
    <w:rsid w:val="0096071E"/>
    <w:rsid w:val="00962EE5"/>
    <w:rsid w:val="00963F2B"/>
    <w:rsid w:val="00971CD4"/>
    <w:rsid w:val="0097255C"/>
    <w:rsid w:val="0097282D"/>
    <w:rsid w:val="00976797"/>
    <w:rsid w:val="009819C6"/>
    <w:rsid w:val="00987D28"/>
    <w:rsid w:val="009924C3"/>
    <w:rsid w:val="009979C0"/>
    <w:rsid w:val="009A1021"/>
    <w:rsid w:val="009A2F4F"/>
    <w:rsid w:val="009A524A"/>
    <w:rsid w:val="009B0DC7"/>
    <w:rsid w:val="009B1E4D"/>
    <w:rsid w:val="009B6B6A"/>
    <w:rsid w:val="009D2E57"/>
    <w:rsid w:val="009E0AD8"/>
    <w:rsid w:val="009E0B8A"/>
    <w:rsid w:val="009E2C9D"/>
    <w:rsid w:val="009E4448"/>
    <w:rsid w:val="009F07AE"/>
    <w:rsid w:val="009F436B"/>
    <w:rsid w:val="009F6533"/>
    <w:rsid w:val="009F6A0B"/>
    <w:rsid w:val="00A02B2B"/>
    <w:rsid w:val="00A1181B"/>
    <w:rsid w:val="00A24B0D"/>
    <w:rsid w:val="00A2727F"/>
    <w:rsid w:val="00A32261"/>
    <w:rsid w:val="00A32A5E"/>
    <w:rsid w:val="00A35301"/>
    <w:rsid w:val="00A36083"/>
    <w:rsid w:val="00A36A09"/>
    <w:rsid w:val="00A404F9"/>
    <w:rsid w:val="00A40B86"/>
    <w:rsid w:val="00A43F83"/>
    <w:rsid w:val="00A46383"/>
    <w:rsid w:val="00A46789"/>
    <w:rsid w:val="00A534F0"/>
    <w:rsid w:val="00A548BC"/>
    <w:rsid w:val="00A576D8"/>
    <w:rsid w:val="00A61D87"/>
    <w:rsid w:val="00A620EB"/>
    <w:rsid w:val="00A62ADF"/>
    <w:rsid w:val="00A633ED"/>
    <w:rsid w:val="00A63466"/>
    <w:rsid w:val="00A65B4A"/>
    <w:rsid w:val="00A666BC"/>
    <w:rsid w:val="00A67B37"/>
    <w:rsid w:val="00A70BD0"/>
    <w:rsid w:val="00A732EB"/>
    <w:rsid w:val="00A76DA0"/>
    <w:rsid w:val="00A81208"/>
    <w:rsid w:val="00A84A3E"/>
    <w:rsid w:val="00A911B3"/>
    <w:rsid w:val="00A96768"/>
    <w:rsid w:val="00A9704F"/>
    <w:rsid w:val="00AA2B2B"/>
    <w:rsid w:val="00AA4BB4"/>
    <w:rsid w:val="00AB24F2"/>
    <w:rsid w:val="00AB3A46"/>
    <w:rsid w:val="00AB6C89"/>
    <w:rsid w:val="00AD018E"/>
    <w:rsid w:val="00AD1003"/>
    <w:rsid w:val="00AD3F31"/>
    <w:rsid w:val="00AD60F7"/>
    <w:rsid w:val="00AD66ED"/>
    <w:rsid w:val="00AE535E"/>
    <w:rsid w:val="00AF42B5"/>
    <w:rsid w:val="00AF5EF7"/>
    <w:rsid w:val="00B0141B"/>
    <w:rsid w:val="00B05607"/>
    <w:rsid w:val="00B220F9"/>
    <w:rsid w:val="00B27008"/>
    <w:rsid w:val="00B30A24"/>
    <w:rsid w:val="00B35990"/>
    <w:rsid w:val="00B444F0"/>
    <w:rsid w:val="00B45702"/>
    <w:rsid w:val="00B545C3"/>
    <w:rsid w:val="00B617A3"/>
    <w:rsid w:val="00B61E15"/>
    <w:rsid w:val="00B6410A"/>
    <w:rsid w:val="00B657E6"/>
    <w:rsid w:val="00B67387"/>
    <w:rsid w:val="00B75929"/>
    <w:rsid w:val="00B77EDE"/>
    <w:rsid w:val="00B977EE"/>
    <w:rsid w:val="00BB0D94"/>
    <w:rsid w:val="00BB0E04"/>
    <w:rsid w:val="00BB1E7B"/>
    <w:rsid w:val="00BB61AF"/>
    <w:rsid w:val="00BC6913"/>
    <w:rsid w:val="00BD3814"/>
    <w:rsid w:val="00BE2BE5"/>
    <w:rsid w:val="00BE367A"/>
    <w:rsid w:val="00BE4A37"/>
    <w:rsid w:val="00BE6D56"/>
    <w:rsid w:val="00BE7BF9"/>
    <w:rsid w:val="00C01EA9"/>
    <w:rsid w:val="00C061F3"/>
    <w:rsid w:val="00C15EE9"/>
    <w:rsid w:val="00C20DF1"/>
    <w:rsid w:val="00C277F4"/>
    <w:rsid w:val="00C3103B"/>
    <w:rsid w:val="00C31B7E"/>
    <w:rsid w:val="00C32756"/>
    <w:rsid w:val="00C342D0"/>
    <w:rsid w:val="00C366C0"/>
    <w:rsid w:val="00C4436D"/>
    <w:rsid w:val="00C44476"/>
    <w:rsid w:val="00C5090C"/>
    <w:rsid w:val="00C53C9B"/>
    <w:rsid w:val="00C54538"/>
    <w:rsid w:val="00C71187"/>
    <w:rsid w:val="00C71CE3"/>
    <w:rsid w:val="00C730E6"/>
    <w:rsid w:val="00C73F95"/>
    <w:rsid w:val="00C7576B"/>
    <w:rsid w:val="00C776B1"/>
    <w:rsid w:val="00C840F7"/>
    <w:rsid w:val="00C93824"/>
    <w:rsid w:val="00C976D1"/>
    <w:rsid w:val="00CA2AFE"/>
    <w:rsid w:val="00CA39E9"/>
    <w:rsid w:val="00CB381C"/>
    <w:rsid w:val="00CC1233"/>
    <w:rsid w:val="00CC576F"/>
    <w:rsid w:val="00CD234F"/>
    <w:rsid w:val="00CD69B8"/>
    <w:rsid w:val="00CD6C4B"/>
    <w:rsid w:val="00CE5289"/>
    <w:rsid w:val="00D00545"/>
    <w:rsid w:val="00D0105A"/>
    <w:rsid w:val="00D01E14"/>
    <w:rsid w:val="00D07D2E"/>
    <w:rsid w:val="00D13561"/>
    <w:rsid w:val="00D14AA1"/>
    <w:rsid w:val="00D2019E"/>
    <w:rsid w:val="00D23EFF"/>
    <w:rsid w:val="00D26F44"/>
    <w:rsid w:val="00D275CA"/>
    <w:rsid w:val="00D30C26"/>
    <w:rsid w:val="00D31152"/>
    <w:rsid w:val="00D34BE7"/>
    <w:rsid w:val="00D410ED"/>
    <w:rsid w:val="00D411D4"/>
    <w:rsid w:val="00D420E9"/>
    <w:rsid w:val="00D42691"/>
    <w:rsid w:val="00D45241"/>
    <w:rsid w:val="00D472D9"/>
    <w:rsid w:val="00D47677"/>
    <w:rsid w:val="00D47852"/>
    <w:rsid w:val="00D55419"/>
    <w:rsid w:val="00D57FD6"/>
    <w:rsid w:val="00D61627"/>
    <w:rsid w:val="00D616C4"/>
    <w:rsid w:val="00D620D2"/>
    <w:rsid w:val="00D66D38"/>
    <w:rsid w:val="00D7021E"/>
    <w:rsid w:val="00D70585"/>
    <w:rsid w:val="00D724F6"/>
    <w:rsid w:val="00D76660"/>
    <w:rsid w:val="00D803AC"/>
    <w:rsid w:val="00D847CF"/>
    <w:rsid w:val="00D86CE6"/>
    <w:rsid w:val="00D92372"/>
    <w:rsid w:val="00D9337A"/>
    <w:rsid w:val="00D955A0"/>
    <w:rsid w:val="00D96B5C"/>
    <w:rsid w:val="00DA2740"/>
    <w:rsid w:val="00DA7942"/>
    <w:rsid w:val="00DB1357"/>
    <w:rsid w:val="00DB5164"/>
    <w:rsid w:val="00DC129D"/>
    <w:rsid w:val="00DC38BF"/>
    <w:rsid w:val="00DD22FC"/>
    <w:rsid w:val="00DD6E4B"/>
    <w:rsid w:val="00DE026B"/>
    <w:rsid w:val="00DE02B9"/>
    <w:rsid w:val="00DF2665"/>
    <w:rsid w:val="00DF441E"/>
    <w:rsid w:val="00DF6184"/>
    <w:rsid w:val="00E057E1"/>
    <w:rsid w:val="00E06FB3"/>
    <w:rsid w:val="00E23578"/>
    <w:rsid w:val="00E23C94"/>
    <w:rsid w:val="00E3285D"/>
    <w:rsid w:val="00E337F8"/>
    <w:rsid w:val="00E67EF0"/>
    <w:rsid w:val="00E71ADE"/>
    <w:rsid w:val="00E74895"/>
    <w:rsid w:val="00E95E35"/>
    <w:rsid w:val="00E9609A"/>
    <w:rsid w:val="00EA1DA9"/>
    <w:rsid w:val="00EA2CCC"/>
    <w:rsid w:val="00EA2CED"/>
    <w:rsid w:val="00EA7EBF"/>
    <w:rsid w:val="00EB45A2"/>
    <w:rsid w:val="00EC1D7A"/>
    <w:rsid w:val="00EC6ED3"/>
    <w:rsid w:val="00ED509F"/>
    <w:rsid w:val="00EE0D1D"/>
    <w:rsid w:val="00EE1E4C"/>
    <w:rsid w:val="00EE31EF"/>
    <w:rsid w:val="00EE78B4"/>
    <w:rsid w:val="00EF126B"/>
    <w:rsid w:val="00EF1D2A"/>
    <w:rsid w:val="00EF3A1B"/>
    <w:rsid w:val="00EF3F87"/>
    <w:rsid w:val="00EF6DC4"/>
    <w:rsid w:val="00F0353D"/>
    <w:rsid w:val="00F0499E"/>
    <w:rsid w:val="00F20674"/>
    <w:rsid w:val="00F248C3"/>
    <w:rsid w:val="00F25EED"/>
    <w:rsid w:val="00F40D4D"/>
    <w:rsid w:val="00F55DA7"/>
    <w:rsid w:val="00F65FF1"/>
    <w:rsid w:val="00F66F03"/>
    <w:rsid w:val="00F71294"/>
    <w:rsid w:val="00F74DB1"/>
    <w:rsid w:val="00F76145"/>
    <w:rsid w:val="00F80A10"/>
    <w:rsid w:val="00F80EBB"/>
    <w:rsid w:val="00F810C4"/>
    <w:rsid w:val="00F82350"/>
    <w:rsid w:val="00F82551"/>
    <w:rsid w:val="00F8499D"/>
    <w:rsid w:val="00F9461C"/>
    <w:rsid w:val="00FA11E9"/>
    <w:rsid w:val="00FA5529"/>
    <w:rsid w:val="00FB57B3"/>
    <w:rsid w:val="00FB6BEB"/>
    <w:rsid w:val="00FC0E28"/>
    <w:rsid w:val="00FC0F3D"/>
    <w:rsid w:val="00FC7FE8"/>
    <w:rsid w:val="00FD2306"/>
    <w:rsid w:val="00FD5BD0"/>
    <w:rsid w:val="00FD7DD1"/>
    <w:rsid w:val="00FE1B3A"/>
    <w:rsid w:val="00FE4CB0"/>
    <w:rsid w:val="00FF2523"/>
    <w:rsid w:val="00FF5270"/>
    <w:rsid w:val="00FF5FCB"/>
    <w:rsid w:val="0317736E"/>
    <w:rsid w:val="03342025"/>
    <w:rsid w:val="037F5669"/>
    <w:rsid w:val="03A74512"/>
    <w:rsid w:val="05BE0F3C"/>
    <w:rsid w:val="0641364B"/>
    <w:rsid w:val="07763F6A"/>
    <w:rsid w:val="07AF3E49"/>
    <w:rsid w:val="089879F2"/>
    <w:rsid w:val="09537AAF"/>
    <w:rsid w:val="0A7A211E"/>
    <w:rsid w:val="0AA023B8"/>
    <w:rsid w:val="0B901463"/>
    <w:rsid w:val="0C296967"/>
    <w:rsid w:val="0C9C4EC7"/>
    <w:rsid w:val="0E066163"/>
    <w:rsid w:val="0FF871B4"/>
    <w:rsid w:val="10351C41"/>
    <w:rsid w:val="11F74933"/>
    <w:rsid w:val="12214658"/>
    <w:rsid w:val="123A3067"/>
    <w:rsid w:val="12BB5760"/>
    <w:rsid w:val="13612D52"/>
    <w:rsid w:val="137315D3"/>
    <w:rsid w:val="14A50E66"/>
    <w:rsid w:val="16243099"/>
    <w:rsid w:val="1B1D3831"/>
    <w:rsid w:val="1B850DC8"/>
    <w:rsid w:val="1C4F07BB"/>
    <w:rsid w:val="1DBC3FB6"/>
    <w:rsid w:val="1E227083"/>
    <w:rsid w:val="206D6F3A"/>
    <w:rsid w:val="20BC75D3"/>
    <w:rsid w:val="20D21B2C"/>
    <w:rsid w:val="21CC510E"/>
    <w:rsid w:val="22B81890"/>
    <w:rsid w:val="241D1A6A"/>
    <w:rsid w:val="2457151D"/>
    <w:rsid w:val="26F0576B"/>
    <w:rsid w:val="2778394C"/>
    <w:rsid w:val="282A104C"/>
    <w:rsid w:val="28561F9D"/>
    <w:rsid w:val="29C93B3B"/>
    <w:rsid w:val="2A740F74"/>
    <w:rsid w:val="2C3B3A4B"/>
    <w:rsid w:val="32683EDB"/>
    <w:rsid w:val="32AE13A1"/>
    <w:rsid w:val="32E53F52"/>
    <w:rsid w:val="335F5BD4"/>
    <w:rsid w:val="3460113B"/>
    <w:rsid w:val="34B33B97"/>
    <w:rsid w:val="352238D2"/>
    <w:rsid w:val="36FA0692"/>
    <w:rsid w:val="37365D28"/>
    <w:rsid w:val="37EC7E23"/>
    <w:rsid w:val="3A6C7FAB"/>
    <w:rsid w:val="3BD571D4"/>
    <w:rsid w:val="3BF22F51"/>
    <w:rsid w:val="3C0F31E6"/>
    <w:rsid w:val="3CED0A10"/>
    <w:rsid w:val="3DAC45F9"/>
    <w:rsid w:val="3DF03605"/>
    <w:rsid w:val="3E122859"/>
    <w:rsid w:val="3EA916DD"/>
    <w:rsid w:val="3EC4273E"/>
    <w:rsid w:val="3ED3436F"/>
    <w:rsid w:val="3FAD2B5C"/>
    <w:rsid w:val="42693B7F"/>
    <w:rsid w:val="42BD6487"/>
    <w:rsid w:val="430F7DCE"/>
    <w:rsid w:val="44CB435D"/>
    <w:rsid w:val="455E3D2A"/>
    <w:rsid w:val="45713E76"/>
    <w:rsid w:val="45DE5D1D"/>
    <w:rsid w:val="465C0B96"/>
    <w:rsid w:val="4669212C"/>
    <w:rsid w:val="474229B4"/>
    <w:rsid w:val="47446F45"/>
    <w:rsid w:val="4807360E"/>
    <w:rsid w:val="4B6D457F"/>
    <w:rsid w:val="4C0E56A5"/>
    <w:rsid w:val="4C132A7C"/>
    <w:rsid w:val="4C3503D3"/>
    <w:rsid w:val="4C521304"/>
    <w:rsid w:val="4EA57143"/>
    <w:rsid w:val="4FBA7845"/>
    <w:rsid w:val="500A3C0B"/>
    <w:rsid w:val="503C3870"/>
    <w:rsid w:val="50753B39"/>
    <w:rsid w:val="51D84BB3"/>
    <w:rsid w:val="52391DA6"/>
    <w:rsid w:val="53D61877"/>
    <w:rsid w:val="54681A2E"/>
    <w:rsid w:val="558A7117"/>
    <w:rsid w:val="579C3132"/>
    <w:rsid w:val="57B615E6"/>
    <w:rsid w:val="57C21980"/>
    <w:rsid w:val="57F84B09"/>
    <w:rsid w:val="58653F43"/>
    <w:rsid w:val="5C4651D1"/>
    <w:rsid w:val="5CC90B98"/>
    <w:rsid w:val="5CF32552"/>
    <w:rsid w:val="5EA047CF"/>
    <w:rsid w:val="5EC82965"/>
    <w:rsid w:val="5F0E1A83"/>
    <w:rsid w:val="60EA4E84"/>
    <w:rsid w:val="6200009F"/>
    <w:rsid w:val="627600BD"/>
    <w:rsid w:val="627762FB"/>
    <w:rsid w:val="635448A1"/>
    <w:rsid w:val="640E5D16"/>
    <w:rsid w:val="6426111A"/>
    <w:rsid w:val="65A24A5F"/>
    <w:rsid w:val="65F539D9"/>
    <w:rsid w:val="66B22365"/>
    <w:rsid w:val="66BE1DC4"/>
    <w:rsid w:val="685C7FB8"/>
    <w:rsid w:val="68A36111"/>
    <w:rsid w:val="69F437F2"/>
    <w:rsid w:val="6A301ADF"/>
    <w:rsid w:val="6A52369D"/>
    <w:rsid w:val="6A862351"/>
    <w:rsid w:val="6B8C4C7F"/>
    <w:rsid w:val="6C244CE6"/>
    <w:rsid w:val="6CAA0AB0"/>
    <w:rsid w:val="6CBC28EA"/>
    <w:rsid w:val="6EF069A0"/>
    <w:rsid w:val="6F995D41"/>
    <w:rsid w:val="709068A1"/>
    <w:rsid w:val="710F4661"/>
    <w:rsid w:val="71BF52F4"/>
    <w:rsid w:val="71F64044"/>
    <w:rsid w:val="72EC4014"/>
    <w:rsid w:val="76B20C33"/>
    <w:rsid w:val="774937A4"/>
    <w:rsid w:val="77754D7F"/>
    <w:rsid w:val="77AE1025"/>
    <w:rsid w:val="78044C6A"/>
    <w:rsid w:val="79FC32F9"/>
    <w:rsid w:val="7AC83FF4"/>
    <w:rsid w:val="7AD35641"/>
    <w:rsid w:val="7AF46B1C"/>
    <w:rsid w:val="7BFB7E57"/>
    <w:rsid w:val="7D543BF8"/>
    <w:rsid w:val="7D636B02"/>
    <w:rsid w:val="7F5935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nhideWhenUsed="0"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28"/>
    <w:qFormat/>
    <w:uiPriority w:val="9"/>
    <w:pPr>
      <w:keepNext/>
      <w:keepLines/>
      <w:adjustRightInd w:val="0"/>
      <w:snapToGrid w:val="0"/>
      <w:spacing w:before="240" w:after="120"/>
      <w:jc w:val="center"/>
      <w:outlineLvl w:val="0"/>
    </w:pPr>
    <w:rPr>
      <w:rFonts w:ascii="Times New Roman" w:hAnsi="Times New Roman" w:eastAsia="方正小标宋_GBK"/>
      <w:bCs/>
      <w:kern w:val="44"/>
      <w:sz w:val="32"/>
      <w:szCs w:val="44"/>
    </w:rPr>
  </w:style>
  <w:style w:type="paragraph" w:styleId="4">
    <w:name w:val="heading 2"/>
    <w:basedOn w:val="1"/>
    <w:next w:val="1"/>
    <w:link w:val="34"/>
    <w:qFormat/>
    <w:uiPriority w:val="9"/>
    <w:pPr>
      <w:keepNext/>
      <w:keepLines/>
      <w:spacing w:before="120" w:after="120"/>
      <w:jc w:val="center"/>
      <w:outlineLvl w:val="1"/>
    </w:pPr>
    <w:rPr>
      <w:rFonts w:ascii="Times New Roman" w:hAnsi="Times New Roman" w:eastAsia="黑体"/>
      <w:bCs/>
      <w:kern w:val="0"/>
      <w:sz w:val="30"/>
      <w:szCs w:val="32"/>
    </w:rPr>
  </w:style>
  <w:style w:type="paragraph" w:styleId="5">
    <w:name w:val="heading 3"/>
    <w:basedOn w:val="1"/>
    <w:next w:val="1"/>
    <w:qFormat/>
    <w:uiPriority w:val="0"/>
    <w:pPr>
      <w:keepNext/>
      <w:keepLines/>
      <w:ind w:firstLine="643" w:firstLineChars="200"/>
      <w:jc w:val="left"/>
      <w:outlineLvl w:val="2"/>
    </w:pPr>
    <w:rPr>
      <w:rFonts w:eastAsia="楷体"/>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qFormat/>
    <w:uiPriority w:val="0"/>
    <w:pPr>
      <w:spacing w:before="120"/>
    </w:pPr>
    <w:rPr>
      <w:rFonts w:ascii="Cambria" w:hAnsi="Cambria" w:cs="Cambria" w:eastAsiaTheme="minorEastAsia"/>
      <w:sz w:val="24"/>
    </w:rPr>
  </w:style>
  <w:style w:type="paragraph" w:styleId="6">
    <w:name w:val="Normal Indent"/>
    <w:basedOn w:val="1"/>
    <w:next w:val="1"/>
    <w:unhideWhenUsed/>
    <w:qFormat/>
    <w:uiPriority w:val="0"/>
    <w:pPr>
      <w:ind w:firstLine="420" w:firstLineChars="200"/>
    </w:pPr>
    <w:rPr>
      <w:rFonts w:ascii="Times New Roman" w:hAnsi="Times New Roman"/>
      <w:sz w:val="28"/>
    </w:rPr>
  </w:style>
  <w:style w:type="paragraph" w:styleId="7">
    <w:name w:val="annotation text"/>
    <w:basedOn w:val="1"/>
    <w:qFormat/>
    <w:uiPriority w:val="0"/>
    <w:pPr>
      <w:jc w:val="left"/>
    </w:pPr>
  </w:style>
  <w:style w:type="paragraph" w:styleId="8">
    <w:name w:val="Body Text 3"/>
    <w:basedOn w:val="1"/>
    <w:link w:val="27"/>
    <w:qFormat/>
    <w:uiPriority w:val="0"/>
    <w:pPr>
      <w:spacing w:after="120"/>
    </w:pPr>
    <w:rPr>
      <w:sz w:val="16"/>
      <w:szCs w:val="16"/>
    </w:rPr>
  </w:style>
  <w:style w:type="paragraph" w:styleId="9">
    <w:name w:val="Body Text"/>
    <w:basedOn w:val="1"/>
    <w:link w:val="26"/>
    <w:qFormat/>
    <w:uiPriority w:val="0"/>
    <w:pPr>
      <w:spacing w:after="120"/>
    </w:pPr>
  </w:style>
  <w:style w:type="paragraph" w:styleId="10">
    <w:name w:val="toc 3"/>
    <w:basedOn w:val="1"/>
    <w:next w:val="1"/>
    <w:semiHidden/>
    <w:qFormat/>
    <w:uiPriority w:val="0"/>
    <w:pPr>
      <w:ind w:left="840" w:leftChars="400"/>
    </w:pPr>
  </w:style>
  <w:style w:type="paragraph" w:styleId="11">
    <w:name w:val="Date"/>
    <w:basedOn w:val="1"/>
    <w:next w:val="1"/>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36"/>
    <w:unhideWhenUsed/>
    <w:qFormat/>
    <w:uiPriority w:val="99"/>
    <w:pPr>
      <w:tabs>
        <w:tab w:val="center" w:pos="4153"/>
        <w:tab w:val="right" w:pos="8306"/>
      </w:tabs>
      <w:snapToGrid w:val="0"/>
      <w:jc w:val="left"/>
    </w:pPr>
    <w:rPr>
      <w:rFonts w:ascii="Times New Roman" w:hAnsi="Times New Roman"/>
      <w:kern w:val="0"/>
      <w:sz w:val="18"/>
      <w:szCs w:val="18"/>
    </w:rPr>
  </w:style>
  <w:style w:type="paragraph" w:styleId="14">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oc 2"/>
    <w:basedOn w:val="1"/>
    <w:next w:val="1"/>
    <w:unhideWhenUsed/>
    <w:qFormat/>
    <w:uiPriority w:val="39"/>
    <w:pPr>
      <w:ind w:left="420" w:leftChars="200"/>
    </w:pPr>
  </w:style>
  <w:style w:type="paragraph" w:styleId="17">
    <w:name w:val="Body Text 2"/>
    <w:basedOn w:val="1"/>
    <w:link w:val="31"/>
    <w:qFormat/>
    <w:uiPriority w:val="0"/>
    <w:pPr>
      <w:spacing w:after="120" w:line="480" w:lineRule="auto"/>
    </w:pPr>
  </w:style>
  <w:style w:type="paragraph" w:styleId="1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20">
    <w:name w:val="Table Grid"/>
    <w:basedOn w:val="19"/>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22"/>
    <w:rPr>
      <w:b/>
      <w:bCs/>
    </w:rPr>
  </w:style>
  <w:style w:type="character" w:styleId="23">
    <w:name w:val="page number"/>
    <w:basedOn w:val="21"/>
    <w:qFormat/>
    <w:uiPriority w:val="0"/>
  </w:style>
  <w:style w:type="character" w:styleId="24">
    <w:name w:val="Hyperlink"/>
    <w:unhideWhenUsed/>
    <w:qFormat/>
    <w:uiPriority w:val="99"/>
    <w:rPr>
      <w:color w:val="0000FF"/>
      <w:u w:val="single"/>
    </w:rPr>
  </w:style>
  <w:style w:type="character" w:customStyle="1" w:styleId="25">
    <w:name w:val="页眉 Char"/>
    <w:link w:val="14"/>
    <w:qFormat/>
    <w:uiPriority w:val="0"/>
    <w:rPr>
      <w:kern w:val="2"/>
      <w:sz w:val="18"/>
      <w:szCs w:val="18"/>
    </w:rPr>
  </w:style>
  <w:style w:type="character" w:customStyle="1" w:styleId="26">
    <w:name w:val="正文文本 Char"/>
    <w:link w:val="9"/>
    <w:qFormat/>
    <w:uiPriority w:val="0"/>
    <w:rPr>
      <w:kern w:val="2"/>
      <w:sz w:val="21"/>
      <w:szCs w:val="22"/>
    </w:rPr>
  </w:style>
  <w:style w:type="character" w:customStyle="1" w:styleId="27">
    <w:name w:val="正文文本 3 Char"/>
    <w:link w:val="8"/>
    <w:qFormat/>
    <w:uiPriority w:val="0"/>
    <w:rPr>
      <w:kern w:val="2"/>
      <w:sz w:val="16"/>
      <w:szCs w:val="16"/>
    </w:rPr>
  </w:style>
  <w:style w:type="character" w:customStyle="1" w:styleId="28">
    <w:name w:val="标题 1 Char"/>
    <w:link w:val="3"/>
    <w:qFormat/>
    <w:uiPriority w:val="9"/>
    <w:rPr>
      <w:rFonts w:eastAsia="方正小标宋_GBK"/>
      <w:bCs/>
      <w:kern w:val="44"/>
      <w:sz w:val="32"/>
      <w:szCs w:val="44"/>
      <w:lang w:val="en-US" w:eastAsia="zh-CN" w:bidi="ar-SA"/>
    </w:rPr>
  </w:style>
  <w:style w:type="character" w:customStyle="1" w:styleId="29">
    <w:name w:val="NormalCharacter"/>
    <w:qFormat/>
    <w:uiPriority w:val="0"/>
  </w:style>
  <w:style w:type="character" w:customStyle="1" w:styleId="30">
    <w:name w:val="15"/>
    <w:qFormat/>
    <w:uiPriority w:val="0"/>
    <w:rPr>
      <w:rFonts w:hint="default" w:ascii="Times New Roman" w:hAnsi="Times New Roman" w:eastAsia="FangSong_GB2312" w:cs="Times New Roman"/>
      <w:kern w:val="2"/>
      <w:sz w:val="32"/>
      <w:szCs w:val="32"/>
    </w:rPr>
  </w:style>
  <w:style w:type="character" w:customStyle="1" w:styleId="31">
    <w:name w:val="正文文本 2 Char"/>
    <w:link w:val="17"/>
    <w:qFormat/>
    <w:uiPriority w:val="0"/>
    <w:rPr>
      <w:kern w:val="2"/>
      <w:sz w:val="21"/>
      <w:szCs w:val="22"/>
    </w:rPr>
  </w:style>
  <w:style w:type="paragraph" w:customStyle="1" w:styleId="32">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样式1"/>
    <w:basedOn w:val="1"/>
    <w:qFormat/>
    <w:uiPriority w:val="0"/>
    <w:rPr>
      <w:rFonts w:eastAsia="方正仿宋_GBK"/>
      <w:sz w:val="28"/>
    </w:rPr>
  </w:style>
  <w:style w:type="character" w:customStyle="1" w:styleId="34">
    <w:name w:val="标题 2 Char"/>
    <w:basedOn w:val="21"/>
    <w:link w:val="4"/>
    <w:qFormat/>
    <w:uiPriority w:val="9"/>
    <w:rPr>
      <w:rFonts w:ascii="Times New Roman" w:hAnsi="Times New Roman" w:eastAsia="黑体"/>
      <w:bCs/>
      <w:sz w:val="30"/>
      <w:szCs w:val="32"/>
    </w:rPr>
  </w:style>
  <w:style w:type="paragraph" w:styleId="35">
    <w:name w:val="List Paragraph"/>
    <w:basedOn w:val="1"/>
    <w:qFormat/>
    <w:uiPriority w:val="34"/>
    <w:pPr>
      <w:ind w:firstLine="420" w:firstLineChars="200"/>
    </w:pPr>
  </w:style>
  <w:style w:type="character" w:customStyle="1" w:styleId="36">
    <w:name w:val="页脚 Char"/>
    <w:basedOn w:val="21"/>
    <w:link w:val="13"/>
    <w:qFormat/>
    <w:uiPriority w:val="99"/>
    <w:rPr>
      <w:rFonts w:ascii="Times New Roman" w:hAnsi="Times New Roman"/>
      <w:sz w:val="18"/>
      <w:szCs w:val="18"/>
    </w:rPr>
  </w:style>
</w:styles>
</file>

<file path=word/_rels/document.xml.rels><?xml version="1.0" encoding="UTF-8" standalone="yes"?>
<Relationships xmlns="http://schemas.openxmlformats.org/package/2006/relationships"><Relationship Id="rId9" Type="http://schemas.microsoft.com/office/2011/relationships/people" Target="people.xml"/><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118</Pages>
  <Words>64082</Words>
  <Characters>64846</Characters>
  <Lines>620</Lines>
  <Paragraphs>174</Paragraphs>
  <TotalTime>25</TotalTime>
  <ScaleCrop>false</ScaleCrop>
  <LinksUpToDate>false</LinksUpToDate>
  <CharactersWithSpaces>65128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2021-01-05T02:02:00Z</dcterms:created>
  <dc:creator>asus</dc:creator>
  <cp:lastModifiedBy>夏梦琳</cp:lastModifiedBy>
  <cp:lastPrinted>2021-01-08T12:32:00Z</cp:lastPrinted>
  <dcterms:modified xsi:type="dcterms:W3CDTF">2025-04-22T01:13:43Z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602CE94E109C4361AD8898E523BE17C9</vt:lpwstr>
  </property>
</Properties>
</file>