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5EAAF">
      <w:pPr>
        <w:pStyle w:val="10"/>
        <w:keepNext w:val="0"/>
        <w:keepLines w:val="0"/>
        <w:pageBreakBefore w:val="0"/>
        <w:widowControl w:val="0"/>
        <w:kinsoku/>
        <w:wordWrap/>
        <w:overflowPunct/>
        <w:topLinePunct w:val="0"/>
        <w:autoSpaceDE/>
        <w:autoSpaceDN/>
        <w:bidi w:val="0"/>
        <w:adjustRightInd/>
        <w:snapToGrid/>
        <w:spacing w:before="0" w:after="0" w:line="590" w:lineRule="exact"/>
        <w:jc w:val="center"/>
        <w:textAlignment w:val="baseline"/>
        <w:rPr>
          <w:rFonts w:hint="default" w:ascii="方正小标宋_GBK" w:hAnsi="方正小标宋_GBK" w:eastAsia="方正小标宋_GBK" w:cs="方正小标宋_GBK"/>
          <w:color w:val="auto"/>
          <w:spacing w:val="-16"/>
          <w:sz w:val="44"/>
          <w:szCs w:val="44"/>
          <w:lang w:val="en-US"/>
        </w:rPr>
      </w:pPr>
      <w:r>
        <w:rPr>
          <w:rFonts w:hint="eastAsia" w:ascii="方正小标宋_GBK" w:hAnsi="方正小标宋_GBK" w:eastAsia="方正小标宋_GBK" w:cs="方正小标宋_GBK"/>
          <w:color w:val="auto"/>
          <w:spacing w:val="-16"/>
          <w:sz w:val="44"/>
          <w:szCs w:val="44"/>
        </w:rPr>
        <w:t>云南省</w:t>
      </w:r>
      <w:r>
        <w:rPr>
          <w:rFonts w:hint="eastAsia" w:ascii="方正小标宋_GBK" w:hAnsi="方正小标宋_GBK" w:eastAsia="方正小标宋_GBK" w:cs="方正小标宋_GBK"/>
          <w:color w:val="auto"/>
          <w:spacing w:val="-16"/>
          <w:sz w:val="44"/>
          <w:szCs w:val="44"/>
          <w:lang w:val="en-US" w:eastAsia="zh-CN"/>
        </w:rPr>
        <w:t>玉溪市</w:t>
      </w:r>
      <w:r>
        <w:rPr>
          <w:rFonts w:hint="eastAsia" w:ascii="方正小标宋_GBK" w:hAnsi="方正小标宋_GBK" w:eastAsia="方正小标宋_GBK" w:cs="方正小标宋_GBK"/>
          <w:color w:val="auto"/>
          <w:spacing w:val="-16"/>
          <w:sz w:val="44"/>
          <w:szCs w:val="44"/>
          <w:lang w:eastAsia="zh-CN"/>
        </w:rPr>
        <w:t>江川区</w:t>
      </w:r>
      <w:r>
        <w:rPr>
          <w:rFonts w:hint="eastAsia" w:ascii="方正小标宋_GBK" w:hAnsi="方正小标宋_GBK" w:eastAsia="方正小标宋_GBK" w:cs="方正小标宋_GBK"/>
          <w:color w:val="auto"/>
          <w:spacing w:val="-16"/>
          <w:sz w:val="44"/>
          <w:szCs w:val="44"/>
        </w:rPr>
        <w:t>烟草制品零售点合理布局</w:t>
      </w:r>
      <w:r>
        <w:rPr>
          <w:rFonts w:hint="eastAsia" w:ascii="方正小标宋_GBK" w:hAnsi="方正小标宋_GBK" w:eastAsia="方正小标宋_GBK" w:cs="方正小标宋_GBK"/>
          <w:color w:val="auto"/>
          <w:spacing w:val="-16"/>
          <w:sz w:val="44"/>
          <w:szCs w:val="44"/>
        </w:rPr>
        <w:br w:type="textWrapping"/>
      </w:r>
      <w:r>
        <w:rPr>
          <w:rFonts w:hint="eastAsia" w:ascii="方正小标宋_GBK" w:hAnsi="方正小标宋_GBK" w:eastAsia="方正小标宋_GBK" w:cs="方正小标宋_GBK"/>
          <w:color w:val="auto"/>
          <w:spacing w:val="-16"/>
          <w:sz w:val="44"/>
          <w:szCs w:val="44"/>
          <w:lang w:val="en-US" w:eastAsia="zh-CN"/>
        </w:rPr>
        <w:t>规划（修订草案）</w:t>
      </w:r>
    </w:p>
    <w:p w14:paraId="3D875F4A">
      <w:pPr>
        <w:pStyle w:val="8"/>
        <w:keepNext w:val="0"/>
        <w:keepLines w:val="0"/>
        <w:pageBreakBefore w:val="0"/>
        <w:widowControl w:val="0"/>
        <w:numPr>
          <w:ilvl w:val="0"/>
          <w:numId w:val="1"/>
        </w:numPr>
        <w:kinsoku/>
        <w:wordWrap/>
        <w:overflowPunct/>
        <w:topLinePunct w:val="0"/>
        <w:autoSpaceDE/>
        <w:autoSpaceDN/>
        <w:bidi w:val="0"/>
        <w:adjustRightInd/>
        <w:snapToGrid w:val="0"/>
        <w:spacing w:before="0" w:after="0" w:line="590" w:lineRule="exact"/>
        <w:ind w:left="0" w:leftChars="0" w:firstLine="0" w:firstLineChars="0"/>
        <w:textAlignment w:val="baseline"/>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总则</w:t>
      </w:r>
    </w:p>
    <w:p w14:paraId="06AD236D">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为适应烟草制品零售市场发展趋势，保持零售户数量合理稳定，提升烟草专卖行政许可的公开性、公平性和公正性，依据《中华人民共和国行政许可法》</w:t>
      </w:r>
      <w:r>
        <w:rPr>
          <w:rFonts w:hint="eastAsia" w:ascii="方正仿宋_GBK" w:hAnsi="方正仿宋_GBK" w:eastAsia="方正仿宋_GBK" w:cs="方正仿宋_GBK"/>
          <w:bCs/>
          <w:color w:val="auto"/>
          <w:sz w:val="32"/>
          <w:szCs w:val="32"/>
        </w:rPr>
        <w:t>《中华人民共和国未成年人保护法》《中华人民共和国烟草专卖法》</w:t>
      </w:r>
      <w:r>
        <w:rPr>
          <w:rFonts w:hint="eastAsia" w:ascii="方正仿宋_GBK" w:hAnsi="方正仿宋_GBK" w:eastAsia="方正仿宋_GBK" w:cs="方正仿宋_GBK"/>
          <w:color w:val="auto"/>
          <w:sz w:val="32"/>
          <w:szCs w:val="32"/>
        </w:rPr>
        <w:t>《中华人民共和国烟草专卖法实施条例》《烟草专卖许可证管理办法》《烟草专卖许可证管理办法实施细则》等</w:t>
      </w:r>
      <w:r>
        <w:rPr>
          <w:rFonts w:hint="eastAsia" w:ascii="方正仿宋_GBK" w:hAnsi="方正仿宋_GBK" w:eastAsia="方正仿宋_GBK" w:cs="方正仿宋_GBK"/>
          <w:color w:val="auto"/>
          <w:sz w:val="32"/>
          <w:szCs w:val="32"/>
          <w:lang w:eastAsia="zh-CN"/>
        </w:rPr>
        <w:t>法律、法规</w:t>
      </w:r>
      <w:r>
        <w:rPr>
          <w:rFonts w:hint="eastAsia" w:ascii="方正仿宋_GBK" w:hAnsi="方正仿宋_GBK" w:eastAsia="方正仿宋_GBK" w:cs="方正仿宋_GBK"/>
          <w:color w:val="auto"/>
          <w:sz w:val="32"/>
          <w:szCs w:val="32"/>
          <w:lang w:val="en-US" w:eastAsia="zh-CN"/>
        </w:rPr>
        <w:t>、规章和国家烟草专卖局的有关规定</w:t>
      </w:r>
      <w:r>
        <w:rPr>
          <w:rFonts w:hint="eastAsia" w:ascii="方正仿宋_GBK" w:hAnsi="方正仿宋_GBK" w:eastAsia="方正仿宋_GBK" w:cs="方正仿宋_GBK"/>
          <w:color w:val="auto"/>
          <w:sz w:val="32"/>
          <w:szCs w:val="32"/>
        </w:rPr>
        <w:t>，结合</w:t>
      </w:r>
      <w:r>
        <w:rPr>
          <w:rFonts w:hint="eastAsia" w:ascii="方正仿宋_GBK" w:hAnsi="方正仿宋_GBK" w:eastAsia="方正仿宋_GBK" w:cs="方正仿宋_GBK"/>
          <w:color w:val="auto"/>
          <w:sz w:val="32"/>
          <w:szCs w:val="32"/>
          <w:lang w:eastAsia="zh-CN"/>
        </w:rPr>
        <w:t>江川区</w:t>
      </w:r>
      <w:r>
        <w:rPr>
          <w:rFonts w:hint="eastAsia" w:ascii="方正仿宋_GBK" w:hAnsi="方正仿宋_GBK" w:eastAsia="方正仿宋_GBK" w:cs="方正仿宋_GBK"/>
          <w:color w:val="auto"/>
          <w:sz w:val="32"/>
          <w:szCs w:val="32"/>
          <w:lang w:val="en-US" w:eastAsia="zh-CN"/>
        </w:rPr>
        <w:t>实际</w:t>
      </w:r>
      <w:r>
        <w:rPr>
          <w:rFonts w:hint="eastAsia" w:ascii="方正仿宋_GBK" w:hAnsi="方正仿宋_GBK" w:eastAsia="方正仿宋_GBK" w:cs="方正仿宋_GBK"/>
          <w:color w:val="auto"/>
          <w:sz w:val="32"/>
          <w:szCs w:val="32"/>
        </w:rPr>
        <w:t>，制定本</w:t>
      </w:r>
      <w:r>
        <w:rPr>
          <w:rFonts w:hint="eastAsia" w:ascii="方正仿宋_GBK" w:hAnsi="方正仿宋_GBK" w:eastAsia="方正仿宋_GBK" w:cs="方正仿宋_GBK"/>
          <w:color w:val="auto"/>
          <w:sz w:val="32"/>
          <w:szCs w:val="32"/>
          <w:lang w:val="en-US" w:eastAsia="zh-CN"/>
        </w:rPr>
        <w:t>规划</w:t>
      </w:r>
      <w:r>
        <w:rPr>
          <w:rFonts w:hint="eastAsia" w:ascii="方正仿宋_GBK" w:hAnsi="方正仿宋_GBK" w:eastAsia="方正仿宋_GBK" w:cs="方正仿宋_GBK"/>
          <w:color w:val="auto"/>
          <w:sz w:val="32"/>
          <w:szCs w:val="32"/>
        </w:rPr>
        <w:t>。</w:t>
      </w:r>
    </w:p>
    <w:p w14:paraId="33376142">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w:t>
      </w:r>
      <w:r>
        <w:rPr>
          <w:rFonts w:hint="eastAsia" w:ascii="方正仿宋_GBK" w:hAnsi="方正仿宋_GBK" w:eastAsia="方正仿宋_GBK" w:cs="方正仿宋_GBK"/>
          <w:color w:val="auto"/>
          <w:sz w:val="32"/>
          <w:szCs w:val="32"/>
          <w:lang w:val="en-US" w:eastAsia="zh-CN"/>
        </w:rPr>
        <w:t>规划</w:t>
      </w:r>
      <w:r>
        <w:rPr>
          <w:rFonts w:hint="eastAsia" w:ascii="方正仿宋_GBK" w:hAnsi="方正仿宋_GBK" w:eastAsia="方正仿宋_GBK" w:cs="方正仿宋_GBK"/>
          <w:color w:val="auto"/>
          <w:sz w:val="32"/>
          <w:szCs w:val="32"/>
        </w:rPr>
        <w:t>适用于云南省</w:t>
      </w:r>
      <w:r>
        <w:rPr>
          <w:rFonts w:hint="eastAsia" w:ascii="方正仿宋_GBK" w:hAnsi="方正仿宋_GBK" w:eastAsia="方正仿宋_GBK" w:cs="方正仿宋_GBK"/>
          <w:color w:val="auto"/>
          <w:sz w:val="32"/>
          <w:szCs w:val="32"/>
          <w:lang w:val="en-US" w:eastAsia="zh-CN"/>
        </w:rPr>
        <w:t>玉溪市</w:t>
      </w:r>
      <w:r>
        <w:rPr>
          <w:rFonts w:hint="eastAsia" w:ascii="方正仿宋_GBK" w:hAnsi="方正仿宋_GBK" w:eastAsia="方正仿宋_GBK" w:cs="方正仿宋_GBK"/>
          <w:color w:val="auto"/>
          <w:sz w:val="32"/>
          <w:szCs w:val="32"/>
          <w:lang w:eastAsia="zh-CN"/>
        </w:rPr>
        <w:t>江川区</w:t>
      </w:r>
      <w:r>
        <w:rPr>
          <w:rFonts w:hint="eastAsia" w:ascii="方正仿宋_GBK" w:hAnsi="方正仿宋_GBK" w:eastAsia="方正仿宋_GBK" w:cs="方正仿宋_GBK"/>
          <w:color w:val="auto"/>
          <w:sz w:val="32"/>
          <w:szCs w:val="32"/>
        </w:rPr>
        <w:t>行政</w:t>
      </w:r>
      <w:r>
        <w:rPr>
          <w:rFonts w:hint="eastAsia" w:ascii="方正仿宋_GBK" w:hAnsi="方正仿宋_GBK" w:eastAsia="方正仿宋_GBK" w:cs="方正仿宋_GBK"/>
          <w:color w:val="auto"/>
          <w:sz w:val="32"/>
          <w:szCs w:val="32"/>
          <w:lang w:val="en-US" w:eastAsia="zh-CN"/>
        </w:rPr>
        <w:t>辖区</w:t>
      </w:r>
      <w:r>
        <w:rPr>
          <w:rFonts w:hint="eastAsia" w:ascii="方正仿宋_GBK" w:hAnsi="方正仿宋_GBK" w:eastAsia="方正仿宋_GBK" w:cs="方正仿宋_GBK"/>
          <w:color w:val="auto"/>
          <w:sz w:val="32"/>
          <w:szCs w:val="32"/>
        </w:rPr>
        <w:t>范围内</w:t>
      </w:r>
      <w:r>
        <w:rPr>
          <w:rFonts w:hint="eastAsia" w:ascii="方正仿宋_GBK" w:hAnsi="方正仿宋_GBK" w:eastAsia="方正仿宋_GBK" w:cs="方正仿宋_GBK"/>
          <w:color w:val="auto"/>
          <w:sz w:val="32"/>
          <w:szCs w:val="32"/>
          <w:lang w:val="en-US" w:eastAsia="zh-CN"/>
        </w:rPr>
        <w:t>烟草制品</w:t>
      </w:r>
      <w:r>
        <w:rPr>
          <w:rFonts w:hint="eastAsia" w:ascii="方正仿宋_GBK" w:hAnsi="方正仿宋_GBK" w:eastAsia="方正仿宋_GBK" w:cs="方正仿宋_GBK"/>
          <w:color w:val="auto"/>
          <w:sz w:val="32"/>
          <w:szCs w:val="32"/>
        </w:rPr>
        <w:t>零售点的布局</w:t>
      </w:r>
      <w:r>
        <w:rPr>
          <w:rFonts w:hint="eastAsia" w:ascii="方正仿宋_GBK" w:hAnsi="方正仿宋_GBK" w:eastAsia="方正仿宋_GBK" w:cs="方正仿宋_GBK"/>
          <w:color w:val="auto"/>
          <w:sz w:val="32"/>
          <w:szCs w:val="32"/>
          <w:lang w:val="en-US" w:eastAsia="zh-CN"/>
        </w:rPr>
        <w:t>管理</w:t>
      </w:r>
      <w:r>
        <w:rPr>
          <w:rFonts w:hint="eastAsia" w:ascii="方正仿宋_GBK" w:hAnsi="方正仿宋_GBK" w:eastAsia="方正仿宋_GBK" w:cs="方正仿宋_GBK"/>
          <w:color w:val="auto"/>
          <w:sz w:val="32"/>
          <w:szCs w:val="32"/>
        </w:rPr>
        <w:t>。电子烟零售点布局按照《云南省电子烟零售点布局规划》执行。</w:t>
      </w:r>
    </w:p>
    <w:p w14:paraId="66CEF387">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w:t>
      </w:r>
      <w:r>
        <w:rPr>
          <w:rFonts w:hint="eastAsia" w:ascii="方正仿宋_GBK" w:hAnsi="方正仿宋_GBK" w:eastAsia="方正仿宋_GBK" w:cs="方正仿宋_GBK"/>
          <w:color w:val="auto"/>
          <w:sz w:val="32"/>
          <w:szCs w:val="32"/>
          <w:lang w:val="en-US" w:eastAsia="zh-CN"/>
        </w:rPr>
        <w:t>规划</w:t>
      </w:r>
      <w:r>
        <w:rPr>
          <w:rFonts w:hint="eastAsia" w:ascii="方正仿宋_GBK" w:hAnsi="方正仿宋_GBK" w:eastAsia="方正仿宋_GBK" w:cs="方正仿宋_GBK"/>
          <w:color w:val="auto"/>
          <w:sz w:val="32"/>
          <w:szCs w:val="32"/>
        </w:rPr>
        <w:t>所称烟草制品零售点（以下简称零售点）是指依法取得烟草专卖零售许可证</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以下简称零售许可证</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的公民、法人或其他组织</w:t>
      </w:r>
      <w:r>
        <w:rPr>
          <w:rFonts w:hint="eastAsia" w:ascii="方正仿宋_GBK" w:hAnsi="方正仿宋_GBK" w:eastAsia="方正仿宋_GBK" w:cs="方正仿宋_GBK"/>
          <w:color w:val="auto"/>
          <w:sz w:val="32"/>
          <w:szCs w:val="32"/>
        </w:rPr>
        <w:t>从事烟草制品零售业务的经营场所。</w:t>
      </w:r>
    </w:p>
    <w:p w14:paraId="4960562E">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lang w:val="en-US" w:eastAsia="zh-CN" w:bidi="ar"/>
        </w:rPr>
        <w:t>零售点应当设置于与住所相独立的固定经营场所，经营场所与住所应当在空间上相互独立，在物理特性上应有实体墙相隔离，不能具有连通性。经营场所应有指向明确并唯一的门牌、地址或者方位表述，且与营业执照登记注册的经营场所一致，并面向公众经营。</w:t>
      </w:r>
    </w:p>
    <w:p w14:paraId="1B11DAB6">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w:t>
      </w:r>
      <w:r>
        <w:rPr>
          <w:rFonts w:hint="eastAsia" w:ascii="方正仿宋_GBK" w:hAnsi="方正仿宋_GBK" w:eastAsia="方正仿宋_GBK" w:cs="方正仿宋_GBK"/>
          <w:color w:val="auto"/>
          <w:sz w:val="32"/>
          <w:szCs w:val="32"/>
          <w:lang w:val="en-US" w:eastAsia="zh-CN"/>
        </w:rPr>
        <w:t>规划</w:t>
      </w:r>
      <w:r>
        <w:rPr>
          <w:rFonts w:hint="eastAsia" w:ascii="方正仿宋_GBK" w:hAnsi="方正仿宋_GBK" w:eastAsia="方正仿宋_GBK" w:cs="方正仿宋_GBK"/>
          <w:color w:val="auto"/>
          <w:sz w:val="32"/>
          <w:szCs w:val="32"/>
        </w:rPr>
        <w:t>遵循依法行政、科学规划、</w:t>
      </w:r>
      <w:r>
        <w:rPr>
          <w:rFonts w:hint="eastAsia" w:ascii="方正仿宋_GBK" w:hAnsi="方正仿宋_GBK" w:eastAsia="方正仿宋_GBK" w:cs="方正仿宋_GBK"/>
          <w:color w:val="auto"/>
          <w:sz w:val="32"/>
          <w:szCs w:val="32"/>
          <w:lang w:val="en-US" w:eastAsia="zh-CN"/>
        </w:rPr>
        <w:t>服务社会、均衡发展</w:t>
      </w:r>
      <w:r>
        <w:rPr>
          <w:rFonts w:hint="eastAsia" w:ascii="方正仿宋_GBK" w:hAnsi="方正仿宋_GBK" w:eastAsia="方正仿宋_GBK" w:cs="方正仿宋_GBK"/>
          <w:color w:val="auto"/>
          <w:sz w:val="32"/>
          <w:szCs w:val="32"/>
        </w:rPr>
        <w:t>原则。综合辖区内人口数量、交通状况、经济发展水平、消费能力等因素，对零售点进行科学合理的规划布局。</w:t>
      </w:r>
    </w:p>
    <w:p w14:paraId="2060A8EC">
      <w:pPr>
        <w:pStyle w:val="8"/>
        <w:keepNext w:val="0"/>
        <w:keepLines w:val="0"/>
        <w:pageBreakBefore w:val="0"/>
        <w:widowControl w:val="0"/>
        <w:numPr>
          <w:ilvl w:val="0"/>
          <w:numId w:val="1"/>
        </w:numPr>
        <w:kinsoku/>
        <w:wordWrap/>
        <w:overflowPunct/>
        <w:topLinePunct w:val="0"/>
        <w:autoSpaceDE/>
        <w:autoSpaceDN/>
        <w:bidi w:val="0"/>
        <w:adjustRightInd/>
        <w:snapToGrid w:val="0"/>
        <w:spacing w:before="0" w:after="0" w:line="590" w:lineRule="exact"/>
        <w:ind w:left="0" w:leftChars="0" w:firstLine="0" w:firstLineChars="0"/>
        <w:textAlignment w:val="baseline"/>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零售点布局标准</w:t>
      </w:r>
    </w:p>
    <w:p w14:paraId="43378981">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本章适用于经营范围除“仅为雪茄烟本店零售”以外的卷烟、雪茄烟、消费类烟丝的零售点布局管理。</w:t>
      </w:r>
    </w:p>
    <w:p w14:paraId="52AFA691">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零售点布局采用数量限制、距离限制、数量限制与距离限制相结合以及不予设置烟草制品零售点等布局标准。</w:t>
      </w:r>
    </w:p>
    <w:p w14:paraId="688DBB6E">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lang w:val="en-US" w:eastAsia="zh-CN" w:bidi="ar"/>
        </w:rPr>
        <w:t>根据地域面积、人口数量、交通状况、经济发展水平、居民消费能力、消费购买习惯等因素，合理确定区域零售点规划数，并划定单元网格。单元网格零售点规划数是指单元网格内可设置零售点的数量。总量规划数是指江川区辖区范围内所有单元网格零售点规划数之和。</w:t>
      </w:r>
    </w:p>
    <w:p w14:paraId="4BC9F70E">
      <w:pPr>
        <w:keepNext w:val="0"/>
        <w:keepLines w:val="0"/>
        <w:pageBreakBefore w:val="0"/>
        <w:widowControl w:val="0"/>
        <w:suppressLineNumbers w:val="0"/>
        <w:kinsoku/>
        <w:wordWrap w:val="0"/>
        <w:overflowPunct/>
        <w:topLinePunct w:val="0"/>
        <w:autoSpaceDE/>
        <w:autoSpaceDN/>
        <w:bidi w:val="0"/>
        <w:adjustRightInd/>
        <w:snapToGrid/>
        <w:spacing w:line="590" w:lineRule="exact"/>
        <w:ind w:left="0" w:right="0" w:firstLine="640" w:firstLineChars="200"/>
        <w:jc w:val="lef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lang w:val="en-US" w:eastAsia="zh-CN" w:bidi="ar"/>
        </w:rPr>
        <w:t>除本规划规定的特殊区域外，单元网格内零售点数量达到规划数时，该单元网格不予新设零售点。</w:t>
      </w:r>
    </w:p>
    <w:p w14:paraId="0BD89738">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kern w:val="0"/>
          <w:sz w:val="32"/>
          <w:szCs w:val="32"/>
          <w:lang w:val="en-US" w:eastAsia="zh-CN" w:bidi="ar"/>
        </w:rPr>
        <w:t>根据零售市场状态、交通状况、人口热度、消费购买习惯等因素，合理确定零售点间距。零售点间距是指申请人拟从事烟草制品零售业务的经营场所与最近的烟草制品零售点之间的距离。测量的总体原则为两个零售点“门边到门边”可安全步行的最短距离。测量规则及标准详见《云南省玉溪市江川区烟草制品零售点间距测量规则及标准》（附件1）。</w:t>
      </w:r>
    </w:p>
    <w:p w14:paraId="199F169C">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机场、</w:t>
      </w:r>
      <w:r>
        <w:rPr>
          <w:rFonts w:hint="eastAsia" w:ascii="方正仿宋_GBK" w:hAnsi="方正仿宋_GBK" w:eastAsia="方正仿宋_GBK" w:cs="方正仿宋_GBK"/>
          <w:color w:val="auto"/>
          <w:sz w:val="32"/>
          <w:szCs w:val="32"/>
        </w:rPr>
        <w:t>火车站、汽车站</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码头</w:t>
      </w:r>
      <w:r>
        <w:rPr>
          <w:rFonts w:hint="eastAsia" w:ascii="方正仿宋_GBK" w:hAnsi="方正仿宋_GBK" w:eastAsia="方正仿宋_GBK" w:cs="方正仿宋_GBK"/>
          <w:color w:val="auto"/>
          <w:sz w:val="32"/>
          <w:szCs w:val="32"/>
        </w:rPr>
        <w:t>等相对封闭的内部等候区，可设置一个零售点，不受单元网格规划数及总量规划数限制。</w:t>
      </w:r>
    </w:p>
    <w:p w14:paraId="3BD21675">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部队、监狱、看守所、戒毒所等封闭式特殊区域，可设置一个零售点，不受单元网格规划数及总量规划数限制。</w:t>
      </w:r>
    </w:p>
    <w:p w14:paraId="09F593F8">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高速公路单侧加油站（含服务区）,可设置一个零售点</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不受单元网格规划数及总量规划数限制。</w:t>
      </w:r>
    </w:p>
    <w:p w14:paraId="57769FA8">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FF0000"/>
          <w:sz w:val="32"/>
          <w:szCs w:val="32"/>
        </w:rPr>
      </w:pPr>
      <w:r>
        <w:rPr>
          <w:rFonts w:hint="eastAsia" w:ascii="方正仿宋_GBK" w:hAnsi="方正仿宋_GBK" w:eastAsia="方正仿宋_GBK" w:cs="方正仿宋_GBK"/>
          <w:color w:val="FF0000"/>
          <w:sz w:val="32"/>
          <w:szCs w:val="32"/>
        </w:rPr>
        <w:t>经营场所经营面积（不包括仓库、车库、休息室、办公场所等辅助设施面积）达到</w:t>
      </w:r>
      <w:r>
        <w:rPr>
          <w:rFonts w:hint="eastAsia" w:ascii="方正仿宋_GBK" w:hAnsi="方正仿宋_GBK" w:eastAsia="方正仿宋_GBK" w:cs="方正仿宋_GBK"/>
          <w:color w:val="FF0000"/>
          <w:sz w:val="32"/>
          <w:szCs w:val="32"/>
          <w:lang w:val="en-US" w:eastAsia="zh-CN"/>
        </w:rPr>
        <w:t>200平方米及以上</w:t>
      </w:r>
      <w:r>
        <w:rPr>
          <w:rFonts w:hint="eastAsia" w:ascii="方正仿宋_GBK" w:hAnsi="方正仿宋_GBK" w:eastAsia="方正仿宋_GBK" w:cs="方正仿宋_GBK"/>
          <w:color w:val="FF0000"/>
          <w:sz w:val="32"/>
          <w:szCs w:val="32"/>
        </w:rPr>
        <w:t>的商场、超市、便利店或烟草专业店</w:t>
      </w:r>
      <w:r>
        <w:rPr>
          <w:rFonts w:hint="eastAsia" w:ascii="方正仿宋_GBK" w:hAnsi="方正仿宋_GBK" w:eastAsia="方正仿宋_GBK" w:cs="方正仿宋_GBK"/>
          <w:color w:val="FF0000"/>
          <w:sz w:val="32"/>
          <w:szCs w:val="32"/>
          <w:lang w:eastAsia="zh-CN"/>
        </w:rPr>
        <w:t>，</w:t>
      </w:r>
      <w:r>
        <w:rPr>
          <w:rFonts w:hint="eastAsia" w:ascii="方正仿宋_GBK" w:hAnsi="方正仿宋_GBK" w:eastAsia="方正仿宋_GBK" w:cs="方正仿宋_GBK"/>
          <w:color w:val="FF0000"/>
          <w:sz w:val="32"/>
          <w:szCs w:val="32"/>
        </w:rPr>
        <w:t>可设置一个零售点</w:t>
      </w:r>
      <w:r>
        <w:rPr>
          <w:rFonts w:hint="eastAsia" w:ascii="方正仿宋_GBK" w:hAnsi="方正仿宋_GBK" w:eastAsia="方正仿宋_GBK" w:cs="方正仿宋_GBK"/>
          <w:color w:val="FF0000"/>
          <w:sz w:val="32"/>
          <w:szCs w:val="32"/>
          <w:lang w:eastAsia="zh-CN"/>
        </w:rPr>
        <w:t>，</w:t>
      </w:r>
      <w:r>
        <w:rPr>
          <w:rFonts w:hint="eastAsia" w:ascii="方正仿宋_GBK" w:hAnsi="方正仿宋_GBK" w:eastAsia="方正仿宋_GBK" w:cs="方正仿宋_GBK"/>
          <w:color w:val="FF0000"/>
          <w:sz w:val="32"/>
          <w:szCs w:val="32"/>
        </w:rPr>
        <w:t>不受单元网格规划数及总量规划数限制。</w:t>
      </w:r>
    </w:p>
    <w:p w14:paraId="2950DEE1">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rPr>
        <w:t>本</w:t>
      </w:r>
      <w:r>
        <w:rPr>
          <w:rFonts w:hint="eastAsia" w:ascii="方正仿宋_GBK" w:hAnsi="方正仿宋_GBK" w:eastAsia="方正仿宋_GBK" w:cs="方正仿宋_GBK"/>
          <w:color w:val="auto"/>
          <w:sz w:val="32"/>
          <w:szCs w:val="32"/>
          <w:lang w:val="en-US" w:eastAsia="zh-CN"/>
        </w:rPr>
        <w:t>区</w:t>
      </w:r>
      <w:r>
        <w:rPr>
          <w:rFonts w:hint="eastAsia" w:ascii="方正仿宋_GBK" w:hAnsi="方正仿宋_GBK" w:eastAsia="方正仿宋_GBK" w:cs="方正仿宋_GBK"/>
          <w:color w:val="auto"/>
          <w:sz w:val="32"/>
          <w:szCs w:val="32"/>
        </w:rPr>
        <w:t>零售点合理布局规划数及规划区域、单元网格等情况详见《云南省玉溪市</w:t>
      </w:r>
      <w:r>
        <w:rPr>
          <w:rFonts w:hint="eastAsia" w:ascii="方正仿宋_GBK" w:hAnsi="方正仿宋_GBK" w:eastAsia="方正仿宋_GBK" w:cs="方正仿宋_GBK"/>
          <w:color w:val="auto"/>
          <w:sz w:val="32"/>
          <w:szCs w:val="32"/>
          <w:lang w:val="en-US" w:eastAsia="zh-CN"/>
        </w:rPr>
        <w:t>江川区</w:t>
      </w:r>
      <w:r>
        <w:rPr>
          <w:rFonts w:hint="eastAsia" w:ascii="方正仿宋_GBK" w:hAnsi="方正仿宋_GBK" w:eastAsia="方正仿宋_GBK" w:cs="方正仿宋_GBK"/>
          <w:color w:val="auto"/>
          <w:sz w:val="32"/>
          <w:szCs w:val="32"/>
        </w:rPr>
        <w:t>烟草制品零售点合理布局公示表》（附件2）及《云南省玉溪市</w:t>
      </w:r>
      <w:r>
        <w:rPr>
          <w:rFonts w:hint="eastAsia" w:ascii="方正仿宋_GBK" w:hAnsi="方正仿宋_GBK" w:eastAsia="方正仿宋_GBK" w:cs="方正仿宋_GBK"/>
          <w:color w:val="auto"/>
          <w:sz w:val="32"/>
          <w:szCs w:val="32"/>
          <w:lang w:val="en-US" w:eastAsia="zh-CN"/>
        </w:rPr>
        <w:t>江川区</w:t>
      </w:r>
      <w:r>
        <w:rPr>
          <w:rFonts w:hint="eastAsia" w:ascii="方正仿宋_GBK" w:hAnsi="方正仿宋_GBK" w:eastAsia="方正仿宋_GBK" w:cs="方正仿宋_GBK"/>
          <w:color w:val="auto"/>
          <w:sz w:val="32"/>
          <w:szCs w:val="32"/>
        </w:rPr>
        <w:t>烟草制品零售点合理布局网格示意图》（附件3）。</w:t>
      </w:r>
    </w:p>
    <w:p w14:paraId="509EA299">
      <w:pPr>
        <w:pStyle w:val="8"/>
        <w:keepNext w:val="0"/>
        <w:keepLines w:val="0"/>
        <w:pageBreakBefore w:val="0"/>
        <w:widowControl w:val="0"/>
        <w:numPr>
          <w:ilvl w:val="0"/>
          <w:numId w:val="1"/>
        </w:numPr>
        <w:kinsoku/>
        <w:wordWrap/>
        <w:overflowPunct/>
        <w:topLinePunct w:val="0"/>
        <w:autoSpaceDE/>
        <w:autoSpaceDN/>
        <w:bidi w:val="0"/>
        <w:adjustRightInd/>
        <w:snapToGrid w:val="0"/>
        <w:spacing w:before="0" w:after="0" w:line="590" w:lineRule="exact"/>
        <w:ind w:left="0" w:leftChars="0" w:firstLine="0" w:firstLineChars="0"/>
        <w:textAlignment w:val="baseline"/>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雪茄烟专营零售点布局标准</w:t>
      </w:r>
    </w:p>
    <w:p w14:paraId="2676886D">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本章适用于</w:t>
      </w:r>
      <w:r>
        <w:rPr>
          <w:rFonts w:hint="eastAsia" w:ascii="方正仿宋_GBK" w:hAnsi="方正仿宋_GBK" w:eastAsia="方正仿宋_GBK" w:cs="方正仿宋_GBK"/>
          <w:color w:val="auto"/>
          <w:sz w:val="32"/>
          <w:szCs w:val="32"/>
          <w:lang w:val="en-US" w:eastAsia="zh-CN"/>
        </w:rPr>
        <w:t>经营范围仅为</w:t>
      </w:r>
      <w:r>
        <w:rPr>
          <w:rFonts w:hint="eastAsia" w:ascii="方正仿宋_GBK" w:hAnsi="方正仿宋_GBK" w:eastAsia="方正仿宋_GBK" w:cs="方正仿宋_GBK"/>
          <w:color w:val="auto"/>
          <w:sz w:val="32"/>
          <w:szCs w:val="32"/>
        </w:rPr>
        <w:t>雪茄烟</w:t>
      </w:r>
      <w:r>
        <w:rPr>
          <w:rFonts w:hint="eastAsia" w:ascii="方正仿宋_GBK" w:hAnsi="方正仿宋_GBK" w:eastAsia="方正仿宋_GBK" w:cs="方正仿宋_GBK"/>
          <w:color w:val="auto"/>
          <w:sz w:val="32"/>
          <w:szCs w:val="32"/>
          <w:lang w:val="en-US" w:eastAsia="zh-CN"/>
        </w:rPr>
        <w:t>本店零售的零售点布局管理</w:t>
      </w:r>
      <w:r>
        <w:rPr>
          <w:rFonts w:hint="eastAsia" w:ascii="方正仿宋_GBK" w:hAnsi="方正仿宋_GBK" w:eastAsia="方正仿宋_GBK" w:cs="方正仿宋_GBK"/>
          <w:color w:val="auto"/>
          <w:sz w:val="32"/>
          <w:szCs w:val="32"/>
        </w:rPr>
        <w:t>。</w:t>
      </w:r>
    </w:p>
    <w:p w14:paraId="06BB5C5D">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雪茄烟专营零售点数量实行总量控制、动态调整模式，</w:t>
      </w:r>
      <w:r>
        <w:rPr>
          <w:rFonts w:hint="eastAsia" w:ascii="方正仿宋_GBK" w:hAnsi="方正仿宋_GBK" w:eastAsia="方正仿宋_GBK" w:cs="方正仿宋_GBK"/>
          <w:color w:val="auto"/>
          <w:spacing w:val="10"/>
          <w:sz w:val="32"/>
          <w:szCs w:val="32"/>
          <w:lang w:val="en-US" w:eastAsia="zh-CN"/>
        </w:rPr>
        <w:t>且不受其他烟草制品（含电子烟）零售点距离限制，</w:t>
      </w:r>
      <w:r>
        <w:rPr>
          <w:rFonts w:hint="eastAsia" w:ascii="方正仿宋_GBK" w:hAnsi="方正仿宋_GBK" w:eastAsia="方正仿宋_GBK" w:cs="方正仿宋_GBK"/>
          <w:color w:val="auto"/>
          <w:spacing w:val="10"/>
          <w:sz w:val="32"/>
          <w:szCs w:val="32"/>
        </w:rPr>
        <w:t>规划数详见《云南省玉溪市</w:t>
      </w:r>
      <w:r>
        <w:rPr>
          <w:rFonts w:hint="eastAsia" w:ascii="方正仿宋_GBK" w:hAnsi="方正仿宋_GBK" w:eastAsia="方正仿宋_GBK" w:cs="方正仿宋_GBK"/>
          <w:color w:val="auto"/>
          <w:spacing w:val="10"/>
          <w:sz w:val="32"/>
          <w:szCs w:val="32"/>
          <w:lang w:val="en-US" w:eastAsia="zh-CN"/>
        </w:rPr>
        <w:t>江川区</w:t>
      </w:r>
      <w:r>
        <w:rPr>
          <w:rFonts w:hint="eastAsia" w:ascii="方正仿宋_GBK" w:hAnsi="方正仿宋_GBK" w:eastAsia="方正仿宋_GBK" w:cs="方正仿宋_GBK"/>
          <w:color w:val="auto"/>
          <w:spacing w:val="10"/>
          <w:sz w:val="32"/>
          <w:szCs w:val="32"/>
        </w:rPr>
        <w:t>雪茄烟专营零售点合理布局公示表》</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lang w:val="en-US" w:eastAsia="zh-CN"/>
        </w:rPr>
        <w:t>附件4</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rPr>
        <w:t>。</w:t>
      </w:r>
    </w:p>
    <w:p w14:paraId="2A689FF9">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4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z w:val="32"/>
          <w:szCs w:val="32"/>
        </w:rPr>
        <w:t>取得雪茄烟本店零售许可的经营主体如需变更烟草专卖零售许可相关事项的，必须满足本规划</w:t>
      </w:r>
      <w:r>
        <w:rPr>
          <w:rFonts w:hint="eastAsia" w:ascii="方正仿宋_GBK" w:hAnsi="方正仿宋_GBK" w:eastAsia="方正仿宋_GBK" w:cs="方正仿宋_GBK"/>
          <w:color w:val="auto"/>
          <w:sz w:val="32"/>
          <w:szCs w:val="32"/>
          <w:lang w:val="en-US" w:eastAsia="zh-CN"/>
        </w:rPr>
        <w:t>及《云南省电子烟零售点布局规划》</w:t>
      </w:r>
      <w:r>
        <w:rPr>
          <w:rFonts w:hint="eastAsia" w:ascii="方正仿宋_GBK" w:hAnsi="方正仿宋_GBK" w:eastAsia="方正仿宋_GBK" w:cs="方正仿宋_GBK"/>
          <w:color w:val="auto"/>
          <w:sz w:val="32"/>
          <w:szCs w:val="32"/>
        </w:rPr>
        <w:t>相关条件并按照有关规定办理。</w:t>
      </w:r>
    </w:p>
    <w:p w14:paraId="29F6D1A2">
      <w:pPr>
        <w:pStyle w:val="8"/>
        <w:keepNext w:val="0"/>
        <w:keepLines w:val="0"/>
        <w:pageBreakBefore w:val="0"/>
        <w:widowControl w:val="0"/>
        <w:numPr>
          <w:ilvl w:val="0"/>
          <w:numId w:val="1"/>
        </w:numPr>
        <w:kinsoku/>
        <w:wordWrap/>
        <w:overflowPunct/>
        <w:topLinePunct w:val="0"/>
        <w:autoSpaceDE/>
        <w:autoSpaceDN/>
        <w:bidi w:val="0"/>
        <w:adjustRightInd/>
        <w:snapToGrid w:val="0"/>
        <w:spacing w:before="0" w:after="0" w:line="590" w:lineRule="exact"/>
        <w:ind w:left="0" w:leftChars="0" w:firstLine="0" w:firstLineChars="0"/>
        <w:textAlignment w:val="baseline"/>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放宽及限制情形</w:t>
      </w:r>
    </w:p>
    <w:p w14:paraId="35C4C115">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具有下列情形之一的，不予发放烟草专卖零售许可证：</w:t>
      </w:r>
    </w:p>
    <w:p w14:paraId="78C6D1E9">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lang w:eastAsia="zh-CN"/>
        </w:rPr>
      </w:pPr>
      <w:r>
        <w:rPr>
          <w:rFonts w:hint="eastAsia" w:ascii="方正仿宋_GBK" w:hAnsi="方正仿宋_GBK" w:eastAsia="方正仿宋_GBK" w:cs="方正仿宋_GBK"/>
          <w:color w:val="auto"/>
          <w:spacing w:val="10"/>
          <w:sz w:val="32"/>
          <w:szCs w:val="32"/>
        </w:rPr>
        <w:t>（一）申请人为无民事行为能力人或者限制民事行为能力人的</w:t>
      </w:r>
      <w:r>
        <w:rPr>
          <w:rFonts w:hint="eastAsia" w:ascii="方正仿宋_GBK" w:hAnsi="方正仿宋_GBK" w:eastAsia="方正仿宋_GBK" w:cs="方正仿宋_GBK"/>
          <w:color w:val="auto"/>
          <w:spacing w:val="10"/>
          <w:sz w:val="32"/>
          <w:szCs w:val="32"/>
          <w:lang w:eastAsia="zh-CN"/>
        </w:rPr>
        <w:t>；</w:t>
      </w:r>
    </w:p>
    <w:p w14:paraId="18744276">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lang w:eastAsia="zh-CN"/>
        </w:rPr>
      </w:pPr>
      <w:r>
        <w:rPr>
          <w:rFonts w:hint="eastAsia" w:ascii="方正仿宋_GBK" w:hAnsi="方正仿宋_GBK" w:eastAsia="方正仿宋_GBK" w:cs="方正仿宋_GBK"/>
          <w:color w:val="auto"/>
          <w:spacing w:val="10"/>
          <w:sz w:val="32"/>
          <w:szCs w:val="32"/>
        </w:rPr>
        <w:t>（二）申请人隐瞒有关情况或提供虚假材料的；因隐瞒有关情况或者提供虚假材料，烟草专卖局作出不予受理或者不予发证决定后，申请人一年内再次提出申请的</w:t>
      </w:r>
      <w:r>
        <w:rPr>
          <w:rFonts w:hint="eastAsia" w:ascii="方正仿宋_GBK" w:hAnsi="方正仿宋_GBK" w:eastAsia="方正仿宋_GBK" w:cs="方正仿宋_GBK"/>
          <w:color w:val="auto"/>
          <w:spacing w:val="10"/>
          <w:sz w:val="32"/>
          <w:szCs w:val="32"/>
          <w:lang w:eastAsia="zh-CN"/>
        </w:rPr>
        <w:t>；</w:t>
      </w:r>
    </w:p>
    <w:p w14:paraId="637E78BB">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lang w:eastAsia="zh-CN"/>
        </w:rPr>
      </w:pPr>
      <w:r>
        <w:rPr>
          <w:rFonts w:hint="eastAsia" w:ascii="方正仿宋_GBK" w:hAnsi="方正仿宋_GBK" w:eastAsia="方正仿宋_GBK" w:cs="方正仿宋_GBK"/>
          <w:color w:val="auto"/>
          <w:spacing w:val="10"/>
          <w:sz w:val="32"/>
          <w:szCs w:val="32"/>
        </w:rPr>
        <w:t>（三）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r>
        <w:rPr>
          <w:rFonts w:hint="eastAsia" w:ascii="方正仿宋_GBK" w:hAnsi="方正仿宋_GBK" w:eastAsia="方正仿宋_GBK" w:cs="方正仿宋_GBK"/>
          <w:color w:val="auto"/>
          <w:spacing w:val="10"/>
          <w:sz w:val="32"/>
          <w:szCs w:val="32"/>
          <w:lang w:eastAsia="zh-CN"/>
        </w:rPr>
        <w:t>；</w:t>
      </w:r>
    </w:p>
    <w:p w14:paraId="03B5B121">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lang w:eastAsia="zh-CN"/>
        </w:rPr>
      </w:pPr>
      <w:r>
        <w:rPr>
          <w:rFonts w:hint="eastAsia" w:ascii="方正仿宋_GBK" w:hAnsi="方正仿宋_GBK" w:eastAsia="方正仿宋_GBK" w:cs="方正仿宋_GBK"/>
          <w:color w:val="auto"/>
          <w:spacing w:val="10"/>
          <w:sz w:val="32"/>
          <w:szCs w:val="32"/>
        </w:rPr>
        <w:t>（四）外商投资的商业企业或者个体工商户，但有外资成分以提供住宿、餐饮、休闲、娱乐为主要经营的宾馆、酒店等属于娱乐服务类的企业除外</w:t>
      </w:r>
      <w:r>
        <w:rPr>
          <w:rFonts w:hint="eastAsia" w:ascii="方正仿宋_GBK" w:hAnsi="方正仿宋_GBK" w:eastAsia="方正仿宋_GBK" w:cs="方正仿宋_GBK"/>
          <w:color w:val="auto"/>
          <w:spacing w:val="10"/>
          <w:sz w:val="32"/>
          <w:szCs w:val="32"/>
          <w:lang w:eastAsia="zh-CN"/>
        </w:rPr>
        <w:t>；</w:t>
      </w:r>
    </w:p>
    <w:p w14:paraId="753F1BA8">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（五）无固定经营场所的：包括但不限于流动的摊、点、车、棚、简易板房、活动板房</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lang w:val="en-US" w:eastAsia="zh-CN"/>
        </w:rPr>
        <w:t>彩钢房</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rPr>
        <w:t>、临时占道的建筑等；</w:t>
      </w:r>
    </w:p>
    <w:p w14:paraId="6B27D943">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（六）经营场所与住所不相独立的：包括但不限于经营场所为与住所可连通通行的客厅、餐厅、卧室、阳台、地下室、车库、储藏室等或居民楼内公用通道、楼梯间等；</w:t>
      </w:r>
    </w:p>
    <w:p w14:paraId="5711A41C">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（七）经营场所已经办理了仍在有效期内的烟草专卖零售许可证的</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rPr>
        <w:t>经营场所位于党政机关内部的</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rPr>
        <w:t>经营场所基于安全因素不适宜经营卷烟的；</w:t>
      </w:r>
    </w:p>
    <w:p w14:paraId="76DDEAB8">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（八）中小学、幼儿园学生正常出入的校门口（含通道）</w:t>
      </w:r>
      <w:r>
        <w:rPr>
          <w:rFonts w:hint="eastAsia" w:ascii="方正仿宋_GBK" w:hAnsi="方正仿宋_GBK" w:eastAsia="方正仿宋_GBK" w:cs="方正仿宋_GBK"/>
          <w:color w:val="auto"/>
          <w:spacing w:val="10"/>
          <w:sz w:val="32"/>
          <w:szCs w:val="32"/>
          <w:lang w:val="en-US" w:eastAsia="zh-CN"/>
        </w:rPr>
        <w:t>60</w:t>
      </w:r>
      <w:r>
        <w:rPr>
          <w:rFonts w:hint="eastAsia" w:ascii="方正仿宋_GBK" w:hAnsi="方正仿宋_GBK" w:eastAsia="方正仿宋_GBK" w:cs="方正仿宋_GBK"/>
          <w:color w:val="auto"/>
          <w:spacing w:val="10"/>
          <w:sz w:val="32"/>
          <w:szCs w:val="32"/>
        </w:rPr>
        <w:t>米以内；</w:t>
      </w:r>
    </w:p>
    <w:p w14:paraId="3246F342">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lang w:eastAsia="zh-CN"/>
        </w:rPr>
      </w:pPr>
      <w:r>
        <w:rPr>
          <w:rFonts w:hint="eastAsia" w:ascii="方正仿宋_GBK" w:hAnsi="方正仿宋_GBK" w:eastAsia="方正仿宋_GBK" w:cs="方正仿宋_GBK"/>
          <w:color w:val="auto"/>
          <w:spacing w:val="10"/>
          <w:sz w:val="32"/>
          <w:szCs w:val="32"/>
        </w:rPr>
        <w:t>（九）利用自动售货机或者其他自动售货形式，销售或者变相销售烟草制品的，或者通过信息网络销售烟草专卖品的</w:t>
      </w:r>
      <w:r>
        <w:rPr>
          <w:rFonts w:hint="eastAsia" w:ascii="方正仿宋_GBK" w:hAnsi="方正仿宋_GBK" w:eastAsia="方正仿宋_GBK" w:cs="方正仿宋_GBK"/>
          <w:color w:val="auto"/>
          <w:spacing w:val="10"/>
          <w:sz w:val="32"/>
          <w:szCs w:val="32"/>
          <w:lang w:eastAsia="zh-CN"/>
        </w:rPr>
        <w:t>；</w:t>
      </w:r>
    </w:p>
    <w:p w14:paraId="45C28E2B">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（十）经营业态存在容易诱导未成年人关注、购买、吸食卷烟或其他不利于未成年人保护的；经营业态专业性较强，且与烟草制品零售业务没有直接或间接互补营销关系的；</w:t>
      </w:r>
    </w:p>
    <w:p w14:paraId="7C1EC078">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（十一）法律、法规、规章、规范性文件等规定的其他不予许可的情形。</w:t>
      </w:r>
    </w:p>
    <w:p w14:paraId="5F0A86B2">
      <w:pPr>
        <w:keepNext w:val="0"/>
        <w:keepLines w:val="0"/>
        <w:pageBreakBefore w:val="0"/>
        <w:widowControl w:val="0"/>
        <w:numPr>
          <w:ilvl w:val="2"/>
          <w:numId w:val="2"/>
        </w:numPr>
        <w:kinsoku/>
        <w:wordWrap/>
        <w:overflowPunct/>
        <w:topLinePunct w:val="0"/>
        <w:autoSpaceDE/>
        <w:autoSpaceDN/>
        <w:bidi w:val="0"/>
        <w:adjustRightInd/>
        <w:snapToGrid/>
        <w:spacing w:line="590" w:lineRule="exact"/>
        <w:ind w:left="0" w:leftChars="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优抚对象、社会弱势群体等特殊群体申请</w:t>
      </w:r>
      <w:r>
        <w:rPr>
          <w:rFonts w:hint="eastAsia" w:ascii="方正仿宋_GBK" w:hAnsi="方正仿宋_GBK" w:eastAsia="方正仿宋_GBK" w:cs="方正仿宋_GBK"/>
          <w:color w:val="auto"/>
          <w:sz w:val="32"/>
          <w:szCs w:val="32"/>
        </w:rPr>
        <w:t>烟草专卖</w:t>
      </w:r>
      <w:r>
        <w:rPr>
          <w:rFonts w:hint="eastAsia" w:ascii="方正仿宋_GBK" w:hAnsi="方正仿宋_GBK" w:eastAsia="方正仿宋_GBK" w:cs="方正仿宋_GBK"/>
          <w:color w:val="auto"/>
          <w:spacing w:val="10"/>
          <w:sz w:val="32"/>
          <w:szCs w:val="32"/>
          <w:highlight w:val="none"/>
          <w:lang w:val="en-US"/>
        </w:rPr>
        <w:t>零售许可证的，受所在单元网格规划数限制，零售点间距可放宽至本单元网格间距标准的80%执行。本规定政策，同一特殊群体申请人在云南省内仅适用一次。</w:t>
      </w:r>
    </w:p>
    <w:p w14:paraId="412CAA3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本条所称优抚对象、社会弱势群体是指：</w:t>
      </w:r>
    </w:p>
    <w:p w14:paraId="50E44CA9">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（一）烈士家属、因公牺牲军人家属；见义勇为牺牲人员家属</w:t>
      </w:r>
      <w:r>
        <w:rPr>
          <w:rFonts w:hint="eastAsia" w:ascii="方正仿宋_GBK" w:hAnsi="方正仿宋_GBK" w:eastAsia="方正仿宋_GBK" w:cs="方正仿宋_GBK"/>
          <w:color w:val="auto"/>
          <w:spacing w:val="10"/>
          <w:sz w:val="32"/>
          <w:szCs w:val="32"/>
          <w:highlight w:val="none"/>
          <w:lang w:val="en-US" w:eastAsia="zh-CN"/>
        </w:rPr>
        <w:t>；</w:t>
      </w:r>
      <w:r>
        <w:rPr>
          <w:rFonts w:hint="eastAsia" w:ascii="方正仿宋_GBK" w:hAnsi="方正仿宋_GBK" w:eastAsia="方正仿宋_GBK" w:cs="方正仿宋_GBK"/>
          <w:color w:val="FF0000"/>
          <w:spacing w:val="10"/>
          <w:sz w:val="32"/>
          <w:szCs w:val="32"/>
          <w:highlight w:val="none"/>
          <w:lang w:val="en-US" w:eastAsia="zh-CN"/>
        </w:rPr>
        <w:t>病故军人遗属</w:t>
      </w:r>
      <w:r>
        <w:rPr>
          <w:rFonts w:hint="eastAsia" w:ascii="方正仿宋_GBK" w:hAnsi="方正仿宋_GBK" w:eastAsia="方正仿宋_GBK" w:cs="方正仿宋_GBK"/>
          <w:color w:val="auto"/>
          <w:spacing w:val="10"/>
          <w:sz w:val="32"/>
          <w:szCs w:val="32"/>
          <w:highlight w:val="none"/>
          <w:lang w:val="en-US"/>
        </w:rPr>
        <w:t>。（本条中的家属包括父母、子女、配偶。）</w:t>
      </w:r>
    </w:p>
    <w:p w14:paraId="21CA79F0">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（二）符合以下条件之一，具有从事烟草专卖零售经营业务相应能力，且具有完全民事行为能力的残疾人：</w:t>
      </w:r>
    </w:p>
    <w:p w14:paraId="6A84B8E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eastAsia="zh-CN"/>
        </w:rPr>
      </w:pPr>
      <w:r>
        <w:rPr>
          <w:rFonts w:hint="eastAsia" w:ascii="方正仿宋_GBK" w:hAnsi="方正仿宋_GBK" w:eastAsia="方正仿宋_GBK" w:cs="方正仿宋_GBK"/>
          <w:color w:val="auto"/>
          <w:spacing w:val="10"/>
          <w:sz w:val="32"/>
          <w:szCs w:val="32"/>
          <w:highlight w:val="none"/>
          <w:lang w:val="en-US" w:eastAsia="zh-CN"/>
        </w:rPr>
        <w:t>视力残疾：一级盲、二级盲；</w:t>
      </w:r>
    </w:p>
    <w:p w14:paraId="182D8DE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听力残疾：一级、二级；</w:t>
      </w:r>
    </w:p>
    <w:p w14:paraId="527DA0B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言语残疾：一级、二级；</w:t>
      </w:r>
    </w:p>
    <w:p w14:paraId="43A31825">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肢体残疾：重度（一级）、中度（二级）。</w:t>
      </w:r>
    </w:p>
    <w:p w14:paraId="17B8974B">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国家明文给予政策扶持，确实具有需要扶持照顾的其他特殊情况的优抚对象，经属地烟草专卖局集体研究并向上级烟草专卖局报备，可以放宽办证条件。申请人应提交合法有效的证明文件。</w:t>
      </w:r>
    </w:p>
    <w:p w14:paraId="4E1A9E01">
      <w:pPr>
        <w:keepNext w:val="0"/>
        <w:keepLines w:val="0"/>
        <w:pageBreakBefore w:val="0"/>
        <w:widowControl w:val="0"/>
        <w:numPr>
          <w:ilvl w:val="2"/>
          <w:numId w:val="2"/>
        </w:numPr>
        <w:kinsoku/>
        <w:wordWrap/>
        <w:overflowPunct/>
        <w:topLinePunct w:val="0"/>
        <w:autoSpaceDE/>
        <w:autoSpaceDN/>
        <w:bidi w:val="0"/>
        <w:adjustRightInd/>
        <w:snapToGrid/>
        <w:spacing w:line="590" w:lineRule="exact"/>
        <w:ind w:left="0" w:leftChars="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eastAsia="zh-CN"/>
        </w:rPr>
      </w:pPr>
      <w:bookmarkStart w:id="0" w:name="_Ref300238533"/>
      <w:r>
        <w:rPr>
          <w:rFonts w:hint="eastAsia" w:ascii="方正仿宋_GBK" w:hAnsi="方正仿宋_GBK" w:eastAsia="方正仿宋_GBK" w:cs="方正仿宋_GBK"/>
          <w:color w:val="auto"/>
          <w:spacing w:val="10"/>
          <w:sz w:val="32"/>
          <w:szCs w:val="32"/>
          <w:highlight w:val="none"/>
          <w:lang w:val="en-US" w:eastAsia="zh-CN"/>
        </w:rPr>
        <w:t>因道路规划、城市建设等客观原因，造成持证人无法在原核定地址经营之日起三十日内，持证人申请变更到本单元网格内新址经营的，不受所在单元网格规划数限制，零售点间距可放宽至本单元网格间距标准的40%执行。</w:t>
      </w:r>
      <w:bookmarkEnd w:id="0"/>
    </w:p>
    <w:p w14:paraId="25B34DD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申请变更到</w:t>
      </w:r>
      <w:r>
        <w:rPr>
          <w:rFonts w:hint="eastAsia" w:ascii="方正仿宋_GBK" w:hAnsi="方正仿宋_GBK" w:eastAsia="方正仿宋_GBK" w:cs="方正仿宋_GBK"/>
          <w:color w:val="auto"/>
          <w:spacing w:val="10"/>
          <w:sz w:val="32"/>
          <w:szCs w:val="32"/>
          <w:highlight w:val="none"/>
          <w:lang w:val="en-US" w:eastAsia="zh-CN"/>
        </w:rPr>
        <w:t>本区</w:t>
      </w:r>
      <w:r>
        <w:rPr>
          <w:rFonts w:hint="eastAsia" w:ascii="方正仿宋_GBK" w:hAnsi="方正仿宋_GBK" w:eastAsia="方正仿宋_GBK" w:cs="方正仿宋_GBK"/>
          <w:color w:val="auto"/>
          <w:spacing w:val="10"/>
          <w:sz w:val="32"/>
          <w:szCs w:val="32"/>
          <w:highlight w:val="none"/>
          <w:lang w:val="en-US"/>
        </w:rPr>
        <w:t>其他单元网格的，受所在单元网格规划数限制，零售点间距可放宽至本单元网格间距标准的80%执行。</w:t>
      </w:r>
    </w:p>
    <w:p w14:paraId="52B04909">
      <w:pPr>
        <w:keepNext w:val="0"/>
        <w:keepLines w:val="0"/>
        <w:pageBreakBefore w:val="0"/>
        <w:widowControl w:val="0"/>
        <w:numPr>
          <w:ilvl w:val="2"/>
          <w:numId w:val="2"/>
        </w:numPr>
        <w:kinsoku/>
        <w:wordWrap/>
        <w:overflowPunct/>
        <w:topLinePunct w:val="0"/>
        <w:autoSpaceDE/>
        <w:autoSpaceDN/>
        <w:bidi w:val="0"/>
        <w:adjustRightInd/>
        <w:snapToGrid/>
        <w:spacing w:line="590" w:lineRule="exact"/>
        <w:ind w:left="0" w:leftChars="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eastAsia="zh-CN"/>
        </w:rPr>
      </w:pPr>
      <w:bookmarkStart w:id="1" w:name="_Ref301062076"/>
      <w:r>
        <w:rPr>
          <w:rFonts w:hint="eastAsia" w:ascii="方正仿宋_GBK" w:hAnsi="方正仿宋_GBK" w:eastAsia="方正仿宋_GBK" w:cs="方正仿宋_GBK"/>
          <w:color w:val="auto"/>
          <w:spacing w:val="10"/>
          <w:sz w:val="32"/>
          <w:szCs w:val="32"/>
          <w:highlight w:val="none"/>
          <w:lang w:val="en-US" w:eastAsia="zh-CN"/>
        </w:rPr>
        <w:t>因中小学及幼儿园新建、改扩建等客观原因，造成持证人无法在原核定地址经营之日起三十日内，持证人申请歇业并在原单元网格内新址申请新办的，不受所在单元网格规划数限制，零售点间距可放宽至本单元网格间距标准的40%执行。</w:t>
      </w:r>
      <w:bookmarkEnd w:id="1"/>
    </w:p>
    <w:p w14:paraId="2944FE5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val="en-US"/>
        </w:rPr>
        <w:t>在</w:t>
      </w:r>
      <w:r>
        <w:rPr>
          <w:rFonts w:hint="eastAsia" w:ascii="方正仿宋_GBK" w:hAnsi="方正仿宋_GBK" w:eastAsia="方正仿宋_GBK" w:cs="方正仿宋_GBK"/>
          <w:color w:val="auto"/>
          <w:spacing w:val="10"/>
          <w:sz w:val="32"/>
          <w:szCs w:val="32"/>
          <w:highlight w:val="none"/>
          <w:lang w:val="en-US" w:eastAsia="zh-CN"/>
        </w:rPr>
        <w:t>本区</w:t>
      </w:r>
      <w:r>
        <w:rPr>
          <w:rFonts w:hint="eastAsia" w:ascii="方正仿宋_GBK" w:hAnsi="方正仿宋_GBK" w:eastAsia="方正仿宋_GBK" w:cs="方正仿宋_GBK"/>
          <w:color w:val="auto"/>
          <w:spacing w:val="10"/>
          <w:sz w:val="32"/>
          <w:szCs w:val="32"/>
          <w:highlight w:val="none"/>
          <w:lang w:val="en-US"/>
        </w:rPr>
        <w:t>其他单元网格申请新办的，受所在单元网格规划数限制，间距标准可放宽至本单元网格间距标准的80%执行。</w:t>
      </w:r>
    </w:p>
    <w:p w14:paraId="307281E4">
      <w:pPr>
        <w:keepNext w:val="0"/>
        <w:keepLines w:val="0"/>
        <w:pageBreakBefore w:val="0"/>
        <w:widowControl w:val="0"/>
        <w:numPr>
          <w:ilvl w:val="2"/>
          <w:numId w:val="2"/>
        </w:numPr>
        <w:kinsoku/>
        <w:wordWrap/>
        <w:overflowPunct/>
        <w:topLinePunct w:val="0"/>
        <w:autoSpaceDE/>
        <w:autoSpaceDN/>
        <w:bidi w:val="0"/>
        <w:adjustRightInd/>
        <w:snapToGrid/>
        <w:spacing w:line="590" w:lineRule="exact"/>
        <w:ind w:left="0" w:leftChars="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FF0000"/>
          <w:spacing w:val="10"/>
          <w:sz w:val="32"/>
          <w:szCs w:val="32"/>
          <w:highlight w:val="none"/>
          <w:lang w:val="en-US" w:eastAsia="zh-CN"/>
        </w:rPr>
        <w:t>在原发证机关辖区范围内连续经营5年以上，且最近连续3年无涉烟违法违规记录的持证户，因租金上涨、租赁期满等客观原因不能在原核定地址经营，经营主体未发生改变，在办理许可证歇业后6个月内，持证人申请在原单元网格新址上新办零售许可证的，不受所在单元网格规划数限制，零售点间距可放宽至本单元网格间距标准的40%执行。</w:t>
      </w:r>
      <w:bookmarkStart w:id="2" w:name="_GoBack"/>
      <w:bookmarkEnd w:id="2"/>
    </w:p>
    <w:p w14:paraId="2A35DB94">
      <w:pPr>
        <w:pStyle w:val="8"/>
        <w:keepNext w:val="0"/>
        <w:keepLines w:val="0"/>
        <w:pageBreakBefore w:val="0"/>
        <w:widowControl w:val="0"/>
        <w:numPr>
          <w:ilvl w:val="0"/>
          <w:numId w:val="1"/>
        </w:numPr>
        <w:kinsoku/>
        <w:wordWrap/>
        <w:overflowPunct/>
        <w:topLinePunct w:val="0"/>
        <w:autoSpaceDE/>
        <w:autoSpaceDN/>
        <w:bidi w:val="0"/>
        <w:adjustRightInd/>
        <w:snapToGrid w:val="0"/>
        <w:spacing w:before="0" w:after="0" w:line="590" w:lineRule="exact"/>
        <w:ind w:left="0" w:leftChars="0" w:firstLine="0" w:firstLineChars="0"/>
        <w:textAlignment w:val="baseline"/>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附则</w:t>
      </w:r>
    </w:p>
    <w:p w14:paraId="1873438E">
      <w:pPr>
        <w:keepNext w:val="0"/>
        <w:keepLines w:val="0"/>
        <w:pageBreakBefore w:val="0"/>
        <w:widowControl w:val="0"/>
        <w:numPr>
          <w:ilvl w:val="2"/>
          <w:numId w:val="2"/>
        </w:numPr>
        <w:kinsoku/>
        <w:wordWrap/>
        <w:overflowPunct/>
        <w:topLinePunct w:val="0"/>
        <w:autoSpaceDE/>
        <w:autoSpaceDN/>
        <w:bidi w:val="0"/>
        <w:adjustRightInd/>
        <w:snapToGrid/>
        <w:spacing w:line="590" w:lineRule="exact"/>
        <w:ind w:left="0" w:leftChars="0" w:right="0" w:firstLine="680" w:firstLineChars="200"/>
        <w:jc w:val="left"/>
        <w:textAlignment w:val="auto"/>
        <w:rPr>
          <w:rFonts w:hint="eastAsia" w:ascii="方正仿宋_GBK" w:hAnsi="方正仿宋_GBK" w:eastAsia="方正仿宋_GBK" w:cs="方正仿宋_GBK"/>
          <w:color w:val="auto"/>
          <w:spacing w:val="10"/>
          <w:sz w:val="32"/>
          <w:szCs w:val="32"/>
          <w:highlight w:val="none"/>
          <w:lang w:val="en-US"/>
        </w:rPr>
      </w:pPr>
      <w:r>
        <w:rPr>
          <w:rFonts w:hint="eastAsia" w:ascii="方正仿宋_GBK" w:hAnsi="方正仿宋_GBK" w:eastAsia="方正仿宋_GBK" w:cs="方正仿宋_GBK"/>
          <w:color w:val="auto"/>
          <w:spacing w:val="10"/>
          <w:sz w:val="32"/>
          <w:szCs w:val="32"/>
          <w:highlight w:val="none"/>
          <w:lang w:eastAsia="zh-CN"/>
        </w:rPr>
        <w:t>本规划</w:t>
      </w:r>
      <w:r>
        <w:rPr>
          <w:rFonts w:hint="eastAsia" w:ascii="方正仿宋_GBK" w:hAnsi="方正仿宋_GBK" w:eastAsia="方正仿宋_GBK" w:cs="方正仿宋_GBK"/>
          <w:color w:val="auto"/>
          <w:spacing w:val="10"/>
          <w:sz w:val="32"/>
          <w:szCs w:val="32"/>
          <w:highlight w:val="none"/>
        </w:rPr>
        <w:t>实施后如</w:t>
      </w:r>
      <w:r>
        <w:rPr>
          <w:rFonts w:hint="eastAsia" w:ascii="方正仿宋_GBK" w:hAnsi="方正仿宋_GBK" w:eastAsia="方正仿宋_GBK" w:cs="方正仿宋_GBK"/>
          <w:color w:val="auto"/>
          <w:spacing w:val="10"/>
          <w:sz w:val="32"/>
          <w:szCs w:val="32"/>
          <w:highlight w:val="none"/>
          <w:lang w:val="en-US" w:eastAsia="zh-CN"/>
        </w:rPr>
        <w:t>遇</w:t>
      </w:r>
      <w:r>
        <w:rPr>
          <w:rFonts w:hint="eastAsia" w:ascii="方正仿宋_GBK" w:hAnsi="方正仿宋_GBK" w:eastAsia="方正仿宋_GBK" w:cs="方正仿宋_GBK"/>
          <w:color w:val="auto"/>
          <w:spacing w:val="10"/>
          <w:sz w:val="32"/>
          <w:szCs w:val="32"/>
          <w:highlight w:val="none"/>
        </w:rPr>
        <w:t>相关</w:t>
      </w:r>
      <w:r>
        <w:rPr>
          <w:rFonts w:hint="eastAsia" w:ascii="方正仿宋_GBK" w:hAnsi="方正仿宋_GBK" w:eastAsia="方正仿宋_GBK" w:cs="方正仿宋_GBK"/>
          <w:color w:val="auto"/>
          <w:spacing w:val="10"/>
          <w:sz w:val="32"/>
          <w:szCs w:val="32"/>
          <w:highlight w:val="none"/>
          <w:lang w:eastAsia="zh-CN"/>
        </w:rPr>
        <w:t>法律法规、</w:t>
      </w:r>
      <w:r>
        <w:rPr>
          <w:rFonts w:hint="eastAsia" w:ascii="方正仿宋_GBK" w:hAnsi="方正仿宋_GBK" w:eastAsia="方正仿宋_GBK" w:cs="方正仿宋_GBK"/>
          <w:color w:val="auto"/>
          <w:spacing w:val="10"/>
          <w:sz w:val="32"/>
          <w:szCs w:val="32"/>
          <w:highlight w:val="none"/>
          <w:lang w:val="en-US" w:eastAsia="zh-CN"/>
        </w:rPr>
        <w:t>规章及</w:t>
      </w:r>
      <w:r>
        <w:rPr>
          <w:rFonts w:hint="eastAsia" w:ascii="方正仿宋_GBK" w:hAnsi="方正仿宋_GBK" w:eastAsia="方正仿宋_GBK" w:cs="方正仿宋_GBK"/>
          <w:color w:val="auto"/>
          <w:spacing w:val="10"/>
          <w:sz w:val="32"/>
          <w:szCs w:val="32"/>
          <w:highlight w:val="none"/>
        </w:rPr>
        <w:t>规范性文件调整的，</w:t>
      </w:r>
      <w:r>
        <w:rPr>
          <w:rFonts w:hint="eastAsia" w:ascii="方正仿宋_GBK" w:hAnsi="方正仿宋_GBK" w:eastAsia="方正仿宋_GBK" w:cs="方正仿宋_GBK"/>
          <w:color w:val="auto"/>
          <w:spacing w:val="10"/>
          <w:sz w:val="32"/>
          <w:szCs w:val="32"/>
          <w:highlight w:val="none"/>
          <w:lang w:val="en-US" w:eastAsia="zh-CN"/>
        </w:rPr>
        <w:t>根据</w:t>
      </w:r>
      <w:r>
        <w:rPr>
          <w:rFonts w:hint="eastAsia" w:ascii="方正仿宋_GBK" w:hAnsi="方正仿宋_GBK" w:eastAsia="方正仿宋_GBK" w:cs="方正仿宋_GBK"/>
          <w:color w:val="auto"/>
          <w:spacing w:val="10"/>
          <w:sz w:val="32"/>
          <w:szCs w:val="32"/>
          <w:highlight w:val="none"/>
        </w:rPr>
        <w:t>最新规定</w:t>
      </w:r>
      <w:r>
        <w:rPr>
          <w:rFonts w:hint="eastAsia" w:ascii="方正仿宋_GBK" w:hAnsi="方正仿宋_GBK" w:eastAsia="方正仿宋_GBK" w:cs="方正仿宋_GBK"/>
          <w:color w:val="auto"/>
          <w:spacing w:val="10"/>
          <w:sz w:val="32"/>
          <w:szCs w:val="32"/>
          <w:highlight w:val="none"/>
          <w:lang w:val="en-US" w:eastAsia="zh-CN"/>
        </w:rPr>
        <w:t>进行调整，及时报当地本级人民政府法制部门备案后</w:t>
      </w:r>
      <w:r>
        <w:rPr>
          <w:rFonts w:hint="eastAsia" w:ascii="方正仿宋_GBK" w:hAnsi="方正仿宋_GBK" w:eastAsia="方正仿宋_GBK" w:cs="方正仿宋_GBK"/>
          <w:color w:val="auto"/>
          <w:spacing w:val="10"/>
          <w:sz w:val="32"/>
          <w:szCs w:val="32"/>
          <w:highlight w:val="none"/>
        </w:rPr>
        <w:t>公布</w:t>
      </w:r>
      <w:r>
        <w:rPr>
          <w:rFonts w:hint="eastAsia" w:ascii="方正仿宋_GBK" w:hAnsi="方正仿宋_GBK" w:eastAsia="方正仿宋_GBK" w:cs="方正仿宋_GBK"/>
          <w:color w:val="auto"/>
          <w:spacing w:val="10"/>
          <w:sz w:val="32"/>
          <w:szCs w:val="32"/>
          <w:highlight w:val="none"/>
          <w:lang w:val="en-US" w:eastAsia="zh-CN"/>
        </w:rPr>
        <w:t>实施。</w:t>
      </w:r>
    </w:p>
    <w:p w14:paraId="4AD4F84C">
      <w:pPr>
        <w:keepNext w:val="0"/>
        <w:keepLines w:val="0"/>
        <w:pageBreakBefore w:val="0"/>
        <w:widowControl w:val="0"/>
        <w:numPr>
          <w:ilvl w:val="2"/>
          <w:numId w:val="2"/>
        </w:numPr>
        <w:kinsoku/>
        <w:wordWrap/>
        <w:overflowPunct/>
        <w:topLinePunct w:val="0"/>
        <w:autoSpaceDE/>
        <w:autoSpaceDN/>
        <w:bidi w:val="0"/>
        <w:adjustRightInd/>
        <w:snapToGrid/>
        <w:spacing w:line="590" w:lineRule="exact"/>
        <w:ind w:left="0" w:leftChars="0" w:right="0" w:firstLine="680" w:firstLineChars="200"/>
        <w:jc w:val="left"/>
        <w:textAlignment w:val="auto"/>
        <w:rPr>
          <w:rFonts w:hint="eastAsia" w:ascii="方正仿宋_GBK" w:hAnsi="方正仿宋_GBK" w:eastAsia="方正仿宋_GBK" w:cs="方正仿宋_GBK"/>
          <w:color w:val="auto"/>
          <w:spacing w:val="10"/>
          <w:sz w:val="32"/>
          <w:szCs w:val="32"/>
          <w:lang w:eastAsia="zh-CN"/>
        </w:rPr>
      </w:pPr>
      <w:r>
        <w:rPr>
          <w:rFonts w:hint="eastAsia" w:ascii="方正仿宋_GBK" w:hAnsi="方正仿宋_GBK" w:eastAsia="方正仿宋_GBK" w:cs="方正仿宋_GBK"/>
          <w:color w:val="auto"/>
          <w:spacing w:val="10"/>
          <w:sz w:val="32"/>
          <w:szCs w:val="32"/>
          <w:lang w:eastAsia="zh-CN"/>
        </w:rPr>
        <w:t>本区零售点合理布局实行定期评价、动态管理。</w:t>
      </w:r>
      <w:r>
        <w:rPr>
          <w:rFonts w:hint="eastAsia" w:ascii="方正仿宋_GBK" w:hAnsi="方正仿宋_GBK" w:eastAsia="方正仿宋_GBK" w:cs="方正仿宋_GBK"/>
          <w:color w:val="auto"/>
          <w:spacing w:val="10"/>
          <w:sz w:val="32"/>
          <w:szCs w:val="32"/>
          <w:lang w:val="en-US" w:eastAsia="zh-CN"/>
        </w:rPr>
        <w:t>动态调整规则详见《云南省玉溪市江川区烟草制品零售点合理布局规划数动态调整管理制度》（附件5）。</w:t>
      </w:r>
    </w:p>
    <w:p w14:paraId="09F6797F">
      <w:pPr>
        <w:keepNext w:val="0"/>
        <w:keepLines w:val="0"/>
        <w:pageBreakBefore w:val="0"/>
        <w:widowControl w:val="0"/>
        <w:numPr>
          <w:ilvl w:val="2"/>
          <w:numId w:val="2"/>
        </w:numPr>
        <w:kinsoku/>
        <w:wordWrap/>
        <w:overflowPunct/>
        <w:topLinePunct w:val="0"/>
        <w:autoSpaceDE/>
        <w:autoSpaceDN/>
        <w:bidi w:val="0"/>
        <w:adjustRightInd/>
        <w:spacing w:line="590" w:lineRule="exact"/>
        <w:ind w:left="0" w:leftChars="0" w:right="0" w:firstLine="640" w:firstLineChars="2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pacing w:val="0"/>
          <w:sz w:val="32"/>
          <w:szCs w:val="32"/>
        </w:rPr>
        <w:t>对暂不符合本布局规划条件的申请人，实行排队轮候制度。排队轮候制度详见《云南省玉溪市</w:t>
      </w:r>
      <w:r>
        <w:rPr>
          <w:rFonts w:hint="eastAsia" w:ascii="方正仿宋_GBK" w:hAnsi="方正仿宋_GBK" w:eastAsia="方正仿宋_GBK" w:cs="方正仿宋_GBK"/>
          <w:color w:val="auto"/>
          <w:spacing w:val="0"/>
          <w:sz w:val="32"/>
          <w:szCs w:val="32"/>
          <w:lang w:val="en-US" w:eastAsia="zh-CN"/>
        </w:rPr>
        <w:t>江川区</w:t>
      </w:r>
      <w:r>
        <w:rPr>
          <w:rFonts w:hint="eastAsia" w:ascii="方正仿宋_GBK" w:hAnsi="方正仿宋_GBK" w:eastAsia="方正仿宋_GBK" w:cs="方正仿宋_GBK"/>
          <w:color w:val="auto"/>
          <w:spacing w:val="0"/>
          <w:sz w:val="32"/>
          <w:szCs w:val="32"/>
        </w:rPr>
        <w:t>烟草制品零售点排队轮候制度》（附件</w:t>
      </w:r>
      <w:r>
        <w:rPr>
          <w:rFonts w:hint="eastAsia" w:ascii="方正仿宋_GBK" w:hAnsi="方正仿宋_GBK" w:eastAsia="方正仿宋_GBK" w:cs="方正仿宋_GBK"/>
          <w:color w:val="auto"/>
          <w:spacing w:val="0"/>
          <w:sz w:val="32"/>
          <w:szCs w:val="32"/>
          <w:lang w:val="en-US" w:eastAsia="zh-CN"/>
        </w:rPr>
        <w:t>6</w:t>
      </w:r>
      <w:r>
        <w:rPr>
          <w:rFonts w:hint="eastAsia" w:ascii="方正仿宋_GBK" w:hAnsi="方正仿宋_GBK" w:eastAsia="方正仿宋_GBK" w:cs="方正仿宋_GBK"/>
          <w:color w:val="auto"/>
          <w:spacing w:val="0"/>
          <w:sz w:val="32"/>
          <w:szCs w:val="32"/>
        </w:rPr>
        <w:t>）。</w:t>
      </w:r>
    </w:p>
    <w:p w14:paraId="4E117F3E">
      <w:pPr>
        <w:keepNext w:val="0"/>
        <w:keepLines w:val="0"/>
        <w:pageBreakBefore w:val="0"/>
        <w:widowControl w:val="0"/>
        <w:numPr>
          <w:ilvl w:val="0"/>
          <w:numId w:val="0"/>
        </w:numPr>
        <w:kinsoku/>
        <w:wordWrap/>
        <w:overflowPunct/>
        <w:topLinePunct w:val="0"/>
        <w:autoSpaceDE/>
        <w:autoSpaceDN/>
        <w:bidi w:val="0"/>
        <w:adjustRightInd/>
        <w:spacing w:line="590" w:lineRule="exact"/>
        <w:ind w:left="0" w:right="0" w:firstLine="640" w:firstLineChars="2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符合</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REF _Ref300238533 \r \h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第十七条</w:t>
      </w:r>
      <w:r>
        <w:rPr>
          <w:rFonts w:hint="eastAsia" w:ascii="方正仿宋_GBK" w:hAnsi="方正仿宋_GBK" w:eastAsia="方正仿宋_GBK" w:cs="方正仿宋_GBK"/>
          <w:color w:val="auto"/>
          <w:sz w:val="32"/>
          <w:szCs w:val="32"/>
        </w:rPr>
        <w:fldChar w:fldCharType="end"/>
      </w:r>
      <w:r>
        <w:rPr>
          <w:rFonts w:hint="eastAsia" w:ascii="方正仿宋_GBK" w:hAnsi="方正仿宋_GBK" w:eastAsia="方正仿宋_GBK" w:cs="方正仿宋_GBK"/>
          <w:color w:val="auto"/>
          <w:sz w:val="32"/>
          <w:szCs w:val="32"/>
        </w:rPr>
        <w:t>、</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REF _Ref301062076 \r \h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第十八条</w:t>
      </w:r>
      <w:r>
        <w:rPr>
          <w:rFonts w:hint="eastAsia" w:ascii="方正仿宋_GBK" w:hAnsi="方正仿宋_GBK" w:eastAsia="方正仿宋_GBK" w:cs="方正仿宋_GBK"/>
          <w:color w:val="auto"/>
          <w:sz w:val="32"/>
          <w:szCs w:val="32"/>
        </w:rPr>
        <w:fldChar w:fldCharType="end"/>
      </w:r>
      <w:r>
        <w:rPr>
          <w:rFonts w:hint="eastAsia" w:ascii="方正仿宋_GBK" w:hAnsi="方正仿宋_GBK" w:eastAsia="方正仿宋_GBK" w:cs="方正仿宋_GBK"/>
          <w:color w:val="auto"/>
          <w:sz w:val="32"/>
          <w:szCs w:val="32"/>
        </w:rPr>
        <w:t>情形且不受单元网格规划数限制的，申请人不实行排队轮候制度。</w:t>
      </w:r>
    </w:p>
    <w:p w14:paraId="136FB857">
      <w:pPr>
        <w:keepNext w:val="0"/>
        <w:keepLines w:val="0"/>
        <w:pageBreakBefore w:val="0"/>
        <w:widowControl w:val="0"/>
        <w:numPr>
          <w:ilvl w:val="2"/>
          <w:numId w:val="2"/>
        </w:numPr>
        <w:kinsoku/>
        <w:wordWrap/>
        <w:overflowPunct/>
        <w:topLinePunct w:val="0"/>
        <w:autoSpaceDE/>
        <w:autoSpaceDN/>
        <w:bidi w:val="0"/>
        <w:adjustRightInd/>
        <w:spacing w:line="590" w:lineRule="exact"/>
        <w:ind w:left="0" w:leftChars="0" w:right="0" w:firstLine="640" w:firstLineChars="200"/>
        <w:jc w:val="left"/>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eastAsia="zh-CN"/>
        </w:rPr>
        <w:t>本规划</w:t>
      </w:r>
      <w:r>
        <w:rPr>
          <w:rFonts w:hint="eastAsia" w:ascii="方正仿宋_GBK" w:hAnsi="方正仿宋_GBK" w:eastAsia="方正仿宋_GBK" w:cs="方正仿宋_GBK"/>
          <w:color w:val="auto"/>
          <w:sz w:val="32"/>
          <w:szCs w:val="32"/>
        </w:rPr>
        <w:t>中所称“中小学校”是指普通中小学校、特殊教育学校、中等职业学校、专门学校等。“幼儿园”是指经教育行政主管部门依法批准的公办和民办全日制、寄宿制、半日制幼儿园及小学附设的学前班、幼儿班。各类培训教育机构、托管班、早教班等除外</w:t>
      </w:r>
      <w:r>
        <w:rPr>
          <w:rFonts w:hint="eastAsia" w:ascii="方正仿宋_GBK" w:hAnsi="方正仿宋_GBK" w:eastAsia="方正仿宋_GBK" w:cs="方正仿宋_GBK"/>
          <w:color w:val="auto"/>
          <w:sz w:val="32"/>
          <w:szCs w:val="32"/>
          <w:lang w:eastAsia="zh-CN"/>
        </w:rPr>
        <w:t>。</w:t>
      </w:r>
    </w:p>
    <w:p w14:paraId="63D39A3E">
      <w:pPr>
        <w:keepNext w:val="0"/>
        <w:keepLines w:val="0"/>
        <w:pageBreakBefore w:val="0"/>
        <w:widowControl w:val="0"/>
        <w:numPr>
          <w:ilvl w:val="2"/>
          <w:numId w:val="2"/>
        </w:numPr>
        <w:kinsoku/>
        <w:wordWrap/>
        <w:overflowPunct/>
        <w:topLinePunct w:val="0"/>
        <w:autoSpaceDE/>
        <w:autoSpaceDN/>
        <w:bidi w:val="0"/>
        <w:adjustRightInd/>
        <w:snapToGrid/>
        <w:spacing w:line="590" w:lineRule="exact"/>
        <w:ind w:left="0" w:leftChars="0" w:right="0" w:firstLine="680" w:firstLineChars="200"/>
        <w:jc w:val="left"/>
        <w:textAlignment w:val="auto"/>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lang w:eastAsia="zh-CN"/>
        </w:rPr>
        <w:t>本规划</w:t>
      </w:r>
      <w:r>
        <w:rPr>
          <w:rFonts w:hint="eastAsia" w:ascii="方正仿宋_GBK" w:hAnsi="方正仿宋_GBK" w:eastAsia="方正仿宋_GBK" w:cs="方正仿宋_GBK"/>
          <w:color w:val="auto"/>
          <w:spacing w:val="10"/>
          <w:sz w:val="32"/>
          <w:szCs w:val="32"/>
        </w:rPr>
        <w:t>中的“以上</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rPr>
        <w:t>不低于</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rPr>
        <w:t>不超过</w:t>
      </w:r>
      <w:r>
        <w:rPr>
          <w:rFonts w:hint="eastAsia" w:ascii="方正仿宋_GBK" w:hAnsi="方正仿宋_GBK" w:eastAsia="方正仿宋_GBK" w:cs="方正仿宋_GBK"/>
          <w:color w:val="auto"/>
          <w:spacing w:val="10"/>
          <w:sz w:val="32"/>
          <w:szCs w:val="32"/>
          <w:lang w:eastAsia="zh-CN"/>
        </w:rPr>
        <w:t>”“</w:t>
      </w:r>
      <w:r>
        <w:rPr>
          <w:rFonts w:hint="eastAsia" w:ascii="方正仿宋_GBK" w:hAnsi="方正仿宋_GBK" w:eastAsia="方正仿宋_GBK" w:cs="方正仿宋_GBK"/>
          <w:color w:val="auto"/>
          <w:spacing w:val="10"/>
          <w:sz w:val="32"/>
          <w:szCs w:val="32"/>
        </w:rPr>
        <w:t>以内”等，如无特殊说明均包括本数。</w:t>
      </w:r>
    </w:p>
    <w:p w14:paraId="6D3DC045">
      <w:pPr>
        <w:keepNext w:val="0"/>
        <w:keepLines w:val="0"/>
        <w:pageBreakBefore w:val="0"/>
        <w:widowControl w:val="0"/>
        <w:numPr>
          <w:ilvl w:val="2"/>
          <w:numId w:val="2"/>
        </w:numPr>
        <w:kinsoku/>
        <w:wordWrap/>
        <w:overflowPunct/>
        <w:topLinePunct w:val="0"/>
        <w:autoSpaceDE/>
        <w:autoSpaceDN/>
        <w:bidi w:val="0"/>
        <w:adjustRightInd/>
        <w:snapToGrid/>
        <w:spacing w:line="590" w:lineRule="exact"/>
        <w:ind w:left="0" w:leftChars="0" w:right="0" w:firstLine="680" w:firstLineChars="200"/>
        <w:jc w:val="left"/>
        <w:textAlignment w:val="auto"/>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rPr>
        <w:t>本规划中按照年、月、日计算期间的，开始的当日不计入，自下一日开始计算。所称“日”均以工作日计算，不含法定节假日。</w:t>
      </w:r>
    </w:p>
    <w:p w14:paraId="12BF8CB6">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80" w:firstLineChars="200"/>
        <w:jc w:val="left"/>
        <w:textAlignment w:val="baseline"/>
        <w:rPr>
          <w:rFonts w:hint="eastAsia" w:ascii="方正仿宋_GBK" w:hAnsi="方正仿宋_GBK" w:eastAsia="方正仿宋_GBK" w:cs="方正仿宋_GBK"/>
          <w:color w:val="auto"/>
          <w:spacing w:val="10"/>
          <w:sz w:val="32"/>
          <w:szCs w:val="32"/>
        </w:rPr>
      </w:pPr>
      <w:r>
        <w:rPr>
          <w:rFonts w:hint="eastAsia" w:ascii="方正仿宋_GBK" w:hAnsi="方正仿宋_GBK" w:eastAsia="方正仿宋_GBK" w:cs="方正仿宋_GBK"/>
          <w:color w:val="auto"/>
          <w:spacing w:val="10"/>
          <w:sz w:val="32"/>
          <w:szCs w:val="32"/>
          <w:lang w:eastAsia="zh-CN"/>
        </w:rPr>
        <w:t>本规划</w:t>
      </w:r>
      <w:r>
        <w:rPr>
          <w:rFonts w:hint="eastAsia" w:ascii="方正仿宋_GBK" w:hAnsi="方正仿宋_GBK" w:eastAsia="方正仿宋_GBK" w:cs="方正仿宋_GBK"/>
          <w:color w:val="auto"/>
          <w:spacing w:val="10"/>
          <w:sz w:val="32"/>
          <w:szCs w:val="32"/>
        </w:rPr>
        <w:t>由</w:t>
      </w:r>
      <w:r>
        <w:rPr>
          <w:rFonts w:hint="eastAsia" w:ascii="方正仿宋_GBK" w:hAnsi="方正仿宋_GBK" w:eastAsia="方正仿宋_GBK" w:cs="方正仿宋_GBK"/>
          <w:color w:val="auto"/>
          <w:spacing w:val="10"/>
          <w:sz w:val="32"/>
          <w:szCs w:val="32"/>
          <w:lang w:val="en-US" w:eastAsia="zh-CN"/>
        </w:rPr>
        <w:t>云南省玉溪市</w:t>
      </w:r>
      <w:r>
        <w:rPr>
          <w:rFonts w:hint="eastAsia" w:ascii="方正仿宋_GBK" w:hAnsi="方正仿宋_GBK" w:eastAsia="方正仿宋_GBK" w:cs="方正仿宋_GBK"/>
          <w:color w:val="auto"/>
          <w:spacing w:val="10"/>
          <w:sz w:val="32"/>
          <w:szCs w:val="32"/>
          <w:lang w:eastAsia="zh-CN"/>
        </w:rPr>
        <w:t>江川区</w:t>
      </w:r>
      <w:r>
        <w:rPr>
          <w:rFonts w:hint="eastAsia" w:ascii="方正仿宋_GBK" w:hAnsi="方正仿宋_GBK" w:eastAsia="方正仿宋_GBK" w:cs="方正仿宋_GBK"/>
          <w:color w:val="auto"/>
          <w:spacing w:val="10"/>
          <w:sz w:val="32"/>
          <w:szCs w:val="32"/>
        </w:rPr>
        <w:t>烟草专卖局负责解释。</w:t>
      </w:r>
    </w:p>
    <w:p w14:paraId="58D189FF">
      <w:pPr>
        <w:keepNext w:val="0"/>
        <w:keepLines w:val="0"/>
        <w:pageBreakBefore w:val="0"/>
        <w:widowControl w:val="0"/>
        <w:numPr>
          <w:ilvl w:val="2"/>
          <w:numId w:val="2"/>
        </w:numPr>
        <w:kinsoku/>
        <w:wordWrap/>
        <w:overflowPunct/>
        <w:topLinePunct w:val="0"/>
        <w:autoSpaceDE/>
        <w:autoSpaceDN/>
        <w:bidi w:val="0"/>
        <w:adjustRightInd/>
        <w:snapToGrid w:val="0"/>
        <w:spacing w:line="590" w:lineRule="exact"/>
        <w:ind w:left="0" w:leftChars="0" w:right="0" w:firstLine="680" w:firstLineChars="200"/>
        <w:jc w:val="left"/>
        <w:textAlignment w:val="baseline"/>
        <w:rPr>
          <w:rFonts w:hint="eastAsia" w:ascii="方正仿宋_GBK" w:hAnsi="方正仿宋_GBK" w:eastAsia="方正仿宋_GBK" w:cs="方正仿宋_GBK"/>
          <w:color w:val="FF0000"/>
          <w:sz w:val="32"/>
          <w:szCs w:val="32"/>
        </w:rPr>
      </w:pPr>
      <w:r>
        <w:rPr>
          <w:rFonts w:hint="eastAsia" w:ascii="方正仿宋_GBK" w:hAnsi="方正仿宋_GBK" w:eastAsia="方正仿宋_GBK" w:cs="方正仿宋_GBK"/>
          <w:color w:val="auto"/>
          <w:spacing w:val="10"/>
          <w:sz w:val="32"/>
          <w:szCs w:val="32"/>
          <w:lang w:eastAsia="zh-CN"/>
        </w:rPr>
        <w:t>本规划</w:t>
      </w:r>
      <w:r>
        <w:rPr>
          <w:rFonts w:hint="eastAsia" w:ascii="方正仿宋_GBK" w:hAnsi="方正仿宋_GBK" w:eastAsia="方正仿宋_GBK" w:cs="方正仿宋_GBK"/>
          <w:color w:val="auto"/>
          <w:spacing w:val="10"/>
          <w:sz w:val="32"/>
          <w:szCs w:val="32"/>
          <w:lang w:val="en-US" w:eastAsia="zh-CN"/>
        </w:rPr>
        <w:t>自</w:t>
      </w:r>
      <w:r>
        <w:rPr>
          <w:rFonts w:hint="eastAsia" w:ascii="方正仿宋_GBK" w:hAnsi="方正仿宋_GBK" w:eastAsia="方正仿宋_GBK" w:cs="方正仿宋_GBK"/>
          <w:color w:val="FF0000"/>
          <w:spacing w:val="10"/>
          <w:sz w:val="32"/>
          <w:szCs w:val="32"/>
          <w:lang w:val="en-US" w:eastAsia="zh-CN"/>
        </w:rPr>
        <w:t>2026年10月1日</w:t>
      </w:r>
      <w:r>
        <w:rPr>
          <w:rFonts w:hint="eastAsia" w:ascii="方正仿宋_GBK" w:hAnsi="方正仿宋_GBK" w:eastAsia="方正仿宋_GBK" w:cs="方正仿宋_GBK"/>
          <w:color w:val="auto"/>
          <w:spacing w:val="10"/>
          <w:sz w:val="32"/>
          <w:szCs w:val="32"/>
          <w:lang w:val="en-US" w:eastAsia="zh-CN"/>
        </w:rPr>
        <w:t>起施行。</w:t>
      </w:r>
      <w:r>
        <w:rPr>
          <w:rFonts w:hint="eastAsia" w:ascii="方正仿宋_GBK" w:hAnsi="方正仿宋_GBK" w:eastAsia="方正仿宋_GBK" w:cs="方正仿宋_GBK"/>
          <w:color w:val="FF0000"/>
          <w:spacing w:val="10"/>
          <w:sz w:val="32"/>
          <w:szCs w:val="32"/>
        </w:rPr>
        <w:t>202</w:t>
      </w:r>
      <w:r>
        <w:rPr>
          <w:rFonts w:hint="eastAsia" w:ascii="方正仿宋_GBK" w:hAnsi="方正仿宋_GBK" w:eastAsia="方正仿宋_GBK" w:cs="方正仿宋_GBK"/>
          <w:color w:val="FF0000"/>
          <w:spacing w:val="10"/>
          <w:sz w:val="32"/>
          <w:szCs w:val="32"/>
          <w:lang w:val="en-US" w:eastAsia="zh-CN"/>
        </w:rPr>
        <w:t>5</w:t>
      </w:r>
      <w:r>
        <w:rPr>
          <w:rFonts w:hint="eastAsia" w:ascii="方正仿宋_GBK" w:hAnsi="方正仿宋_GBK" w:eastAsia="方正仿宋_GBK" w:cs="方正仿宋_GBK"/>
          <w:color w:val="FF0000"/>
          <w:spacing w:val="10"/>
          <w:sz w:val="32"/>
          <w:szCs w:val="32"/>
        </w:rPr>
        <w:t>年</w:t>
      </w:r>
      <w:r>
        <w:rPr>
          <w:rFonts w:hint="eastAsia" w:ascii="方正仿宋_GBK" w:hAnsi="方正仿宋_GBK" w:eastAsia="方正仿宋_GBK" w:cs="方正仿宋_GBK"/>
          <w:color w:val="FF0000"/>
          <w:spacing w:val="10"/>
          <w:sz w:val="32"/>
          <w:szCs w:val="32"/>
          <w:lang w:val="en-US" w:eastAsia="zh-CN"/>
        </w:rPr>
        <w:t>11</w:t>
      </w:r>
      <w:r>
        <w:rPr>
          <w:rFonts w:hint="eastAsia" w:ascii="方正仿宋_GBK" w:hAnsi="方正仿宋_GBK" w:eastAsia="方正仿宋_GBK" w:cs="方正仿宋_GBK"/>
          <w:color w:val="FF0000"/>
          <w:spacing w:val="10"/>
          <w:sz w:val="32"/>
          <w:szCs w:val="32"/>
        </w:rPr>
        <w:t>月</w:t>
      </w:r>
      <w:r>
        <w:rPr>
          <w:rFonts w:hint="eastAsia" w:ascii="方正仿宋_GBK" w:hAnsi="方正仿宋_GBK" w:eastAsia="方正仿宋_GBK" w:cs="方正仿宋_GBK"/>
          <w:color w:val="FF0000"/>
          <w:spacing w:val="10"/>
          <w:sz w:val="32"/>
          <w:szCs w:val="32"/>
          <w:lang w:val="en-US" w:eastAsia="zh-CN"/>
        </w:rPr>
        <w:t>1</w:t>
      </w:r>
      <w:r>
        <w:rPr>
          <w:rFonts w:hint="eastAsia" w:ascii="方正仿宋_GBK" w:hAnsi="方正仿宋_GBK" w:eastAsia="方正仿宋_GBK" w:cs="方正仿宋_GBK"/>
          <w:color w:val="FF0000"/>
          <w:spacing w:val="10"/>
          <w:sz w:val="32"/>
          <w:szCs w:val="32"/>
        </w:rPr>
        <w:t>日实施的《</w:t>
      </w:r>
      <w:r>
        <w:rPr>
          <w:rFonts w:hint="eastAsia" w:ascii="方正仿宋_GBK" w:hAnsi="方正仿宋_GBK" w:eastAsia="方正仿宋_GBK" w:cs="方正仿宋_GBK"/>
          <w:color w:val="FF0000"/>
          <w:spacing w:val="10"/>
          <w:sz w:val="32"/>
          <w:szCs w:val="32"/>
          <w:lang w:eastAsia="zh-CN"/>
        </w:rPr>
        <w:t>云南省玉溪市江川区</w:t>
      </w:r>
      <w:r>
        <w:rPr>
          <w:rFonts w:hint="eastAsia" w:ascii="方正仿宋_GBK" w:hAnsi="方正仿宋_GBK" w:eastAsia="方正仿宋_GBK" w:cs="方正仿宋_GBK"/>
          <w:color w:val="FF0000"/>
          <w:spacing w:val="10"/>
          <w:sz w:val="32"/>
          <w:szCs w:val="32"/>
        </w:rPr>
        <w:t>烟草制品零售点合理布局规定》（</w:t>
      </w:r>
      <w:r>
        <w:rPr>
          <w:rFonts w:hint="eastAsia" w:ascii="方正仿宋_GBK" w:hAnsi="方正仿宋_GBK" w:eastAsia="方正仿宋_GBK" w:cs="方正仿宋_GBK"/>
          <w:color w:val="FF0000"/>
          <w:spacing w:val="10"/>
          <w:sz w:val="32"/>
          <w:szCs w:val="32"/>
          <w:lang w:eastAsia="zh-CN"/>
        </w:rPr>
        <w:t>江烟专〔2025〕9号</w:t>
      </w:r>
      <w:r>
        <w:rPr>
          <w:rFonts w:hint="eastAsia" w:ascii="方正仿宋_GBK" w:hAnsi="方正仿宋_GBK" w:eastAsia="方正仿宋_GBK" w:cs="方正仿宋_GBK"/>
          <w:color w:val="FF0000"/>
          <w:spacing w:val="10"/>
          <w:sz w:val="32"/>
          <w:szCs w:val="32"/>
        </w:rPr>
        <w:t>）同时废止。</w:t>
      </w:r>
    </w:p>
    <w:p w14:paraId="1C122A94">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590" w:lineRule="exact"/>
        <w:ind w:right="0" w:rightChars="0"/>
        <w:jc w:val="left"/>
        <w:textAlignment w:val="baseline"/>
        <w:rPr>
          <w:rFonts w:hint="eastAsia" w:ascii="方正仿宋_GBK" w:hAnsi="方正仿宋_GBK" w:eastAsia="方正仿宋_GBK" w:cs="方正仿宋_GBK"/>
          <w:color w:val="auto"/>
          <w:spacing w:val="10"/>
          <w:sz w:val="32"/>
          <w:szCs w:val="32"/>
        </w:rPr>
      </w:pPr>
    </w:p>
    <w:p w14:paraId="40DF9389">
      <w:pPr>
        <w:keepNext w:val="0"/>
        <w:keepLines w:val="0"/>
        <w:pageBreakBefore w:val="0"/>
        <w:widowControl w:val="0"/>
        <w:numPr>
          <w:ilvl w:val="0"/>
          <w:numId w:val="0"/>
        </w:numPr>
        <w:tabs>
          <w:tab w:val="left" w:pos="0"/>
        </w:tabs>
        <w:kinsoku/>
        <w:wordWrap/>
        <w:overflowPunct/>
        <w:topLinePunct w:val="0"/>
        <w:autoSpaceDE/>
        <w:autoSpaceDN/>
        <w:bidi w:val="0"/>
        <w:adjustRightInd/>
        <w:snapToGrid w:val="0"/>
        <w:spacing w:line="590" w:lineRule="exact"/>
        <w:ind w:left="1908" w:leftChars="321" w:right="0" w:rightChars="0" w:hanging="1234" w:hangingChars="363"/>
        <w:jc w:val="left"/>
        <w:textAlignment w:val="baseline"/>
        <w:rPr>
          <w:rFonts w:hint="eastAsia" w:ascii="方正仿宋_GBK" w:hAnsi="方正仿宋_GBK" w:eastAsia="方正仿宋_GBK" w:cs="方正仿宋_GBK"/>
          <w:color w:val="auto"/>
          <w:spacing w:val="10"/>
          <w:sz w:val="32"/>
          <w:szCs w:val="32"/>
          <w:lang w:val="en-US" w:eastAsia="zh-CN"/>
        </w:rPr>
      </w:pPr>
      <w:r>
        <w:rPr>
          <w:rFonts w:hint="eastAsia" w:ascii="方正仿宋_GBK" w:hAnsi="方正仿宋_GBK" w:eastAsia="方正仿宋_GBK" w:cs="方正仿宋_GBK"/>
          <w:color w:val="auto"/>
          <w:spacing w:val="10"/>
          <w:sz w:val="32"/>
          <w:szCs w:val="32"/>
          <w:lang w:val="en-US" w:eastAsia="zh-CN"/>
        </w:rPr>
        <w:t>附件：1.云南省玉溪市江川区烟草制品零售点间距测量规则及标准</w:t>
      </w:r>
    </w:p>
    <w:p w14:paraId="28AF2036">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1892" w:leftChars="809" w:right="0" w:rightChars="0" w:hanging="193" w:hangingChars="57"/>
        <w:jc w:val="left"/>
        <w:textAlignment w:val="baseline"/>
        <w:rPr>
          <w:rFonts w:hint="eastAsia" w:ascii="方正仿宋_GBK" w:hAnsi="方正仿宋_GBK" w:eastAsia="方正仿宋_GBK" w:cs="方正仿宋_GBK"/>
          <w:color w:val="auto"/>
          <w:spacing w:val="10"/>
          <w:sz w:val="32"/>
          <w:szCs w:val="32"/>
          <w:lang w:val="en-US" w:eastAsia="zh-CN"/>
        </w:rPr>
      </w:pPr>
      <w:r>
        <w:rPr>
          <w:rFonts w:hint="eastAsia" w:ascii="方正仿宋_GBK" w:hAnsi="方正仿宋_GBK" w:eastAsia="方正仿宋_GBK" w:cs="方正仿宋_GBK"/>
          <w:color w:val="auto"/>
          <w:spacing w:val="10"/>
          <w:sz w:val="32"/>
          <w:szCs w:val="32"/>
          <w:lang w:val="en-US" w:eastAsia="zh-CN"/>
        </w:rPr>
        <w:t>2.云南省玉溪市江川区烟草制品零售点合理布局公示表</w:t>
      </w:r>
    </w:p>
    <w:p w14:paraId="5917E9DF">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1892" w:leftChars="809" w:right="0" w:rightChars="0" w:hanging="193" w:hangingChars="57"/>
        <w:jc w:val="left"/>
        <w:textAlignment w:val="baseline"/>
        <w:rPr>
          <w:rFonts w:hint="eastAsia" w:ascii="方正仿宋_GBK" w:hAnsi="方正仿宋_GBK" w:eastAsia="方正仿宋_GBK" w:cs="方正仿宋_GBK"/>
          <w:color w:val="auto"/>
          <w:spacing w:val="10"/>
          <w:sz w:val="32"/>
          <w:szCs w:val="32"/>
          <w:lang w:val="en-US" w:eastAsia="zh-CN"/>
        </w:rPr>
      </w:pPr>
      <w:r>
        <w:rPr>
          <w:rFonts w:hint="eastAsia" w:ascii="方正仿宋_GBK" w:hAnsi="方正仿宋_GBK" w:eastAsia="方正仿宋_GBK" w:cs="方正仿宋_GBK"/>
          <w:color w:val="auto"/>
          <w:spacing w:val="10"/>
          <w:sz w:val="32"/>
          <w:szCs w:val="32"/>
          <w:lang w:val="en-US" w:eastAsia="zh-CN"/>
        </w:rPr>
        <w:t>3.云南省玉溪市江川区烟草制品零售点合理布局规划网格示意图</w:t>
      </w:r>
    </w:p>
    <w:p w14:paraId="7DE308C2">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1893" w:leftChars="799" w:right="0" w:rightChars="0" w:hanging="215" w:firstLineChars="0"/>
        <w:jc w:val="left"/>
        <w:textAlignment w:val="baseline"/>
        <w:rPr>
          <w:rFonts w:hint="eastAsia" w:ascii="方正仿宋_GBK" w:hAnsi="方正仿宋_GBK" w:eastAsia="方正仿宋_GBK" w:cs="方正仿宋_GBK"/>
          <w:color w:val="auto"/>
          <w:spacing w:val="10"/>
          <w:sz w:val="32"/>
          <w:szCs w:val="32"/>
          <w:lang w:val="en-US" w:eastAsia="zh-CN"/>
        </w:rPr>
      </w:pPr>
      <w:r>
        <w:rPr>
          <w:rFonts w:hint="eastAsia" w:ascii="方正仿宋_GBK" w:hAnsi="方正仿宋_GBK" w:eastAsia="方正仿宋_GBK" w:cs="方正仿宋_GBK"/>
          <w:color w:val="auto"/>
          <w:spacing w:val="10"/>
          <w:sz w:val="32"/>
          <w:szCs w:val="32"/>
          <w:lang w:val="en-US" w:eastAsia="zh-CN"/>
        </w:rPr>
        <w:t>4.云南省玉溪市江川区雪茄烟专营零售点合理布局公示表</w:t>
      </w:r>
    </w:p>
    <w:p w14:paraId="057ED5D4">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1898" w:leftChars="800" w:right="0" w:rightChars="0" w:hanging="218" w:firstLineChars="0"/>
        <w:jc w:val="left"/>
        <w:textAlignment w:val="baseline"/>
        <w:rPr>
          <w:rFonts w:hint="eastAsia" w:ascii="方正仿宋_GBK" w:hAnsi="方正仿宋_GBK" w:eastAsia="方正仿宋_GBK" w:cs="方正仿宋_GBK"/>
          <w:color w:val="auto"/>
          <w:spacing w:val="10"/>
          <w:sz w:val="32"/>
          <w:szCs w:val="32"/>
          <w:lang w:val="en-US" w:eastAsia="zh-CN"/>
        </w:rPr>
      </w:pPr>
      <w:r>
        <w:rPr>
          <w:rFonts w:hint="eastAsia" w:ascii="方正仿宋_GBK" w:hAnsi="方正仿宋_GBK" w:eastAsia="方正仿宋_GBK" w:cs="方正仿宋_GBK"/>
          <w:color w:val="auto"/>
          <w:spacing w:val="10"/>
          <w:sz w:val="32"/>
          <w:szCs w:val="32"/>
          <w:lang w:val="en-US" w:eastAsia="zh-CN"/>
        </w:rPr>
        <w:t>5.云南省玉溪市江川区烟草制品零售点合理布局规划数动态调整管理制度</w:t>
      </w:r>
    </w:p>
    <w:p w14:paraId="726E0AA3">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left="1893" w:leftChars="799" w:right="0" w:rightChars="0" w:hanging="215" w:firstLineChars="0"/>
        <w:jc w:val="left"/>
        <w:textAlignment w:val="baseline"/>
        <w:rPr>
          <w:rFonts w:hint="eastAsia" w:ascii="方正仿宋_GBK" w:hAnsi="方正仿宋_GBK" w:eastAsia="方正仿宋_GBK" w:cs="方正仿宋_GBK"/>
          <w:color w:val="auto"/>
          <w:spacing w:val="10"/>
          <w:sz w:val="32"/>
          <w:szCs w:val="32"/>
          <w:lang w:val="en-US" w:eastAsia="zh-CN"/>
        </w:rPr>
      </w:pPr>
      <w:r>
        <w:rPr>
          <w:rFonts w:hint="eastAsia" w:ascii="方正仿宋_GBK" w:hAnsi="方正仿宋_GBK" w:eastAsia="方正仿宋_GBK" w:cs="方正仿宋_GBK"/>
          <w:color w:val="auto"/>
          <w:spacing w:val="10"/>
          <w:sz w:val="32"/>
          <w:szCs w:val="32"/>
          <w:lang w:val="en-US" w:eastAsia="zh-CN"/>
        </w:rPr>
        <w:t>6.云南省玉溪市江川区烟草制品零售点排队轮候制度</w:t>
      </w:r>
    </w:p>
    <w:sectPr>
      <w:footerReference r:id="rId3" w:type="default"/>
      <w:footerReference r:id="rId4" w:type="even"/>
      <w:pgSz w:w="11906" w:h="16838"/>
      <w:pgMar w:top="2041" w:right="1474" w:bottom="1304" w:left="1587" w:header="1361" w:footer="119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B22E196D-738B-41D6-D600-6B6A617A4152}"/>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方正小标宋简体">
    <w:panose1 w:val="02000000000000000000"/>
    <w:charset w:val="86"/>
    <w:family w:val="script"/>
    <w:pitch w:val="default"/>
    <w:sig w:usb0="00000001" w:usb1="08000000" w:usb2="00000000"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2" w:fontKey="{D4A4835E-C62A-910C-D600-6B6A5F8DF6EC}"/>
  </w:font>
  <w:font w:name="方正黑体_GBK">
    <w:altName w:val="汉仪中黑KW"/>
    <w:panose1 w:val="02000000000000000000"/>
    <w:charset w:val="86"/>
    <w:family w:val="auto"/>
    <w:pitch w:val="default"/>
    <w:sig w:usb0="00000000" w:usb1="0000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方正楷体_GBK">
    <w:altName w:val="汉仪楷体简"/>
    <w:panose1 w:val="02000000000000000000"/>
    <w:charset w:val="86"/>
    <w:family w:val="auto"/>
    <w:pitch w:val="default"/>
    <w:sig w:usb0="00000000" w:usb1="00000000" w:usb2="00000000" w:usb3="00000000" w:csb0="00040000" w:csb1="00000000"/>
  </w:font>
  <w:font w:name="汉仪楷体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A00002BF" w:usb1="38CF7CFA" w:usb2="00082016" w:usb3="00000000" w:csb0="00040001" w:csb1="00000000"/>
    <w:embedRegular r:id="rId3" w:fontKey="{8ABE63F3-24AA-078B-D600-6B6AF5241508}"/>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D3D19">
    <w:pPr>
      <w:spacing w:before="1" w:line="175" w:lineRule="auto"/>
      <w:ind w:left="7991"/>
      <w:rPr>
        <w:rFonts w:ascii="宋体" w:hAnsi="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5053965</wp:posOffset>
              </wp:positionH>
              <wp:positionV relativeFrom="paragraph">
                <wp:posOffset>7620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DC601A">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left:397.95pt;margin-top:0.6pt;height:144pt;width:144pt;mso-position-horizontal-relative:margin;mso-wrap-style:none;z-index:251659264;mso-width-relative:page;mso-height-relative:page;" filled="f" stroked="f" coordsize="21600,21600" o:gfxdata="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n6Kf4tUAAAAKAQAADwAAAAAAAAABACAAAAAiAAAAZHJzL2Rvd25y&#10;ZXYueG1sUEsBAhQAFAAAAAgAh07iQOSi/s/IAQAAmQMAAA4AAAAAAAAAAQAgAAAAJAEAAGRycy9l&#10;Mm9Eb2MueG1sUEsFBgAAAAAGAAYAWQEAAF4FAAAAAA==&#10;">
              <v:fill on="f" focussize="0,0"/>
              <v:stroke on="f"/>
              <v:imagedata o:title=""/>
              <o:lock v:ext="edit" aspectratio="f"/>
              <v:textbox inset="0mm,0mm,0mm,0mm" style="mso-fit-shape-to-text:t;">
                <w:txbxContent>
                  <w:p w14:paraId="37DC601A">
                    <w:pPr>
                      <w:pStyle w:val="6"/>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28E19">
    <w:pPr>
      <w:pStyle w:val="6"/>
    </w:pPr>
    <w:r>
      <w:rPr>
        <w:sz w:val="18"/>
      </w:rPr>
      <mc:AlternateContent>
        <mc:Choice Requires="wps">
          <w:drawing>
            <wp:anchor distT="0" distB="0" distL="114300" distR="114300" simplePos="0" relativeHeight="251660288" behindDoc="0" locked="0" layoutInCell="1" allowOverlap="1">
              <wp:simplePos x="0" y="0"/>
              <wp:positionH relativeFrom="margin">
                <wp:posOffset>151130</wp:posOffset>
              </wp:positionH>
              <wp:positionV relativeFrom="paragraph">
                <wp:posOffset>-8255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098C68">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1.9pt;margin-top:-0.65pt;height:144pt;width:144pt;mso-position-horizontal-relative:margin;mso-wrap-style:none;z-index:251660288;mso-width-relative:page;mso-height-relative:page;" filled="f" stroked="f" coordsize="21600,21600" o:gfxdata="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QR1DNUAAAAJAQAADwAAAAAAAAABACAAAAAiAAAAZHJzL2Rvd25yZXYueG1sUEsB&#10;AhQAFAAAAAgAh07iQCSCRrQxAgAAYQQAAA4AAAAAAAAAAQAgAAAAJAEAAGRycy9lMm9Eb2MueG1s&#10;UEsFBgAAAAAGAAYAWQEAAMcFAAAAAA==&#10;">
              <v:fill on="f" focussize="0,0"/>
              <v:stroke on="f" weight="0.5pt"/>
              <v:imagedata o:title=""/>
              <o:lock v:ext="edit" aspectratio="f"/>
              <v:textbox inset="0mm,0mm,0mm,0mm" style="mso-fit-shape-to-text:t;">
                <w:txbxContent>
                  <w:p w14:paraId="17098C68">
                    <w:pPr>
                      <w:pStyle w:val="6"/>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- 2 -</w:t>
                    </w:r>
                    <w:r>
                      <w:rPr>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8DCC7D"/>
    <w:multiLevelType w:val="multilevel"/>
    <w:tmpl w:val="868DCC7D"/>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AFEED81E"/>
    <w:multiLevelType w:val="multilevel"/>
    <w:tmpl w:val="AFEED81E"/>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tabs>
          <w:tab w:val="left" w:pos="0"/>
        </w:tabs>
        <w:ind w:left="0" w:firstLine="40"/>
      </w:pPr>
      <w:rPr>
        <w:rFonts w:hint="eastAsia" w:eastAsia="方正楷体_GBK"/>
        <w:b w:val="0"/>
        <w:sz w:val="32"/>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B7FA3353"/>
    <w:multiLevelType w:val="singleLevel"/>
    <w:tmpl w:val="B7FA3353"/>
    <w:lvl w:ilvl="0" w:tentative="0">
      <w:start w:val="3"/>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mMjliYjkzMzM0NzA4NTBmMjNiOGVkZTdmYTU0MDQifQ=="/>
  </w:docVars>
  <w:rsids>
    <w:rsidRoot w:val="00B54FA4"/>
    <w:rsid w:val="00007C10"/>
    <w:rsid w:val="000529AD"/>
    <w:rsid w:val="0008195B"/>
    <w:rsid w:val="000A0310"/>
    <w:rsid w:val="000A26C4"/>
    <w:rsid w:val="000F2F6B"/>
    <w:rsid w:val="000F6997"/>
    <w:rsid w:val="001018DB"/>
    <w:rsid w:val="00150260"/>
    <w:rsid w:val="001546B9"/>
    <w:rsid w:val="00160FAF"/>
    <w:rsid w:val="001B7C81"/>
    <w:rsid w:val="001C03A3"/>
    <w:rsid w:val="001C14AE"/>
    <w:rsid w:val="001C6D63"/>
    <w:rsid w:val="001D09D6"/>
    <w:rsid w:val="001D2B5D"/>
    <w:rsid w:val="001F1E16"/>
    <w:rsid w:val="00200368"/>
    <w:rsid w:val="00213156"/>
    <w:rsid w:val="0023233B"/>
    <w:rsid w:val="00247651"/>
    <w:rsid w:val="002552C7"/>
    <w:rsid w:val="00260E8E"/>
    <w:rsid w:val="00265C47"/>
    <w:rsid w:val="0026700E"/>
    <w:rsid w:val="002735B8"/>
    <w:rsid w:val="00294F19"/>
    <w:rsid w:val="002A38D2"/>
    <w:rsid w:val="002B782D"/>
    <w:rsid w:val="002B7CAE"/>
    <w:rsid w:val="002C17A2"/>
    <w:rsid w:val="002E6EBD"/>
    <w:rsid w:val="002E7E4C"/>
    <w:rsid w:val="002F77F6"/>
    <w:rsid w:val="003154B0"/>
    <w:rsid w:val="00323A6A"/>
    <w:rsid w:val="00324B1C"/>
    <w:rsid w:val="00337CE0"/>
    <w:rsid w:val="00363728"/>
    <w:rsid w:val="003852F3"/>
    <w:rsid w:val="00393A70"/>
    <w:rsid w:val="003C70A9"/>
    <w:rsid w:val="003C73AD"/>
    <w:rsid w:val="003D31C0"/>
    <w:rsid w:val="003E5B74"/>
    <w:rsid w:val="003F0F32"/>
    <w:rsid w:val="0041095A"/>
    <w:rsid w:val="004242ED"/>
    <w:rsid w:val="00432168"/>
    <w:rsid w:val="0044320B"/>
    <w:rsid w:val="0047543D"/>
    <w:rsid w:val="004804CC"/>
    <w:rsid w:val="00486990"/>
    <w:rsid w:val="004951A5"/>
    <w:rsid w:val="004B1F17"/>
    <w:rsid w:val="004D09BB"/>
    <w:rsid w:val="00500E60"/>
    <w:rsid w:val="00513BFF"/>
    <w:rsid w:val="005177DF"/>
    <w:rsid w:val="0052201A"/>
    <w:rsid w:val="0053297E"/>
    <w:rsid w:val="005511F7"/>
    <w:rsid w:val="00552C3F"/>
    <w:rsid w:val="00586E6F"/>
    <w:rsid w:val="00594897"/>
    <w:rsid w:val="00595643"/>
    <w:rsid w:val="005D458E"/>
    <w:rsid w:val="00603E50"/>
    <w:rsid w:val="00615BF6"/>
    <w:rsid w:val="00676732"/>
    <w:rsid w:val="006841EA"/>
    <w:rsid w:val="006A121B"/>
    <w:rsid w:val="006F68EE"/>
    <w:rsid w:val="00706726"/>
    <w:rsid w:val="007171C6"/>
    <w:rsid w:val="00757036"/>
    <w:rsid w:val="007724CB"/>
    <w:rsid w:val="0077625F"/>
    <w:rsid w:val="00786C4D"/>
    <w:rsid w:val="00790AF5"/>
    <w:rsid w:val="00797C99"/>
    <w:rsid w:val="007A3F52"/>
    <w:rsid w:val="007A6670"/>
    <w:rsid w:val="007A7E3E"/>
    <w:rsid w:val="007D5488"/>
    <w:rsid w:val="008218C1"/>
    <w:rsid w:val="008426C5"/>
    <w:rsid w:val="0085301E"/>
    <w:rsid w:val="0086389D"/>
    <w:rsid w:val="00893EE4"/>
    <w:rsid w:val="008B4B50"/>
    <w:rsid w:val="00904118"/>
    <w:rsid w:val="00907288"/>
    <w:rsid w:val="00921E9A"/>
    <w:rsid w:val="009432B0"/>
    <w:rsid w:val="009514B1"/>
    <w:rsid w:val="0095596D"/>
    <w:rsid w:val="009776AF"/>
    <w:rsid w:val="00992098"/>
    <w:rsid w:val="00996ED8"/>
    <w:rsid w:val="009B3BA6"/>
    <w:rsid w:val="009C1532"/>
    <w:rsid w:val="009C297C"/>
    <w:rsid w:val="009F5D3B"/>
    <w:rsid w:val="009F79D1"/>
    <w:rsid w:val="00A1054E"/>
    <w:rsid w:val="00A11C0B"/>
    <w:rsid w:val="00A27AF9"/>
    <w:rsid w:val="00A749A6"/>
    <w:rsid w:val="00A83BDF"/>
    <w:rsid w:val="00A860DA"/>
    <w:rsid w:val="00A87185"/>
    <w:rsid w:val="00B012FD"/>
    <w:rsid w:val="00B07554"/>
    <w:rsid w:val="00B50238"/>
    <w:rsid w:val="00B54FA4"/>
    <w:rsid w:val="00B77EDD"/>
    <w:rsid w:val="00B916BB"/>
    <w:rsid w:val="00B91768"/>
    <w:rsid w:val="00BF0062"/>
    <w:rsid w:val="00C00931"/>
    <w:rsid w:val="00C010A1"/>
    <w:rsid w:val="00C26A6B"/>
    <w:rsid w:val="00C4477D"/>
    <w:rsid w:val="00C46F67"/>
    <w:rsid w:val="00C514FC"/>
    <w:rsid w:val="00C67B98"/>
    <w:rsid w:val="00C76D8C"/>
    <w:rsid w:val="00C82E5E"/>
    <w:rsid w:val="00C95017"/>
    <w:rsid w:val="00CD4310"/>
    <w:rsid w:val="00CE4AE2"/>
    <w:rsid w:val="00D1266A"/>
    <w:rsid w:val="00D13827"/>
    <w:rsid w:val="00D51D18"/>
    <w:rsid w:val="00DA0B70"/>
    <w:rsid w:val="00DB0CB9"/>
    <w:rsid w:val="00DB6C0F"/>
    <w:rsid w:val="00DC1862"/>
    <w:rsid w:val="00DC3B44"/>
    <w:rsid w:val="00DD05BE"/>
    <w:rsid w:val="00E15D71"/>
    <w:rsid w:val="00E249DD"/>
    <w:rsid w:val="00E649F9"/>
    <w:rsid w:val="00E663A5"/>
    <w:rsid w:val="00E71C47"/>
    <w:rsid w:val="00E91613"/>
    <w:rsid w:val="00EA1AF7"/>
    <w:rsid w:val="00EA6D96"/>
    <w:rsid w:val="00ED17C4"/>
    <w:rsid w:val="00ED649C"/>
    <w:rsid w:val="00EE6D12"/>
    <w:rsid w:val="00F3194E"/>
    <w:rsid w:val="00F44038"/>
    <w:rsid w:val="00F519DA"/>
    <w:rsid w:val="00F5202D"/>
    <w:rsid w:val="00F544A3"/>
    <w:rsid w:val="00F925EC"/>
    <w:rsid w:val="00F9555E"/>
    <w:rsid w:val="00FC7F42"/>
    <w:rsid w:val="00FD56D0"/>
    <w:rsid w:val="049F168E"/>
    <w:rsid w:val="05C9691D"/>
    <w:rsid w:val="07B471FE"/>
    <w:rsid w:val="0D3C216F"/>
    <w:rsid w:val="0F8472AC"/>
    <w:rsid w:val="13F7B58C"/>
    <w:rsid w:val="1537321C"/>
    <w:rsid w:val="176B052A"/>
    <w:rsid w:val="19595E57"/>
    <w:rsid w:val="1D4E37F9"/>
    <w:rsid w:val="222A359C"/>
    <w:rsid w:val="2EAC70DE"/>
    <w:rsid w:val="30FD526E"/>
    <w:rsid w:val="31BB30A3"/>
    <w:rsid w:val="31CF5374"/>
    <w:rsid w:val="3619454C"/>
    <w:rsid w:val="385EDBC8"/>
    <w:rsid w:val="3BFFF20D"/>
    <w:rsid w:val="3E6D2018"/>
    <w:rsid w:val="40730CFD"/>
    <w:rsid w:val="43741014"/>
    <w:rsid w:val="449753BF"/>
    <w:rsid w:val="45E462DA"/>
    <w:rsid w:val="4C376A6D"/>
    <w:rsid w:val="4C787DC7"/>
    <w:rsid w:val="4D760672"/>
    <w:rsid w:val="4F7E45A9"/>
    <w:rsid w:val="51497F84"/>
    <w:rsid w:val="52EC6E19"/>
    <w:rsid w:val="5FD41216"/>
    <w:rsid w:val="62EC2BEB"/>
    <w:rsid w:val="6386611B"/>
    <w:rsid w:val="680F5A43"/>
    <w:rsid w:val="69A134ED"/>
    <w:rsid w:val="6CE93F71"/>
    <w:rsid w:val="6EF74724"/>
    <w:rsid w:val="6FFEB047"/>
    <w:rsid w:val="72A53BF3"/>
    <w:rsid w:val="77065E4C"/>
    <w:rsid w:val="782D6ECE"/>
    <w:rsid w:val="7962758B"/>
    <w:rsid w:val="7C2C27A1"/>
    <w:rsid w:val="7DBD3BAA"/>
    <w:rsid w:val="7DEB4D60"/>
    <w:rsid w:val="7EBDC905"/>
    <w:rsid w:val="9BECC0E7"/>
    <w:rsid w:val="C5DD9B77"/>
    <w:rsid w:val="DFFE8399"/>
    <w:rsid w:val="F1FDBC4A"/>
    <w:rsid w:val="F537C6A9"/>
    <w:rsid w:val="F537D64B"/>
    <w:rsid w:val="FA7D93BF"/>
    <w:rsid w:val="FDDB1F5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link w:val="15"/>
    <w:unhideWhenUsed/>
    <w:qFormat/>
    <w:uiPriority w:val="0"/>
    <w:pPr>
      <w:spacing w:after="120"/>
    </w:pPr>
  </w:style>
  <w:style w:type="paragraph" w:styleId="5">
    <w:name w:val="Balloon Text"/>
    <w:basedOn w:val="1"/>
    <w:link w:val="18"/>
    <w:semiHidden/>
    <w:unhideWhenUsed/>
    <w:qFormat/>
    <w:uiPriority w:val="99"/>
    <w:rPr>
      <w:sz w:val="18"/>
      <w:szCs w:val="18"/>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Subtitle"/>
    <w:basedOn w:val="1"/>
    <w:next w:val="1"/>
    <w:link w:val="17"/>
    <w:qFormat/>
    <w:uiPriority w:val="11"/>
    <w:pPr>
      <w:spacing w:before="240" w:after="240" w:line="312" w:lineRule="auto"/>
      <w:jc w:val="center"/>
      <w:outlineLvl w:val="1"/>
    </w:pPr>
    <w:rPr>
      <w:rFonts w:ascii="等线" w:hAnsi="等线" w:eastAsia="等线"/>
      <w:kern w:val="28"/>
      <w:sz w:val="40"/>
      <w:szCs w:val="40"/>
    </w:rPr>
  </w:style>
  <w:style w:type="paragraph" w:styleId="9">
    <w:name w:val="Normal (Web)"/>
    <w:basedOn w:val="1"/>
    <w:qFormat/>
    <w:uiPriority w:val="0"/>
    <w:pPr>
      <w:spacing w:beforeAutospacing="1" w:afterAutospacing="1"/>
      <w:jc w:val="left"/>
    </w:pPr>
    <w:rPr>
      <w:kern w:val="0"/>
      <w:sz w:val="24"/>
    </w:rPr>
  </w:style>
  <w:style w:type="paragraph" w:styleId="10">
    <w:name w:val="Title"/>
    <w:basedOn w:val="1"/>
    <w:next w:val="1"/>
    <w:link w:val="16"/>
    <w:qFormat/>
    <w:uiPriority w:val="10"/>
    <w:pPr>
      <w:spacing w:before="120" w:after="120"/>
      <w:jc w:val="center"/>
      <w:outlineLvl w:val="0"/>
    </w:pPr>
    <w:rPr>
      <w:rFonts w:ascii="方正小标宋简体" w:hAnsi="等线 Light" w:eastAsia="方正小标宋简体"/>
      <w:sz w:val="44"/>
      <w:szCs w:val="44"/>
    </w:rPr>
  </w:style>
  <w:style w:type="character" w:customStyle="1" w:styleId="13">
    <w:name w:val="页眉 Char"/>
    <w:basedOn w:val="12"/>
    <w:link w:val="7"/>
    <w:qFormat/>
    <w:uiPriority w:val="0"/>
    <w:rPr>
      <w:sz w:val="18"/>
      <w:szCs w:val="18"/>
    </w:rPr>
  </w:style>
  <w:style w:type="character" w:customStyle="1" w:styleId="14">
    <w:name w:val="页脚 Char"/>
    <w:basedOn w:val="12"/>
    <w:link w:val="6"/>
    <w:semiHidden/>
    <w:qFormat/>
    <w:uiPriority w:val="99"/>
    <w:rPr>
      <w:sz w:val="18"/>
      <w:szCs w:val="18"/>
    </w:rPr>
  </w:style>
  <w:style w:type="character" w:customStyle="1" w:styleId="15">
    <w:name w:val="正文文本 Char"/>
    <w:basedOn w:val="12"/>
    <w:link w:val="4"/>
    <w:qFormat/>
    <w:uiPriority w:val="0"/>
    <w:rPr>
      <w:rFonts w:ascii="Times New Roman" w:hAnsi="Times New Roman" w:eastAsia="宋体" w:cs="Times New Roman"/>
      <w:szCs w:val="24"/>
    </w:rPr>
  </w:style>
  <w:style w:type="character" w:customStyle="1" w:styleId="16">
    <w:name w:val="标题 Char"/>
    <w:basedOn w:val="12"/>
    <w:link w:val="10"/>
    <w:qFormat/>
    <w:uiPriority w:val="10"/>
    <w:rPr>
      <w:rFonts w:ascii="方正小标宋简体" w:hAnsi="等线 Light" w:eastAsia="方正小标宋简体" w:cs="Times New Roman"/>
      <w:sz w:val="44"/>
      <w:szCs w:val="44"/>
    </w:rPr>
  </w:style>
  <w:style w:type="character" w:customStyle="1" w:styleId="17">
    <w:name w:val="副标题 Char"/>
    <w:basedOn w:val="12"/>
    <w:link w:val="8"/>
    <w:qFormat/>
    <w:uiPriority w:val="11"/>
    <w:rPr>
      <w:rFonts w:ascii="等线" w:hAnsi="等线" w:eastAsia="等线" w:cs="Times New Roman"/>
      <w:kern w:val="28"/>
      <w:sz w:val="40"/>
      <w:szCs w:val="40"/>
    </w:rPr>
  </w:style>
  <w:style w:type="character" w:customStyle="1" w:styleId="18">
    <w:name w:val="批注框文本 Char"/>
    <w:basedOn w:val="12"/>
    <w:link w:val="5"/>
    <w:semiHidden/>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table" w:customStyle="1" w:styleId="20">
    <w:name w:val="Table Normal"/>
    <w:semiHidden/>
    <w:unhideWhenUsed/>
    <w:qFormat/>
    <w:uiPriority w:val="0"/>
    <w:rPr>
      <w:rFonts w:ascii="Arial" w:hAnsi="Arial" w:cs="Arial" w:eastAsiaTheme="minorEastAsia"/>
      <w:snapToGrid w:val="0"/>
      <w:color w:val="000000"/>
      <w:sz w:val="21"/>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774</Words>
  <Characters>4417</Characters>
  <Lines>36</Lines>
  <Paragraphs>10</Paragraphs>
  <TotalTime>8</TotalTime>
  <ScaleCrop>false</ScaleCrop>
  <LinksUpToDate>false</LinksUpToDate>
  <CharactersWithSpaces>5181</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2023-12-10T11:27:00Z</dcterms:created>
  <dc:creator>Windows 用户</dc:creator>
  <cp:lastModifiedBy>S</cp:lastModifiedBy>
  <dcterms:modified xsi:type="dcterms:W3CDTF">2026-07-30T15:44:22Z</dcterms:modified>
  <cp:revision>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C36D5870CE4084FE14B26A6AF50C8B15_43</vt:lpwstr>
  </property>
</Properties>
</file>