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50236">
      <w:pPr>
        <w:jc w:val="center"/>
        <w:rPr>
          <w:rFonts w:hint="eastAsia" w:ascii="方正仿宋_GB2312" w:hAnsi="方正仿宋_GB2312" w:eastAsia="方正仿宋_GB2312" w:cs="方正仿宋_GB2312"/>
          <w:sz w:val="32"/>
          <w:szCs w:val="32"/>
        </w:rPr>
      </w:pPr>
      <w:r>
        <w:rPr>
          <w:rFonts w:hint="eastAsia" w:ascii="方正小标宋简体" w:hAnsi="方正小标宋简体" w:eastAsia="方正小标宋简体" w:cs="方正小标宋简体"/>
          <w:sz w:val="44"/>
          <w:szCs w:val="44"/>
        </w:rPr>
        <w:t>《云南省玉溪市江川区烟草制品零售点合理布局规划（修订草案）》听证会听证报告</w:t>
      </w:r>
    </w:p>
    <w:p w14:paraId="21D7C4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玉溪市江川区烟草专卖局</w:t>
      </w:r>
    </w:p>
    <w:p w14:paraId="0C205A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rPr>
        <w:t>2026年9月23日</w:t>
      </w:r>
    </w:p>
    <w:p w14:paraId="76D7A624">
      <w:pPr>
        <w:pStyle w:val="2"/>
        <w:bidi w:val="0"/>
        <w:rPr>
          <w:rFonts w:hint="eastAsia"/>
        </w:rPr>
      </w:pPr>
      <w:r>
        <w:rPr>
          <w:rFonts w:hint="eastAsia"/>
        </w:rPr>
        <w:t>一、听证事由</w:t>
      </w:r>
    </w:p>
    <w:p w14:paraId="370D2C2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切实保障人民群众的知情权、参与权、表达权、监督权，广泛听取社会各界意见，提高行政决策的科学性、民主性和合法性，根据《玉溪市人民政府重大决策听证制度实施细则（试行）》的有关规定，玉溪市江川区烟草专卖局就《云南省玉溪市江川区烟草制品零售点合理布局规划（修订草案）》（以下简称《修订草案》）举行听证会，征求社会各界对《修订草案》的意见和建议。</w:t>
      </w:r>
    </w:p>
    <w:p w14:paraId="66E5E0BD">
      <w:pPr>
        <w:pStyle w:val="2"/>
        <w:bidi w:val="0"/>
        <w:rPr>
          <w:rFonts w:hint="eastAsia" w:ascii="方正仿宋_GB2312" w:hAnsi="方正仿宋_GB2312" w:eastAsia="方正仿宋_GB2312" w:cs="方正仿宋_GB2312"/>
          <w:sz w:val="32"/>
          <w:szCs w:val="32"/>
        </w:rPr>
      </w:pPr>
      <w:r>
        <w:rPr>
          <w:rFonts w:hint="eastAsia"/>
        </w:rPr>
        <w:t>二、听证会举行的时间、地点、参加人</w:t>
      </w:r>
    </w:p>
    <w:p w14:paraId="51FC1BC2">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方正仿宋_GB2312" w:hAnsi="方正仿宋_GB2312" w:eastAsia="方正仿宋_GB2312" w:cs="方正仿宋_GB2312"/>
          <w:sz w:val="32"/>
          <w:szCs w:val="32"/>
        </w:rPr>
      </w:pPr>
      <w:r>
        <w:rPr>
          <w:rStyle w:val="7"/>
          <w:rFonts w:hint="eastAsia"/>
        </w:rPr>
        <w:t>（一）时间、地点。</w:t>
      </w:r>
      <w:r>
        <w:rPr>
          <w:rFonts w:hint="eastAsia" w:ascii="方正仿宋_GB2312" w:hAnsi="方正仿宋_GB2312" w:eastAsia="方正仿宋_GB2312" w:cs="方正仿宋_GB2312"/>
          <w:sz w:val="32"/>
          <w:szCs w:val="32"/>
        </w:rPr>
        <w:t>听证会于2026年9月23日（星期三）上午9:30至10:30，在江川区景湖酒店三楼一号会议室举行。</w:t>
      </w:r>
    </w:p>
    <w:p w14:paraId="1C1DF46E">
      <w:pPr>
        <w:pStyle w:val="3"/>
        <w:bidi w:val="0"/>
        <w:rPr>
          <w:rFonts w:hint="eastAsia"/>
        </w:rPr>
      </w:pPr>
      <w:r>
        <w:rPr>
          <w:rFonts w:hint="eastAsia"/>
        </w:rPr>
        <w:t>（二）听证组织机构及工作人员</w:t>
      </w:r>
    </w:p>
    <w:p w14:paraId="373D793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听证主持人：李佰乐，玉溪市江川区烟草专卖局副局长；</w:t>
      </w:r>
    </w:p>
    <w:p w14:paraId="28869C2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决策发言人：余赟赟，玉溪市江川区烟草专卖局专卖监督管理办公室主任；</w:t>
      </w:r>
    </w:p>
    <w:p w14:paraId="3B0E241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听证记录人：申雪梅，玉溪市江川区烟草专卖局专卖监督管理办公室副主任；王微微，玉溪市江川区烟草专卖局法制员；</w:t>
      </w:r>
    </w:p>
    <w:p w14:paraId="2CCA403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听证监察人：</w:t>
      </w:r>
      <w:r>
        <w:rPr>
          <w:rFonts w:hint="eastAsia" w:ascii="方正仿宋_GB2312" w:hAnsi="方正仿宋_GB2312" w:eastAsia="方正仿宋_GB2312" w:cs="方正仿宋_GB2312"/>
          <w:sz w:val="32"/>
          <w:szCs w:val="32"/>
          <w:lang w:val="en-US" w:eastAsia="zh-CN"/>
        </w:rPr>
        <w:t>江川区司法局公证处</w:t>
      </w:r>
      <w:r>
        <w:rPr>
          <w:rFonts w:hint="eastAsia" w:ascii="方正仿宋_GB2312" w:hAnsi="方正仿宋_GB2312" w:eastAsia="方正仿宋_GB2312" w:cs="方正仿宋_GB2312"/>
          <w:sz w:val="32"/>
          <w:szCs w:val="32"/>
        </w:rPr>
        <w:t>冯艳</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李梦雪；</w:t>
      </w:r>
    </w:p>
    <w:p w14:paraId="3088EAEA">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方正仿宋_GB2312" w:hAnsi="方正仿宋_GB2312" w:eastAsia="方正仿宋_GB2312" w:cs="方正仿宋_GB2312"/>
          <w:sz w:val="32"/>
          <w:szCs w:val="32"/>
        </w:rPr>
      </w:pPr>
      <w:r>
        <w:rPr>
          <w:rStyle w:val="7"/>
          <w:rFonts w:hint="eastAsia"/>
        </w:rPr>
        <w:t>（三）听证代表。</w:t>
      </w:r>
      <w:r>
        <w:rPr>
          <w:rFonts w:hint="eastAsia" w:ascii="方正仿宋_GB2312" w:hAnsi="方正仿宋_GB2312" w:eastAsia="方正仿宋_GB2312" w:cs="方正仿宋_GB2312"/>
          <w:sz w:val="32"/>
          <w:szCs w:val="32"/>
        </w:rPr>
        <w:t>本次听证会听证代表共43人，经记录员在听证监察人监督下核实身份及到会情况，实到会40人，符合《玉溪市人民政</w:t>
      </w:r>
      <w:bookmarkStart w:id="0" w:name="_GoBack"/>
      <w:bookmarkEnd w:id="0"/>
      <w:r>
        <w:rPr>
          <w:rFonts w:hint="eastAsia" w:ascii="方正仿宋_GB2312" w:hAnsi="方正仿宋_GB2312" w:eastAsia="方正仿宋_GB2312" w:cs="方正仿宋_GB2312"/>
          <w:sz w:val="32"/>
          <w:szCs w:val="32"/>
        </w:rPr>
        <w:t>府重大决策听证制度实施细则（试行）》关于应到会人数三分之二以上的规定。到会代表构成为：</w:t>
      </w:r>
    </w:p>
    <w:p w14:paraId="787834E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持证卷烟零售户代表14人：岳志红、沈学峰、王惠芬、段云芬、张俊、陈云顺、陈静、张丹、张坤华、刘普荣、周秀芬、刘涛、史梁、侯华仙；</w:t>
      </w:r>
    </w:p>
    <w:p w14:paraId="1C62344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未持证工商经营户代表4人：应玲玲、周方媛、陈跃秀、蒋立；</w:t>
      </w:r>
    </w:p>
    <w:p w14:paraId="6F3E006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消费者代表5人：戴秀华、杨冬、郭春鸿、吴定坤、张伟臻；</w:t>
      </w:r>
    </w:p>
    <w:p w14:paraId="5874E61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人大代表、政协委员、政府部门及行业代表17人：付纲（区人大常委会）、李必忠（区政协）、杨竹欣（区人民检察院）、业文洪（区人民法院）、张春鸿（市公安局江川分局）、王国全（区市场监督管理局）、陈笑蓉（区退役军人事务局）、龚雪娟（区卫生健康局）、顾海燕（区教育体育局）、杨千喜（区发展和改革委员会）、刘登魁（区残疾人联合会）、李世颖（区政务服务管理局）、张文娟（区烟草产业服务中心）、杨妹（玉溪市烟草专卖局）、张赟（玉溪市烟草专卖局）、马秀丽（江川区烟草专卖局）、花瑞（江川区烟草专卖局）。</w:t>
      </w:r>
    </w:p>
    <w:p w14:paraId="340862A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金双平、赵盈盈、白俊3名代表因故未到会。</w:t>
      </w:r>
    </w:p>
    <w:p w14:paraId="37CCF126">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方正仿宋_GB2312" w:hAnsi="方正仿宋_GB2312" w:eastAsia="方正仿宋_GB2312" w:cs="方正仿宋_GB2312"/>
          <w:sz w:val="32"/>
          <w:szCs w:val="32"/>
        </w:rPr>
      </w:pPr>
      <w:r>
        <w:rPr>
          <w:rStyle w:val="7"/>
          <w:rFonts w:hint="eastAsia"/>
        </w:rPr>
        <w:t>（四）其他参加人员。</w:t>
      </w:r>
      <w:r>
        <w:rPr>
          <w:rFonts w:hint="eastAsia" w:ascii="方正仿宋_GB2312" w:hAnsi="方正仿宋_GB2312" w:eastAsia="方正仿宋_GB2312" w:cs="方正仿宋_GB2312"/>
          <w:sz w:val="32"/>
          <w:szCs w:val="32"/>
        </w:rPr>
        <w:t>江川区融媒体中心记者到会采访报道；云南省玉溪市国立公证处公证员王芳、包春燕，对本次听证会进行现场监督公证。</w:t>
      </w:r>
    </w:p>
    <w:p w14:paraId="2EC16158">
      <w:pPr>
        <w:pStyle w:val="2"/>
        <w:bidi w:val="0"/>
        <w:rPr>
          <w:rFonts w:hint="eastAsia"/>
        </w:rPr>
      </w:pPr>
      <w:r>
        <w:rPr>
          <w:rFonts w:hint="eastAsia"/>
        </w:rPr>
        <w:t>三、各个方面听证代表的主要意见及理由</w:t>
      </w:r>
    </w:p>
    <w:p w14:paraId="2764B60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听证会上，到会听证代表围绕《修订草案》进行了质询、提问和发表意见，除下述意见外，其余到会代表对《修订草案》未提出新的质询和意见。</w:t>
      </w:r>
    </w:p>
    <w:p w14:paraId="20309C7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持证零售户代表张俊对《修订草案》第二十条提出意见：该条对连续经营5年以上且无涉烟违法违规记录的守法持证户，因客观原因搬迁新办许可证的，规定零售点间距可放宽至本单元网格间距标准的40%执行，其认为放宽幅度过宽，不利于原有持证零售户合理利益，容易引发恶性竞争，建议仍按原规定的50米以上间距执行，或将放宽幅度收紧至间距标准的80%左右。</w:t>
      </w:r>
    </w:p>
    <w:p w14:paraId="0DBA8340">
      <w:pPr>
        <w:pStyle w:val="2"/>
        <w:bidi w:val="0"/>
        <w:rPr>
          <w:rFonts w:hint="eastAsia" w:ascii="方正仿宋_GB2312" w:hAnsi="方正仿宋_GB2312" w:eastAsia="方正仿宋_GB2312" w:cs="方正仿宋_GB2312"/>
          <w:sz w:val="32"/>
          <w:szCs w:val="32"/>
        </w:rPr>
      </w:pPr>
      <w:r>
        <w:rPr>
          <w:rFonts w:hint="eastAsia"/>
        </w:rPr>
        <w:t>四、决策发言人的主要意见及理由</w:t>
      </w:r>
    </w:p>
    <w:p w14:paraId="417205F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针对听证代表提出的上述意见，决策发言人余赟赟现场进行了答辩，主要意见及理由如下：</w:t>
      </w:r>
    </w:p>
    <w:p w14:paraId="700F003B">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方正仿宋_GB2312" w:hAnsi="方正仿宋_GB2312" w:eastAsia="方正仿宋_GB2312" w:cs="方正仿宋_GB2312"/>
          <w:sz w:val="32"/>
          <w:szCs w:val="32"/>
        </w:rPr>
      </w:pPr>
      <w:r>
        <w:rPr>
          <w:rStyle w:val="7"/>
          <w:rFonts w:hint="eastAsia"/>
        </w:rPr>
        <w:t>（一）关于间距放宽幅度问题。</w:t>
      </w:r>
      <w:r>
        <w:rPr>
          <w:rFonts w:hint="eastAsia" w:ascii="方正仿宋_GB2312" w:hAnsi="方正仿宋_GB2312" w:eastAsia="方正仿宋_GB2312" w:cs="方正仿宋_GB2312"/>
          <w:sz w:val="32"/>
          <w:szCs w:val="32"/>
        </w:rPr>
        <w:t>第二十条将间距放宽至本单元网格间距标准的40%，与现行合理布局规划中优抚对象、中小学校及幼儿园周边零售户搬迁后新办许可证的放宽条件保持一致，有利于维护许可政策的统一性和公平性，避免不同群体适用标准不一。</w:t>
      </w:r>
    </w:p>
    <w:p w14:paraId="77DE5DA3">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方正仿宋_GB2312" w:hAnsi="方正仿宋_GB2312" w:eastAsia="方正仿宋_GB2312" w:cs="方正仿宋_GB2312"/>
          <w:sz w:val="32"/>
          <w:szCs w:val="32"/>
        </w:rPr>
      </w:pPr>
      <w:r>
        <w:rPr>
          <w:rStyle w:val="7"/>
          <w:rFonts w:hint="eastAsia"/>
        </w:rPr>
        <w:t>（二）关于放宽幅度的合理性。</w:t>
      </w:r>
      <w:r>
        <w:rPr>
          <w:rFonts w:hint="eastAsia" w:ascii="方正仿宋_GB2312" w:hAnsi="方正仿宋_GB2312" w:eastAsia="方正仿宋_GB2312" w:cs="方正仿宋_GB2312"/>
          <w:sz w:val="32"/>
          <w:szCs w:val="32"/>
        </w:rPr>
        <w:t>根据前期调研掌握的情况，间距放宽至40%，能够在保护长期守法经营者经营预期与维护辖区零售市场秩序、防止过度饱和之间取得平衡。若按代表建议收窄放宽幅度，将难以达到建立守法经营保护机制的修订目的，不利于回应基层执法和零售户反映的实际问题。综上，对第二十条的间距放宽幅度予以保留。</w:t>
      </w:r>
    </w:p>
    <w:p w14:paraId="1806D40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此外，决策发言人向听证代表说明了《修订草案》的修订背景、依据和主要内容：现行《规划》自2025年1月1日施行、2025年11月1日第一次修订以来，随着烟草制品零售市场结构性变化及国家烟草专卖局《完善烟草专卖零售许可管理优化政务服务工作指引》（国烟法〔2024〕55号）等政策文件出台，部分内容已不能适应监管实践需要。本次修订主要涉及新增第十一条（大型经营场所设置规则）、调整第十二条附件规划数（总量由1243个调整为1370个）、删除第十六条业态互补性限制条款、扩大第十七条优抚对象范围（新增"病故军人遗属"）、删除第十八、十九条地址变更30日时限限制、新增第二十条守法经营保护机制等六个方面。</w:t>
      </w:r>
    </w:p>
    <w:p w14:paraId="08862EE8">
      <w:pPr>
        <w:pStyle w:val="2"/>
        <w:bidi w:val="0"/>
        <w:rPr>
          <w:rFonts w:hint="eastAsia" w:ascii="方正仿宋_GB2312" w:hAnsi="方正仿宋_GB2312" w:eastAsia="方正仿宋_GB2312" w:cs="方正仿宋_GB2312"/>
          <w:sz w:val="32"/>
          <w:szCs w:val="32"/>
        </w:rPr>
      </w:pPr>
      <w:r>
        <w:rPr>
          <w:rFonts w:hint="eastAsia"/>
        </w:rPr>
        <w:t>五、听证会评议情况和听证意见、建议的采纳情况</w:t>
      </w:r>
    </w:p>
    <w:p w14:paraId="701D8168">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方正仿宋_GB2312" w:hAnsi="方正仿宋_GB2312" w:eastAsia="方正仿宋_GB2312" w:cs="方正仿宋_GB2312"/>
          <w:sz w:val="32"/>
          <w:szCs w:val="32"/>
        </w:rPr>
      </w:pPr>
      <w:r>
        <w:rPr>
          <w:rStyle w:val="7"/>
          <w:rFonts w:hint="eastAsia"/>
        </w:rPr>
        <w:t>（一）评议情况。</w:t>
      </w:r>
      <w:r>
        <w:rPr>
          <w:rFonts w:hint="eastAsia" w:ascii="方正仿宋_GB2312" w:hAnsi="方正仿宋_GB2312" w:eastAsia="方正仿宋_GB2312" w:cs="方正仿宋_GB2312"/>
          <w:sz w:val="32"/>
          <w:szCs w:val="32"/>
        </w:rPr>
        <w:t>经审议，与会代表对《修订草案》进行表决：应到会代表43人，实到会40人；表决结果为：同意34票，不同意1票，弃权5票，同意票占实到会代表的85%。会议形成的听证笔录经听证主持人、记录人、听证代表、决策发言人、听证监察人审阅签字确认，云南省玉溪市国立公证处对听证会现场进行了公证。</w:t>
      </w:r>
    </w:p>
    <w:p w14:paraId="2DAAB0D7">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rPr>
          <w:rFonts w:hint="eastAsia" w:ascii="方正仿宋_GB2312" w:hAnsi="方正仿宋_GB2312" w:eastAsia="方正仿宋_GB2312" w:cs="方正仿宋_GB2312"/>
          <w:sz w:val="32"/>
          <w:szCs w:val="32"/>
        </w:rPr>
      </w:pPr>
      <w:r>
        <w:rPr>
          <w:rStyle w:val="7"/>
          <w:rFonts w:hint="eastAsia"/>
        </w:rPr>
        <w:t>（二）听证意见、建议的采纳情况。</w:t>
      </w:r>
      <w:r>
        <w:rPr>
          <w:rFonts w:hint="eastAsia" w:ascii="方正仿宋_GB2312" w:hAnsi="方正仿宋_GB2312" w:eastAsia="方正仿宋_GB2312" w:cs="方正仿宋_GB2312"/>
          <w:sz w:val="32"/>
          <w:szCs w:val="32"/>
        </w:rPr>
        <w:t>对持证零售户代表张俊提出的"将间距放宽幅度按50米执行或收紧至80%"的建议，经我局研究，不予采纳，理由与决策发言人答辩意见一致：一是40%的放宽幅度与现行规划对优抚对象、校园周边搬迁零售户的放宽条件保持一致，有利于政策统一和公平适用；二是该幅度系经前期调研论证确定，在保护守法经营者与维护市场秩序之间取得了平衡。我局将结合公开征求意见、座谈会、函调征求意见等渠道收集的意见建议，对《修订草案》作进一步修改完善。</w:t>
      </w:r>
    </w:p>
    <w:p w14:paraId="4B67750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p>
    <w:p w14:paraId="4592ED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特此报告。</w:t>
      </w:r>
    </w:p>
    <w:sectPr>
      <w:pgSz w:w="11906" w:h="16838"/>
      <w:pgMar w:top="2098" w:right="1474" w:bottom="1984" w:left="1587" w:header="1361" w:footer="119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Heiti SC Medium">
    <w:panose1 w:val="02000000000000000000"/>
    <w:charset w:val="86"/>
    <w:family w:val="auto"/>
    <w:pitch w:val="default"/>
    <w:sig w:usb0="8000002F" w:usb1="0800004A" w:usb2="00000000" w:usb3="00000000" w:csb0="203E0000" w:csb1="00000000"/>
  </w:font>
  <w:font w:name="Kaiti SC">
    <w:panose1 w:val="02010600040101010101"/>
    <w:charset w:val="86"/>
    <w:family w:val="auto"/>
    <w:pitch w:val="default"/>
    <w:sig w:usb0="80000287" w:usb1="280F3C52" w:usb2="00000016" w:usb3="00000000" w:csb0="0004001F" w:csb1="00000000"/>
  </w:font>
  <w:font w:name="FZFangSong-Z02S">
    <w:panose1 w:val="02000000000000000000"/>
    <w:charset w:val="86"/>
    <w:family w:val="auto"/>
    <w:pitch w:val="default"/>
    <w:sig w:usb0="A00002BF" w:usb1="184F6CFA" w:usb2="00000012"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Regular">
    <w:panose1 w:val="02000503000000020004"/>
    <w:charset w:val="00"/>
    <w:family w:val="auto"/>
    <w:pitch w:val="default"/>
    <w:sig w:usb0="E50002FF" w:usb1="500079DB" w:usb2="00000010" w:usb3="00000000" w:csb0="00000000" w:csb1="00000000"/>
  </w:font>
  <w:font w:name="方正小标宋简体">
    <w:panose1 w:val="02000000000000000000"/>
    <w:charset w:val="86"/>
    <w:family w:val="auto"/>
    <w:pitch w:val="default"/>
    <w:sig w:usb0="00000001" w:usb1="08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altName w:val="汉仪楷体简"/>
    <w:panose1 w:val="00000000000000000000"/>
    <w:charset w:val="00"/>
    <w:family w:val="auto"/>
    <w:pitch w:val="default"/>
    <w:sig w:usb0="00000000" w:usb1="00000000" w:usb2="00000000" w:usb3="00000000" w:csb0="00000000" w:csb1="00000000"/>
  </w:font>
  <w:font w:name="汉仪楷体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1"/>
  <w:bordersDoNotSurroundFooter w:val="1"/>
  <w:documentProtection w:enforcement="0"/>
  <w:defaultTabStop w:val="420"/>
  <w:evenAndOddHeaders w:val="1"/>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FC41DBE"/>
    <w:rsid w:val="3B6D25BF"/>
    <w:rsid w:val="4E5C7705"/>
    <w:rsid w:val="5FFFD3F4"/>
    <w:rsid w:val="7DAFE5C2"/>
    <w:rsid w:val="AFC41DBE"/>
    <w:rsid w:val="B5FFB476"/>
    <w:rsid w:val="FEB3A053"/>
    <w:rsid w:val="FFDDD9B8"/>
    <w:rsid w:val="FFFF3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420" w:firstLineChars="200"/>
      <w:jc w:val="left"/>
      <w:outlineLvl w:val="0"/>
    </w:pPr>
    <w:rPr>
      <w:rFonts w:eastAsia="Heiti SC Medium" w:asciiTheme="minorAscii" w:hAnsiTheme="minorAscii"/>
      <w:kern w:val="44"/>
      <w:sz w:val="32"/>
    </w:rPr>
  </w:style>
  <w:style w:type="paragraph" w:styleId="3">
    <w:name w:val="heading 2"/>
    <w:basedOn w:val="1"/>
    <w:next w:val="1"/>
    <w:link w:val="7"/>
    <w:unhideWhenUsed/>
    <w:qFormat/>
    <w:uiPriority w:val="0"/>
    <w:pPr>
      <w:keepNext/>
      <w:keepLines/>
      <w:spacing w:beforeLines="0" w:beforeAutospacing="0" w:afterLines="0" w:afterAutospacing="0" w:line="560" w:lineRule="exact"/>
      <w:ind w:firstLine="420" w:firstLineChars="200"/>
      <w:jc w:val="left"/>
      <w:outlineLvl w:val="1"/>
    </w:pPr>
    <w:rPr>
      <w:rFonts w:ascii="Arial" w:hAnsi="Arial" w:eastAsia="Kaiti SC"/>
      <w:b/>
      <w:sz w:val="32"/>
    </w:rPr>
  </w:style>
  <w:style w:type="paragraph" w:styleId="4">
    <w:name w:val="heading 3"/>
    <w:basedOn w:val="1"/>
    <w:next w:val="1"/>
    <w:semiHidden/>
    <w:unhideWhenUsed/>
    <w:qFormat/>
    <w:uiPriority w:val="0"/>
    <w:pPr>
      <w:keepNext/>
      <w:keepLines/>
      <w:spacing w:before="120" w:beforeLines="0" w:beforeAutospacing="0" w:after="120" w:afterLines="0" w:afterAutospacing="0" w:line="300" w:lineRule="exact"/>
      <w:ind w:leftChars="200"/>
      <w:outlineLvl w:val="2"/>
    </w:pPr>
    <w:rPr>
      <w:rFonts w:eastAsia="FZFangSong-Z02S" w:cs="FZFangSong-Z02S" w:asciiTheme="minorAscii" w:hAnsiTheme="minorAscii"/>
      <w:b/>
      <w:bCs/>
      <w:sz w:val="2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customStyle="1" w:styleId="7">
    <w:name w:val="标题 2 Char"/>
    <w:link w:val="3"/>
    <w:uiPriority w:val="0"/>
    <w:rPr>
      <w:rFonts w:ascii="Arial" w:hAnsi="Arial" w:eastAsia="Kaiti SC"/>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11</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2026-09-23T13:17:00Z</dcterms:created>
  <dc:creator>S</dc:creator>
  <cp:lastModifiedBy>S</cp:lastModifiedBy>
  <dcterms:modified xsi:type="dcterms:W3CDTF">2026-09-23T13:30:08Z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473F89B4816D806B0561B36A0FB896D2_41</vt:lpwstr>
  </property>
</Properties>
</file>