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前卫镇2020年政府信息公开工作年度报告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42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总体情况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2020</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前卫镇在</w:t>
      </w:r>
      <w:r>
        <w:rPr>
          <w:rFonts w:hint="eastAsia" w:ascii="Times New Roman" w:hAnsi="Times New Roman" w:eastAsia="方正仿宋_GBK" w:cs="Times New Roman"/>
          <w:sz w:val="32"/>
          <w:szCs w:val="32"/>
          <w:lang w:eastAsia="zh-CN"/>
        </w:rPr>
        <w:t>区委</w:t>
      </w:r>
      <w:r>
        <w:rPr>
          <w:rFonts w:hint="default" w:ascii="Times New Roman" w:hAnsi="Times New Roman" w:eastAsia="方正仿宋_GBK" w:cs="Times New Roman"/>
          <w:sz w:val="32"/>
          <w:szCs w:val="32"/>
          <w:lang w:eastAsia="zh-CN"/>
        </w:rPr>
        <w:t>区政府</w:t>
      </w:r>
      <w:r>
        <w:rPr>
          <w:rFonts w:hint="default" w:ascii="Times New Roman" w:hAnsi="Times New Roman" w:eastAsia="方正仿宋_GBK" w:cs="Times New Roman"/>
          <w:sz w:val="32"/>
          <w:szCs w:val="32"/>
        </w:rPr>
        <w:t>的指导下，</w:t>
      </w:r>
      <w:r>
        <w:rPr>
          <w:rFonts w:hint="default" w:ascii="Times New Roman" w:hAnsi="Times New Roman" w:eastAsia="方正仿宋_GBK" w:cs="Times New Roman"/>
          <w:sz w:val="32"/>
          <w:szCs w:val="32"/>
          <w:lang w:val="en-US" w:eastAsia="zh-CN"/>
        </w:rPr>
        <w:t>按照《中华人民共和国政府信息公开条例》的有关规定及政府信息公开工作年度报告编制和公布工作文件要求，</w:t>
      </w:r>
      <w:r>
        <w:rPr>
          <w:rFonts w:hint="default" w:ascii="Times New Roman" w:hAnsi="Times New Roman" w:eastAsia="方正仿宋_GBK" w:cs="Times New Roman"/>
          <w:color w:val="000000"/>
          <w:sz w:val="32"/>
          <w:szCs w:val="32"/>
        </w:rPr>
        <w:t>认真</w:t>
      </w:r>
      <w:r>
        <w:rPr>
          <w:rFonts w:hint="default" w:ascii="Times New Roman" w:hAnsi="Times New Roman" w:eastAsia="方正仿宋_GBK" w:cs="Times New Roman"/>
          <w:color w:val="000000"/>
          <w:sz w:val="32"/>
          <w:szCs w:val="32"/>
          <w:lang w:val="en-US" w:eastAsia="zh-CN"/>
        </w:rPr>
        <w:t>落实</w:t>
      </w:r>
      <w:r>
        <w:rPr>
          <w:rFonts w:hint="default" w:ascii="Times New Roman" w:hAnsi="Times New Roman" w:eastAsia="方正仿宋_GBK" w:cs="Times New Roman"/>
          <w:color w:val="000000"/>
          <w:sz w:val="32"/>
          <w:szCs w:val="32"/>
        </w:rPr>
        <w:t>政务公开</w:t>
      </w:r>
      <w:r>
        <w:rPr>
          <w:rFonts w:hint="default" w:ascii="Times New Roman" w:hAnsi="Times New Roman" w:eastAsia="方正仿宋_GBK" w:cs="Times New Roman"/>
          <w:color w:val="000000"/>
          <w:sz w:val="32"/>
          <w:szCs w:val="32"/>
          <w:lang w:val="en-US" w:eastAsia="zh-CN"/>
        </w:rPr>
        <w:t>工作</w:t>
      </w:r>
      <w:r>
        <w:rPr>
          <w:rFonts w:hint="eastAsia"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sz w:val="32"/>
          <w:szCs w:val="32"/>
          <w:lang w:val="en-US" w:eastAsia="zh-CN"/>
        </w:rPr>
        <w:t>完善机制体制，突出重点，狠抓落实，加大政府信息和政务公开工作力度，创新公开方式，扎实推进我镇政务公开高质量发展，</w:t>
      </w:r>
      <w:r>
        <w:rPr>
          <w:rFonts w:hint="default" w:ascii="Times New Roman" w:hAnsi="Times New Roman" w:eastAsia="方正仿宋_GBK" w:cs="Times New Roman"/>
          <w:sz w:val="32"/>
          <w:szCs w:val="32"/>
          <w:lang w:val="en-US" w:eastAsia="zh-CN"/>
        </w:rPr>
        <w:t>现将我镇</w:t>
      </w:r>
      <w:r>
        <w:rPr>
          <w:rFonts w:hint="eastAsia" w:ascii="Times New Roman" w:hAnsi="Times New Roman" w:eastAsia="方正仿宋_GBK" w:cs="Times New Roman"/>
          <w:sz w:val="32"/>
          <w:szCs w:val="32"/>
          <w:lang w:val="en-US" w:eastAsia="zh-CN"/>
        </w:rPr>
        <w:t>2020</w:t>
      </w:r>
      <w:r>
        <w:rPr>
          <w:rFonts w:hint="default" w:ascii="Times New Roman" w:hAnsi="Times New Roman" w:eastAsia="方正仿宋_GBK" w:cs="Times New Roman"/>
          <w:sz w:val="32"/>
          <w:szCs w:val="32"/>
          <w:lang w:val="en-US" w:eastAsia="zh-CN"/>
        </w:rPr>
        <w:t>年度政府信息公开工作情况报告如下：</w:t>
      </w:r>
    </w:p>
    <w:p>
      <w:pPr>
        <w:keepNext w:val="0"/>
        <w:keepLines w:val="0"/>
        <w:pageBreakBefore w:val="0"/>
        <w:numPr>
          <w:ilvl w:val="0"/>
          <w:numId w:val="2"/>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主动公开政府信息情况。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主动公开的政府信息数量</w:t>
      </w:r>
      <w:r>
        <w:rPr>
          <w:rFonts w:hint="eastAsia" w:ascii="Times New Roman" w:hAnsi="Times New Roman" w:eastAsia="方正仿宋_GBK" w:cs="Times New Roman"/>
          <w:sz w:val="32"/>
          <w:szCs w:val="32"/>
          <w:lang w:eastAsia="zh-CN"/>
        </w:rPr>
        <w:t>。前卫镇</w:t>
      </w:r>
      <w:r>
        <w:rPr>
          <w:rFonts w:hint="eastAsia" w:ascii="Times New Roman" w:hAnsi="Times New Roman" w:eastAsia="方正仿宋_GBK" w:cs="Times New Roman"/>
          <w:sz w:val="32"/>
          <w:szCs w:val="32"/>
          <w:lang w:val="en-US" w:eastAsia="zh-CN"/>
        </w:rPr>
        <w:t>自2020年1月1日起至2020年12月31日止</w:t>
      </w:r>
      <w:r>
        <w:rPr>
          <w:rFonts w:hint="eastAsia" w:ascii="Times New Roman" w:hAnsi="Times New Roman" w:eastAsia="方正仿宋_GBK" w:cs="Times New Roman"/>
          <w:sz w:val="32"/>
          <w:szCs w:val="32"/>
          <w:lang w:eastAsia="zh-CN"/>
        </w:rPr>
        <w:t>，通过政府门户网站主动公开信息</w:t>
      </w:r>
      <w:r>
        <w:rPr>
          <w:rFonts w:hint="eastAsia" w:ascii="Times New Roman" w:hAnsi="Times New Roman" w:eastAsia="方正仿宋_GBK" w:cs="Times New Roman"/>
          <w:sz w:val="32"/>
          <w:szCs w:val="32"/>
          <w:lang w:val="en-US" w:eastAsia="zh-CN"/>
        </w:rPr>
        <w:t>207</w:t>
      </w:r>
      <w:r>
        <w:rPr>
          <w:rFonts w:hint="eastAsia" w:ascii="Times New Roman" w:hAnsi="Times New Roman" w:eastAsia="方正仿宋_GBK" w:cs="Times New Roman"/>
          <w:sz w:val="32"/>
          <w:szCs w:val="32"/>
          <w:lang w:eastAsia="zh-CN"/>
        </w:rPr>
        <w:t>条。</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主动公开的政府信息内容</w:t>
      </w:r>
      <w:r>
        <w:rPr>
          <w:rFonts w:hint="eastAsia" w:ascii="Times New Roman" w:hAnsi="Times New Roman" w:eastAsia="方正仿宋_GBK" w:cs="Times New Roman"/>
          <w:sz w:val="32"/>
          <w:szCs w:val="32"/>
          <w:lang w:eastAsia="zh-CN"/>
        </w:rPr>
        <w:t>。2020</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前卫镇</w:t>
      </w:r>
      <w:r>
        <w:rPr>
          <w:rFonts w:hint="eastAsia" w:ascii="Times New Roman" w:hAnsi="Times New Roman" w:eastAsia="方正仿宋_GBK" w:cs="Times New Roman"/>
          <w:sz w:val="32"/>
          <w:szCs w:val="32"/>
        </w:rPr>
        <w:t>把主动公开政府信息作为工作重点，扎实推进政府信息公开工作。信息公开范围重点</w:t>
      </w:r>
      <w:r>
        <w:rPr>
          <w:rFonts w:hint="eastAsia" w:ascii="Times New Roman" w:hAnsi="Times New Roman" w:eastAsia="方正仿宋_GBK" w:cs="Times New Roman"/>
          <w:sz w:val="32"/>
          <w:szCs w:val="32"/>
          <w:lang w:val="en-US" w:eastAsia="zh-CN"/>
        </w:rPr>
        <w:t>主要是</w:t>
      </w:r>
      <w:r>
        <w:rPr>
          <w:rFonts w:hint="eastAsia" w:ascii="Times New Roman" w:hAnsi="Times New Roman" w:eastAsia="方正仿宋_GBK" w:cs="Times New Roman"/>
          <w:sz w:val="32"/>
          <w:szCs w:val="32"/>
        </w:rPr>
        <w:t>机构信息、政策文件、决策信息、工作信息等四大类。</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420" w:leftChars="0" w:right="0" w:rightChars="0"/>
        <w:jc w:val="left"/>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（二）政府依申请公开办理情况。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1.受理依申请公开政府信息情况。</w:t>
      </w:r>
      <w:r>
        <w:rPr>
          <w:rFonts w:hint="eastAsia" w:ascii="Times New Roman" w:hAnsi="Times New Roman" w:eastAsia="方正仿宋_GBK" w:cs="Times New Roman"/>
          <w:sz w:val="32"/>
          <w:szCs w:val="32"/>
          <w:lang w:val="en-US" w:eastAsia="zh-CN"/>
        </w:rPr>
        <w:t>2020</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前卫镇</w:t>
      </w:r>
      <w:r>
        <w:rPr>
          <w:rFonts w:hint="default" w:ascii="Times New Roman" w:hAnsi="Times New Roman" w:eastAsia="方正仿宋_GBK" w:cs="Times New Roman"/>
          <w:sz w:val="32"/>
          <w:szCs w:val="32"/>
          <w:lang w:val="en-US" w:eastAsia="zh-CN"/>
        </w:rPr>
        <w:t>未收到相关申请。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2.依申请公开政府信息的办理情况。</w:t>
      </w:r>
      <w:r>
        <w:rPr>
          <w:rFonts w:hint="eastAsia" w:ascii="Times New Roman" w:hAnsi="Times New Roman" w:eastAsia="方正仿宋_GBK" w:cs="Times New Roman"/>
          <w:sz w:val="32"/>
          <w:szCs w:val="32"/>
          <w:lang w:val="en-US" w:eastAsia="zh-CN"/>
        </w:rPr>
        <w:t>2020</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前卫镇</w:t>
      </w:r>
      <w:r>
        <w:rPr>
          <w:rFonts w:hint="default" w:ascii="Times New Roman" w:hAnsi="Times New Roman" w:eastAsia="方正仿宋_GBK" w:cs="Times New Roman"/>
          <w:sz w:val="32"/>
          <w:szCs w:val="32"/>
          <w:lang w:val="en-US" w:eastAsia="zh-CN"/>
        </w:rPr>
        <w:t>无处理情况。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3.“不予公开”的政府信息情况。</w:t>
      </w:r>
      <w:r>
        <w:rPr>
          <w:rFonts w:hint="eastAsia" w:ascii="Times New Roman" w:hAnsi="Times New Roman" w:eastAsia="方正仿宋_GBK" w:cs="Times New Roman"/>
          <w:sz w:val="32"/>
          <w:szCs w:val="32"/>
          <w:lang w:val="en-US" w:eastAsia="zh-CN"/>
        </w:rPr>
        <w:t>2020</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前卫镇</w:t>
      </w:r>
      <w:r>
        <w:rPr>
          <w:rFonts w:hint="default" w:ascii="Times New Roman" w:hAnsi="Times New Roman" w:eastAsia="方正仿宋_GBK" w:cs="Times New Roman"/>
          <w:sz w:val="32"/>
          <w:szCs w:val="32"/>
          <w:lang w:val="en-US" w:eastAsia="zh-CN"/>
        </w:rPr>
        <w:t>没有受理过</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不予公开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的政府信息申请。</w:t>
      </w:r>
    </w:p>
    <w:p>
      <w:pPr>
        <w:keepNext w:val="0"/>
        <w:keepLines w:val="0"/>
        <w:pageBreakBefore w:val="0"/>
        <w:widowControl w:val="0"/>
        <w:numPr>
          <w:ilvl w:val="0"/>
          <w:numId w:val="0"/>
        </w:numPr>
        <w:tabs>
          <w:tab w:val="left" w:pos="1276"/>
          <w:tab w:val="left" w:pos="1321"/>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）政府信息平台建设情况。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一是严格按</w:t>
      </w:r>
      <w:r>
        <w:rPr>
          <w:rFonts w:hint="eastAsia" w:ascii="Times New Roman" w:hAnsi="Times New Roman" w:eastAsia="方正仿宋_GBK" w:cs="Times New Roman"/>
          <w:sz w:val="32"/>
          <w:szCs w:val="32"/>
          <w:lang w:val="en-US" w:eastAsia="zh-CN"/>
        </w:rPr>
        <w:t>照上级要求，依托玉溪市江川区政府信息公开门户网站，开设了机构概况、乡镇概况、重点领域信息公开、政府文件和政策解读、公开指南和公开目录专题专栏等政务信息公开专栏，充分发挥政务平台的作用。二是</w:t>
      </w:r>
      <w:r>
        <w:rPr>
          <w:rFonts w:hint="default" w:ascii="Times New Roman" w:hAnsi="Times New Roman" w:eastAsia="方正仿宋_GBK" w:cs="Times New Roman"/>
          <w:kern w:val="2"/>
          <w:sz w:val="32"/>
          <w:szCs w:val="32"/>
          <w:lang w:val="en-US" w:eastAsia="zh-CN" w:bidi="ar-SA"/>
        </w:rPr>
        <w:t>加强公开平台建设，打造多渠道公开载体，着力搭建高效便捷、渠道多元的公开载体，为公众获取政府信息提供更加便利的条件。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）政府信息公开工作的监督保障情况。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一是</w:t>
      </w:r>
      <w:r>
        <w:rPr>
          <w:rFonts w:hint="eastAsia" w:ascii="方正仿宋_GBK" w:hAnsi="方正仿宋_GBK" w:eastAsia="方正仿宋_GBK" w:cs="方正仿宋_GBK"/>
          <w:sz w:val="32"/>
          <w:szCs w:val="32"/>
        </w:rPr>
        <w:t>为有效促进</w:t>
      </w:r>
      <w:r>
        <w:rPr>
          <w:rFonts w:hint="eastAsia" w:ascii="方正仿宋_GBK" w:hAnsi="方正仿宋_GBK" w:eastAsia="方正仿宋_GBK" w:cs="方正仿宋_GBK"/>
          <w:sz w:val="32"/>
          <w:szCs w:val="32"/>
          <w:lang w:val="en-US" w:eastAsia="zh-CN"/>
        </w:rPr>
        <w:t>前卫</w:t>
      </w:r>
      <w:r>
        <w:rPr>
          <w:rFonts w:hint="eastAsia" w:ascii="方正仿宋_GBK" w:hAnsi="方正仿宋_GBK" w:eastAsia="方正仿宋_GBK" w:cs="方正仿宋_GBK"/>
          <w:sz w:val="32"/>
          <w:szCs w:val="32"/>
        </w:rPr>
        <w:t>镇政务公开政府信息公开工作开展，确保工作规范、有序、有效进行，</w:t>
      </w:r>
      <w:r>
        <w:rPr>
          <w:rFonts w:hint="default" w:ascii="Times New Roman" w:hAnsi="Times New Roman" w:eastAsia="方正仿宋_GBK" w:cs="Times New Roman"/>
          <w:sz w:val="32"/>
          <w:szCs w:val="32"/>
          <w:lang w:val="en-US" w:eastAsia="zh-CN"/>
        </w:rPr>
        <w:t>成</w:t>
      </w:r>
      <w:r>
        <w:rPr>
          <w:rFonts w:hint="eastAsia" w:ascii="Times New Roman" w:hAnsi="Times New Roman" w:eastAsia="方正仿宋_GBK" w:cs="Times New Roman"/>
          <w:sz w:val="32"/>
          <w:szCs w:val="32"/>
          <w:lang w:val="en-US" w:eastAsia="zh-CN"/>
        </w:rPr>
        <w:t>立了政府</w:t>
      </w:r>
      <w:r>
        <w:rPr>
          <w:rFonts w:hint="default" w:ascii="Times New Roman" w:hAnsi="Times New Roman" w:eastAsia="方正仿宋_GBK" w:cs="Times New Roman"/>
          <w:sz w:val="32"/>
          <w:szCs w:val="32"/>
          <w:lang w:val="en-US" w:eastAsia="zh-CN"/>
        </w:rPr>
        <w:t>信息</w:t>
      </w:r>
      <w:r>
        <w:rPr>
          <w:rFonts w:hint="eastAsia" w:ascii="Times New Roman" w:hAnsi="Times New Roman" w:eastAsia="方正仿宋_GBK" w:cs="Times New Roman"/>
          <w:sz w:val="32"/>
          <w:szCs w:val="32"/>
          <w:lang w:val="en-US" w:eastAsia="zh-CN"/>
        </w:rPr>
        <w:t>与政务</w:t>
      </w:r>
      <w:r>
        <w:rPr>
          <w:rFonts w:hint="default" w:ascii="Times New Roman" w:hAnsi="Times New Roman" w:eastAsia="方正仿宋_GBK" w:cs="Times New Roman"/>
          <w:sz w:val="32"/>
          <w:szCs w:val="32"/>
          <w:lang w:val="en-US" w:eastAsia="zh-CN"/>
        </w:rPr>
        <w:t>公开工作领导小组，指定一名工作人员专门负责日常工作，做到了政务信息公开工作级级有主体，层层有人抓落实。</w:t>
      </w:r>
      <w:r>
        <w:rPr>
          <w:rFonts w:hint="default" w:ascii="Times New Roman" w:hAnsi="Times New Roman" w:eastAsia="方正仿宋_GBK" w:cs="Times New Roman"/>
          <w:kern w:val="2"/>
          <w:sz w:val="32"/>
          <w:szCs w:val="32"/>
          <w:lang w:val="en-US" w:eastAsia="zh-CN" w:bidi="ar-SA"/>
        </w:rPr>
        <w:t>二是设立投诉信箱、公布监督电话、接受社会各界的监督。前卫镇人民政府政务公开工作监督电话：</w:t>
      </w:r>
      <w:r>
        <w:rPr>
          <w:rFonts w:hint="eastAsia" w:ascii="Times New Roman" w:hAnsi="Times New Roman" w:eastAsia="方正仿宋_GBK" w:cs="Times New Roman"/>
          <w:kern w:val="2"/>
          <w:sz w:val="32"/>
          <w:szCs w:val="32"/>
          <w:lang w:val="en-US" w:eastAsia="zh-CN" w:bidi="ar-SA"/>
        </w:rPr>
        <w:t>08778331300</w:t>
      </w:r>
      <w:r>
        <w:rPr>
          <w:rFonts w:hint="default" w:ascii="Times New Roman" w:hAnsi="Times New Roman" w:eastAsia="方正仿宋_GBK" w:cs="Times New Roman"/>
          <w:kern w:val="2"/>
          <w:sz w:val="32"/>
          <w:szCs w:val="32"/>
          <w:lang w:val="en-US" w:eastAsia="zh-CN" w:bidi="ar-SA"/>
        </w:rPr>
        <w:t>，高度重视政务公开工作</w:t>
      </w:r>
      <w:r>
        <w:rPr>
          <w:rFonts w:hint="eastAsia" w:ascii="Times New Roman" w:hAnsi="Times New Roman" w:eastAsia="方正仿宋_GBK" w:cs="Times New Roman"/>
          <w:kern w:val="2"/>
          <w:sz w:val="32"/>
          <w:szCs w:val="32"/>
          <w:lang w:val="en-US" w:eastAsia="zh-CN" w:bidi="ar-SA"/>
        </w:rPr>
        <w:t>，抓好行政权力公开透明运行平台建设和使用。</w:t>
      </w:r>
      <w:r>
        <w:rPr>
          <w:rFonts w:hint="eastAsia" w:ascii="Times New Roman" w:hAnsi="Times New Roman" w:eastAsia="方正仿宋_GBK" w:cs="Times New Roman"/>
          <w:sz w:val="32"/>
          <w:szCs w:val="32"/>
          <w:lang w:val="en-US" w:eastAsia="zh-CN"/>
        </w:rPr>
        <w:t>三是</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val="en-US" w:eastAsia="zh-CN"/>
        </w:rPr>
        <w:t>镇综合管理</w:t>
      </w:r>
      <w:r>
        <w:rPr>
          <w:rFonts w:hint="eastAsia" w:ascii="方正仿宋_GBK" w:hAnsi="方正仿宋_GBK" w:eastAsia="方正仿宋_GBK" w:cs="方正仿宋_GBK"/>
          <w:sz w:val="32"/>
          <w:szCs w:val="32"/>
        </w:rPr>
        <w:t>牵头，各部门协调配合，按要求梳理政务公开事项标准、政务公开工作流程、政务公开事项流程，进一步规范公开目录，完善公开方式，做到责任、任务、措施明确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由</w:t>
      </w:r>
      <w:r>
        <w:rPr>
          <w:rFonts w:hint="eastAsia" w:ascii="方正仿宋_GBK" w:hAnsi="方正仿宋_GBK" w:eastAsia="方正仿宋_GBK" w:cs="方正仿宋_GBK"/>
          <w:sz w:val="32"/>
          <w:szCs w:val="32"/>
        </w:rPr>
        <w:t>于领导的高度重视，全镇上下达成共识，齐心协力，政务公开政府信息公开工作进展顺利。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widowControl w:val="0"/>
        <w:spacing w:line="590" w:lineRule="exact"/>
        <w:rPr>
          <w:rFonts w:hint="eastAsia" w:ascii="方正黑体_GBK" w:eastAsia="方正黑体_GBK"/>
          <w:sz w:val="32"/>
          <w:szCs w:val="32"/>
          <w:lang w:eastAsia="zh-CN"/>
        </w:rPr>
      </w:pPr>
      <w:r>
        <w:rPr>
          <w:rFonts w:hint="eastAsia" w:ascii="方正黑体_GBK" w:eastAsia="方正黑体_GBK"/>
          <w:sz w:val="32"/>
          <w:szCs w:val="32"/>
          <w:lang w:eastAsia="zh-CN"/>
        </w:rPr>
        <w:t>二、主动公开政府信息情况</w:t>
      </w:r>
    </w:p>
    <w:tbl>
      <w:tblPr>
        <w:tblStyle w:val="16"/>
        <w:tblW w:w="9060" w:type="dxa"/>
        <w:jc w:val="center"/>
        <w:tblInd w:w="0" w:type="dxa"/>
        <w:tblLayout w:type="fixed"/>
        <w:tblCellMar>
          <w:top w:w="0" w:type="dxa"/>
          <w:left w:w="108" w:type="dxa"/>
          <w:bottom w:w="0" w:type="dxa"/>
          <w:right w:w="108" w:type="dxa"/>
        </w:tblCellMar>
      </w:tblPr>
      <w:tblGrid>
        <w:gridCol w:w="3465"/>
        <w:gridCol w:w="2087"/>
        <w:gridCol w:w="5"/>
        <w:gridCol w:w="1410"/>
        <w:gridCol w:w="2093"/>
      </w:tblGrid>
      <w:tr>
        <w:tblPrEx>
          <w:tblLayout w:type="fixed"/>
          <w:tblCellMar>
            <w:top w:w="0" w:type="dxa"/>
            <w:left w:w="108" w:type="dxa"/>
            <w:bottom w:w="0" w:type="dxa"/>
            <w:right w:w="108" w:type="dxa"/>
          </w:tblCellMar>
        </w:tblPrEx>
        <w:trPr>
          <w:trHeight w:val="495" w:hRule="atLeast"/>
          <w:jc w:val="center"/>
        </w:trPr>
        <w:tc>
          <w:tcPr>
            <w:tcW w:w="906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第二十条第（一）项</w:t>
            </w:r>
          </w:p>
        </w:tc>
      </w:tr>
      <w:tr>
        <w:tblPrEx>
          <w:tblLayout w:type="fixed"/>
          <w:tblCellMar>
            <w:top w:w="0" w:type="dxa"/>
            <w:left w:w="108" w:type="dxa"/>
            <w:bottom w:w="0" w:type="dxa"/>
            <w:right w:w="108" w:type="dxa"/>
          </w:tblCellMar>
        </w:tblPrEx>
        <w:trPr>
          <w:trHeight w:val="882"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2087"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本年新</w:t>
            </w:r>
            <w:r>
              <w:rPr>
                <w:rFonts w:ascii="宋体"/>
                <w:color w:val="000000"/>
                <w:kern w:val="0"/>
                <w:sz w:val="20"/>
              </w:rPr>
              <w:br w:type="textWrapping"/>
            </w:r>
            <w:r>
              <w:rPr>
                <w:rFonts w:hint="eastAsia" w:ascii="宋体" w:hAnsi="宋体" w:cs="宋体"/>
                <w:kern w:val="0"/>
                <w:sz w:val="20"/>
              </w:rPr>
              <w:t>制作数量</w:t>
            </w:r>
          </w:p>
        </w:tc>
        <w:tc>
          <w:tcPr>
            <w:tcW w:w="1415"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本年新</w:t>
            </w:r>
            <w:r>
              <w:rPr>
                <w:rFonts w:ascii="宋体"/>
                <w:color w:val="000000"/>
                <w:kern w:val="0"/>
                <w:sz w:val="20"/>
              </w:rPr>
              <w:br w:type="textWrapping"/>
            </w:r>
            <w:r>
              <w:rPr>
                <w:rFonts w:hint="eastAsia" w:ascii="宋体" w:hAnsi="宋体" w:cs="宋体"/>
                <w:kern w:val="0"/>
                <w:sz w:val="20"/>
              </w:rPr>
              <w:t>公开数量</w:t>
            </w:r>
          </w:p>
        </w:tc>
        <w:tc>
          <w:tcPr>
            <w:tcW w:w="2093"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对外公开总数量</w:t>
            </w:r>
          </w:p>
        </w:tc>
      </w:tr>
      <w:tr>
        <w:tblPrEx>
          <w:tblLayout w:type="fixed"/>
          <w:tblCellMar>
            <w:top w:w="0" w:type="dxa"/>
            <w:left w:w="108" w:type="dxa"/>
            <w:bottom w:w="0" w:type="dxa"/>
            <w:right w:w="108" w:type="dxa"/>
          </w:tblCellMar>
        </w:tblPrEx>
        <w:trPr>
          <w:trHeight w:val="523"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规章</w:t>
            </w:r>
          </w:p>
        </w:tc>
        <w:tc>
          <w:tcPr>
            <w:tcW w:w="2087"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hint="eastAsia" w:ascii="宋体" w:eastAsiaTheme="minorEastAsia"/>
                <w:kern w:val="0"/>
                <w:sz w:val="24"/>
                <w:szCs w:val="24"/>
                <w:lang w:eastAsia="zh-CN"/>
              </w:rPr>
            </w:pPr>
            <w:r>
              <w:rPr>
                <w:rFonts w:hint="eastAsia" w:ascii="宋体" w:hAnsi="宋体" w:cs="宋体"/>
                <w:color w:val="000000"/>
                <w:kern w:val="0"/>
                <w:sz w:val="20"/>
                <w:lang w:val="en-US" w:eastAsia="zh-CN"/>
              </w:rPr>
              <w:t>0</w:t>
            </w:r>
          </w:p>
        </w:tc>
        <w:tc>
          <w:tcPr>
            <w:tcW w:w="1415"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hint="eastAsia" w:ascii="宋体" w:eastAsiaTheme="minorEastAsia"/>
                <w:kern w:val="0"/>
                <w:sz w:val="24"/>
                <w:szCs w:val="24"/>
                <w:lang w:eastAsia="zh-CN"/>
              </w:rPr>
            </w:pPr>
            <w:r>
              <w:rPr>
                <w:rFonts w:hint="eastAsia" w:ascii="宋体"/>
                <w:color w:val="000000"/>
                <w:kern w:val="0"/>
                <w:sz w:val="20"/>
                <w:lang w:val="en-US" w:eastAsia="zh-CN"/>
              </w:rPr>
              <w:t>0</w:t>
            </w:r>
          </w:p>
        </w:tc>
        <w:tc>
          <w:tcPr>
            <w:tcW w:w="2093" w:type="dxa"/>
            <w:tcBorders>
              <w:top w:val="nil"/>
              <w:left w:val="nil"/>
              <w:bottom w:val="single" w:color="auto" w:sz="4" w:space="0"/>
              <w:right w:val="single" w:color="auto" w:sz="4" w:space="0"/>
            </w:tcBorders>
            <w:vAlign w:val="center"/>
          </w:tcPr>
          <w:p>
            <w:pPr>
              <w:spacing w:before="100" w:beforeAutospacing="1" w:after="100" w:afterAutospacing="1"/>
              <w:jc w:val="left"/>
              <w:rPr>
                <w:rFonts w:hint="eastAsia" w:ascii="宋体" w:eastAsiaTheme="minorEastAsia"/>
                <w:kern w:val="0"/>
                <w:sz w:val="24"/>
                <w:szCs w:val="24"/>
                <w:lang w:eastAsia="zh-CN"/>
              </w:rPr>
            </w:pPr>
            <w:r>
              <w:rPr>
                <w:rFonts w:hint="eastAsia" w:ascii="宋体" w:hAnsi="宋体" w:cs="宋体"/>
                <w:color w:val="000000"/>
                <w:kern w:val="0"/>
                <w:sz w:val="20"/>
                <w:lang w:val="en-US" w:eastAsia="zh-CN"/>
              </w:rPr>
              <w:t>0</w:t>
            </w:r>
          </w:p>
        </w:tc>
      </w:tr>
      <w:tr>
        <w:tblPrEx>
          <w:tblLayout w:type="fixed"/>
          <w:tblCellMar>
            <w:top w:w="0" w:type="dxa"/>
            <w:left w:w="108" w:type="dxa"/>
            <w:bottom w:w="0" w:type="dxa"/>
            <w:right w:w="108" w:type="dxa"/>
          </w:tblCellMar>
        </w:tblPrEx>
        <w:trPr>
          <w:trHeight w:val="471"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规范性文件</w:t>
            </w:r>
          </w:p>
        </w:tc>
        <w:tc>
          <w:tcPr>
            <w:tcW w:w="2087" w:type="dxa"/>
            <w:tcBorders>
              <w:top w:val="nil"/>
              <w:left w:val="nil"/>
              <w:bottom w:val="single" w:color="auto" w:sz="4" w:space="0"/>
              <w:right w:val="single" w:color="auto" w:sz="4" w:space="0"/>
            </w:tcBorders>
            <w:vAlign w:val="center"/>
          </w:tcPr>
          <w:p>
            <w:pPr>
              <w:spacing w:before="100" w:beforeAutospacing="1" w:after="100" w:afterAutospacing="1"/>
              <w:jc w:val="left"/>
              <w:rPr>
                <w:rFonts w:hint="eastAsia" w:ascii="宋体" w:eastAsiaTheme="minorEastAsia"/>
                <w:kern w:val="0"/>
                <w:sz w:val="24"/>
                <w:szCs w:val="24"/>
                <w:lang w:eastAsia="zh-CN"/>
              </w:rPr>
            </w:pPr>
            <w:r>
              <w:rPr>
                <w:rFonts w:hint="eastAsia" w:ascii="宋体" w:hAnsi="宋体" w:cs="宋体"/>
                <w:color w:val="000000"/>
                <w:kern w:val="0"/>
                <w:sz w:val="20"/>
                <w:lang w:val="en-US" w:eastAsia="zh-CN"/>
              </w:rPr>
              <w:t>0</w:t>
            </w:r>
          </w:p>
        </w:tc>
        <w:tc>
          <w:tcPr>
            <w:tcW w:w="1415" w:type="dxa"/>
            <w:gridSpan w:val="2"/>
            <w:tcBorders>
              <w:top w:val="nil"/>
              <w:left w:val="nil"/>
              <w:bottom w:val="single" w:color="auto" w:sz="4" w:space="0"/>
              <w:right w:val="single" w:color="auto" w:sz="4" w:space="0"/>
            </w:tcBorders>
            <w:vAlign w:val="center"/>
          </w:tcPr>
          <w:p>
            <w:pPr>
              <w:spacing w:before="100" w:beforeAutospacing="1" w:after="100" w:afterAutospacing="1"/>
              <w:jc w:val="left"/>
              <w:rPr>
                <w:rFonts w:hint="eastAsia" w:ascii="宋体" w:eastAsiaTheme="minorEastAsia"/>
                <w:kern w:val="0"/>
                <w:sz w:val="24"/>
                <w:szCs w:val="24"/>
                <w:lang w:eastAsia="zh-CN"/>
              </w:rPr>
            </w:pPr>
            <w:r>
              <w:rPr>
                <w:rFonts w:hint="eastAsia" w:ascii="宋体"/>
                <w:color w:val="000000"/>
                <w:kern w:val="0"/>
                <w:sz w:val="20"/>
                <w:lang w:val="en-US" w:eastAsia="zh-CN"/>
              </w:rPr>
              <w:t>0</w:t>
            </w:r>
          </w:p>
        </w:tc>
        <w:tc>
          <w:tcPr>
            <w:tcW w:w="2093" w:type="dxa"/>
            <w:tcBorders>
              <w:top w:val="nil"/>
              <w:left w:val="nil"/>
              <w:bottom w:val="single" w:color="auto" w:sz="4" w:space="0"/>
              <w:right w:val="single" w:color="auto" w:sz="4" w:space="0"/>
            </w:tcBorders>
            <w:vAlign w:val="center"/>
          </w:tcPr>
          <w:p>
            <w:pPr>
              <w:spacing w:before="100" w:beforeAutospacing="1" w:after="100" w:afterAutospacing="1"/>
              <w:jc w:val="left"/>
              <w:rPr>
                <w:rFonts w:hint="eastAsia" w:ascii="宋体" w:eastAsiaTheme="minorEastAsia"/>
                <w:kern w:val="0"/>
                <w:sz w:val="24"/>
                <w:szCs w:val="24"/>
                <w:lang w:eastAsia="zh-CN"/>
              </w:rPr>
            </w:pPr>
            <w:r>
              <w:rPr>
                <w:rFonts w:hint="eastAsia" w:ascii="宋体" w:hAnsi="宋体" w:cs="宋体"/>
                <w:color w:val="000000"/>
                <w:kern w:val="0"/>
                <w:sz w:val="20"/>
                <w:lang w:val="en-US" w:eastAsia="zh-CN"/>
              </w:rPr>
              <w:t>0</w:t>
            </w:r>
          </w:p>
        </w:tc>
      </w:tr>
      <w:tr>
        <w:tblPrEx>
          <w:tblLayout w:type="fixed"/>
          <w:tblCellMar>
            <w:top w:w="0" w:type="dxa"/>
            <w:left w:w="108" w:type="dxa"/>
            <w:bottom w:w="0" w:type="dxa"/>
            <w:right w:w="108" w:type="dxa"/>
          </w:tblCellMar>
        </w:tblPrEx>
        <w:trPr>
          <w:trHeight w:val="480" w:hRule="atLeast"/>
          <w:jc w:val="center"/>
        </w:trPr>
        <w:tc>
          <w:tcPr>
            <w:tcW w:w="906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第二十条第（五）项</w:t>
            </w:r>
          </w:p>
        </w:tc>
      </w:tr>
      <w:tr>
        <w:tblPrEx>
          <w:tblLayout w:type="fixed"/>
          <w:tblCellMar>
            <w:top w:w="0" w:type="dxa"/>
            <w:left w:w="108" w:type="dxa"/>
            <w:bottom w:w="0" w:type="dxa"/>
            <w:right w:w="108" w:type="dxa"/>
          </w:tblCellMar>
        </w:tblPrEx>
        <w:trPr>
          <w:trHeight w:val="634"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2087"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上一年项目数量</w:t>
            </w:r>
          </w:p>
        </w:tc>
        <w:tc>
          <w:tcPr>
            <w:tcW w:w="1415"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本年增</w:t>
            </w:r>
            <w:r>
              <w:rPr>
                <w:rFonts w:ascii="宋体" w:hAnsi="宋体" w:cs="宋体"/>
                <w:color w:val="000000"/>
                <w:kern w:val="0"/>
                <w:sz w:val="20"/>
              </w:rPr>
              <w:t>/</w:t>
            </w:r>
            <w:r>
              <w:rPr>
                <w:rFonts w:hint="eastAsia" w:ascii="宋体" w:hAnsi="宋体" w:cs="宋体"/>
                <w:color w:val="000000"/>
                <w:kern w:val="0"/>
                <w:sz w:val="20"/>
              </w:rPr>
              <w:t>减</w:t>
            </w:r>
          </w:p>
        </w:tc>
        <w:tc>
          <w:tcPr>
            <w:tcW w:w="2093"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处理决定数量</w:t>
            </w:r>
          </w:p>
        </w:tc>
      </w:tr>
      <w:tr>
        <w:tblPrEx>
          <w:tblLayout w:type="fixed"/>
          <w:tblCellMar>
            <w:top w:w="0" w:type="dxa"/>
            <w:left w:w="108" w:type="dxa"/>
            <w:bottom w:w="0" w:type="dxa"/>
            <w:right w:w="108" w:type="dxa"/>
          </w:tblCellMar>
        </w:tblPrEx>
        <w:trPr>
          <w:trHeight w:val="528"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行政许可</w:t>
            </w:r>
          </w:p>
        </w:tc>
        <w:tc>
          <w:tcPr>
            <w:tcW w:w="2092" w:type="dxa"/>
            <w:gridSpan w:val="2"/>
            <w:tcBorders>
              <w:top w:val="nil"/>
              <w:left w:val="nil"/>
              <w:bottom w:val="single" w:color="auto" w:sz="4" w:space="0"/>
              <w:right w:val="single" w:color="auto" w:sz="4" w:space="0"/>
            </w:tcBorders>
            <w:vAlign w:val="center"/>
          </w:tcPr>
          <w:p>
            <w:pPr>
              <w:spacing w:before="100" w:beforeAutospacing="1" w:after="100" w:afterAutospacing="1"/>
              <w:jc w:val="left"/>
              <w:rPr>
                <w:rFonts w:hint="eastAsia" w:ascii="宋体" w:eastAsiaTheme="minorEastAsia"/>
                <w:kern w:val="0"/>
                <w:sz w:val="24"/>
                <w:szCs w:val="24"/>
                <w:lang w:eastAsia="zh-CN"/>
              </w:rPr>
            </w:pPr>
            <w:r>
              <w:rPr>
                <w:rFonts w:hint="eastAsia" w:ascii="宋体" w:hAnsi="宋体" w:cs="宋体"/>
                <w:color w:val="000000"/>
                <w:kern w:val="0"/>
                <w:sz w:val="20"/>
                <w:lang w:val="en-US" w:eastAsia="zh-CN"/>
              </w:rPr>
              <w:t>0</w:t>
            </w:r>
          </w:p>
        </w:tc>
        <w:tc>
          <w:tcPr>
            <w:tcW w:w="1410" w:type="dxa"/>
            <w:tcBorders>
              <w:top w:val="nil"/>
              <w:left w:val="nil"/>
              <w:bottom w:val="single" w:color="auto" w:sz="4" w:space="0"/>
              <w:right w:val="single" w:color="auto" w:sz="4" w:space="0"/>
            </w:tcBorders>
            <w:vAlign w:val="center"/>
          </w:tcPr>
          <w:p>
            <w:pPr>
              <w:spacing w:before="100" w:beforeAutospacing="1" w:after="100" w:afterAutospacing="1"/>
              <w:jc w:val="left"/>
              <w:rPr>
                <w:rFonts w:hint="eastAsia" w:ascii="宋体" w:eastAsiaTheme="minorEastAsia"/>
                <w:kern w:val="0"/>
                <w:sz w:val="24"/>
                <w:szCs w:val="24"/>
                <w:lang w:eastAsia="zh-CN"/>
              </w:rPr>
            </w:pPr>
            <w:r>
              <w:rPr>
                <w:rFonts w:hint="eastAsia" w:ascii="宋体" w:hAnsi="宋体" w:cs="宋体"/>
                <w:color w:val="000000"/>
                <w:kern w:val="0"/>
                <w:sz w:val="20"/>
                <w:lang w:val="en-US" w:eastAsia="zh-CN"/>
              </w:rPr>
              <w:t>0</w:t>
            </w:r>
          </w:p>
        </w:tc>
        <w:tc>
          <w:tcPr>
            <w:tcW w:w="2093" w:type="dxa"/>
            <w:tcBorders>
              <w:top w:val="nil"/>
              <w:left w:val="nil"/>
              <w:bottom w:val="single" w:color="auto" w:sz="4" w:space="0"/>
              <w:right w:val="single" w:color="auto" w:sz="4" w:space="0"/>
            </w:tcBorders>
            <w:vAlign w:val="center"/>
          </w:tcPr>
          <w:p>
            <w:pPr>
              <w:spacing w:before="100" w:beforeAutospacing="1" w:after="100" w:afterAutospacing="1"/>
              <w:jc w:val="left"/>
              <w:rPr>
                <w:rFonts w:hint="eastAsia" w:ascii="宋体" w:eastAsiaTheme="minorEastAsia"/>
                <w:kern w:val="0"/>
                <w:sz w:val="24"/>
                <w:szCs w:val="24"/>
                <w:lang w:eastAsia="zh-CN"/>
              </w:rPr>
            </w:pPr>
            <w:r>
              <w:rPr>
                <w:rFonts w:hint="eastAsia" w:ascii="宋体" w:hAnsi="宋体" w:cs="宋体"/>
                <w:color w:val="000000"/>
                <w:kern w:val="0"/>
                <w:sz w:val="20"/>
                <w:lang w:val="en-US" w:eastAsia="zh-CN"/>
              </w:rPr>
              <w:t>0</w:t>
            </w:r>
          </w:p>
        </w:tc>
      </w:tr>
      <w:tr>
        <w:tblPrEx>
          <w:tblLayout w:type="fixed"/>
          <w:tblCellMar>
            <w:top w:w="0" w:type="dxa"/>
            <w:left w:w="108" w:type="dxa"/>
            <w:bottom w:w="0" w:type="dxa"/>
            <w:right w:w="108" w:type="dxa"/>
          </w:tblCellMar>
        </w:tblPrEx>
        <w:trPr>
          <w:trHeight w:val="550"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其他对外管理服务事项</w:t>
            </w:r>
          </w:p>
        </w:tc>
        <w:tc>
          <w:tcPr>
            <w:tcW w:w="2092" w:type="dxa"/>
            <w:gridSpan w:val="2"/>
            <w:tcBorders>
              <w:top w:val="nil"/>
              <w:left w:val="nil"/>
              <w:bottom w:val="single" w:color="auto" w:sz="4" w:space="0"/>
              <w:right w:val="single" w:color="auto" w:sz="4" w:space="0"/>
            </w:tcBorders>
            <w:vAlign w:val="center"/>
          </w:tcPr>
          <w:p>
            <w:pPr>
              <w:spacing w:before="100" w:beforeAutospacing="1" w:after="100" w:afterAutospacing="1"/>
              <w:jc w:val="left"/>
              <w:rPr>
                <w:rFonts w:hint="eastAsia" w:ascii="宋体" w:eastAsiaTheme="minorEastAsia"/>
                <w:kern w:val="0"/>
                <w:sz w:val="24"/>
                <w:szCs w:val="24"/>
                <w:lang w:eastAsia="zh-CN"/>
              </w:rPr>
            </w:pPr>
            <w:r>
              <w:rPr>
                <w:rFonts w:hint="eastAsia" w:ascii="宋体" w:hAnsi="宋体" w:cs="宋体"/>
                <w:color w:val="000000"/>
                <w:kern w:val="0"/>
                <w:sz w:val="20"/>
                <w:lang w:val="en-US" w:eastAsia="zh-CN"/>
              </w:rPr>
              <w:t>0</w:t>
            </w:r>
          </w:p>
        </w:tc>
        <w:tc>
          <w:tcPr>
            <w:tcW w:w="1410" w:type="dxa"/>
            <w:tcBorders>
              <w:top w:val="nil"/>
              <w:left w:val="nil"/>
              <w:bottom w:val="single" w:color="auto" w:sz="4" w:space="0"/>
              <w:right w:val="single" w:color="auto" w:sz="4" w:space="0"/>
            </w:tcBorders>
            <w:vAlign w:val="center"/>
          </w:tcPr>
          <w:p>
            <w:pPr>
              <w:spacing w:before="100" w:beforeAutospacing="1" w:after="100" w:afterAutospacing="1"/>
              <w:jc w:val="left"/>
              <w:rPr>
                <w:rFonts w:hint="eastAsia" w:ascii="宋体" w:eastAsiaTheme="minorEastAsia"/>
                <w:kern w:val="0"/>
                <w:sz w:val="24"/>
                <w:szCs w:val="24"/>
                <w:lang w:eastAsia="zh-CN"/>
              </w:rPr>
            </w:pPr>
            <w:r>
              <w:rPr>
                <w:rFonts w:hint="eastAsia" w:ascii="宋体" w:hAnsi="宋体" w:cs="宋体"/>
                <w:color w:val="000000"/>
                <w:kern w:val="0"/>
                <w:sz w:val="20"/>
                <w:lang w:val="en-US" w:eastAsia="zh-CN"/>
              </w:rPr>
              <w:t>0</w:t>
            </w:r>
          </w:p>
        </w:tc>
        <w:tc>
          <w:tcPr>
            <w:tcW w:w="2093" w:type="dxa"/>
            <w:tcBorders>
              <w:top w:val="nil"/>
              <w:left w:val="nil"/>
              <w:bottom w:val="single" w:color="auto" w:sz="4" w:space="0"/>
              <w:right w:val="single" w:color="auto" w:sz="4" w:space="0"/>
            </w:tcBorders>
            <w:vAlign w:val="center"/>
          </w:tcPr>
          <w:p>
            <w:pPr>
              <w:spacing w:before="100" w:beforeAutospacing="1" w:after="100" w:afterAutospacing="1"/>
              <w:jc w:val="left"/>
              <w:rPr>
                <w:rFonts w:hint="eastAsia" w:ascii="宋体" w:eastAsiaTheme="minorEastAsia"/>
                <w:kern w:val="0"/>
                <w:sz w:val="24"/>
                <w:szCs w:val="24"/>
                <w:lang w:eastAsia="zh-CN"/>
              </w:rPr>
            </w:pPr>
            <w:r>
              <w:rPr>
                <w:rFonts w:hint="eastAsia" w:ascii="宋体" w:hAnsi="宋体" w:cs="宋体"/>
                <w:color w:val="000000"/>
                <w:kern w:val="0"/>
                <w:sz w:val="20"/>
                <w:lang w:val="en-US" w:eastAsia="zh-CN"/>
              </w:rPr>
              <w:t>0</w:t>
            </w:r>
          </w:p>
        </w:tc>
      </w:tr>
      <w:tr>
        <w:tblPrEx>
          <w:tblLayout w:type="fixed"/>
          <w:tblCellMar>
            <w:top w:w="0" w:type="dxa"/>
            <w:left w:w="108" w:type="dxa"/>
            <w:bottom w:w="0" w:type="dxa"/>
            <w:right w:w="108" w:type="dxa"/>
          </w:tblCellMar>
        </w:tblPrEx>
        <w:trPr>
          <w:trHeight w:val="406" w:hRule="atLeast"/>
          <w:jc w:val="center"/>
        </w:trPr>
        <w:tc>
          <w:tcPr>
            <w:tcW w:w="906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第二十条第（六）项</w:t>
            </w:r>
          </w:p>
        </w:tc>
      </w:tr>
      <w:tr>
        <w:tblPrEx>
          <w:tblLayout w:type="fixed"/>
          <w:tblCellMar>
            <w:top w:w="0" w:type="dxa"/>
            <w:left w:w="108" w:type="dxa"/>
            <w:bottom w:w="0" w:type="dxa"/>
            <w:right w:w="108" w:type="dxa"/>
          </w:tblCellMar>
        </w:tblPrEx>
        <w:trPr>
          <w:trHeight w:val="634"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2087"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上一年项目数量</w:t>
            </w:r>
          </w:p>
        </w:tc>
        <w:tc>
          <w:tcPr>
            <w:tcW w:w="1415"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本年增</w:t>
            </w:r>
            <w:r>
              <w:rPr>
                <w:rFonts w:ascii="宋体" w:hAnsi="宋体" w:cs="宋体"/>
                <w:color w:val="000000"/>
                <w:kern w:val="0"/>
                <w:sz w:val="20"/>
              </w:rPr>
              <w:t>/</w:t>
            </w:r>
            <w:r>
              <w:rPr>
                <w:rFonts w:hint="eastAsia" w:ascii="宋体" w:hAnsi="宋体" w:cs="宋体"/>
                <w:color w:val="000000"/>
                <w:kern w:val="0"/>
                <w:sz w:val="20"/>
              </w:rPr>
              <w:t>减</w:t>
            </w:r>
          </w:p>
        </w:tc>
        <w:tc>
          <w:tcPr>
            <w:tcW w:w="2093"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处理决定数量</w:t>
            </w:r>
          </w:p>
        </w:tc>
      </w:tr>
      <w:tr>
        <w:tblPrEx>
          <w:tblLayout w:type="fixed"/>
          <w:tblCellMar>
            <w:top w:w="0" w:type="dxa"/>
            <w:left w:w="108" w:type="dxa"/>
            <w:bottom w:w="0" w:type="dxa"/>
            <w:right w:w="108" w:type="dxa"/>
          </w:tblCellMar>
        </w:tblPrEx>
        <w:trPr>
          <w:trHeight w:val="430"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行政处罚</w:t>
            </w:r>
          </w:p>
        </w:tc>
        <w:tc>
          <w:tcPr>
            <w:tcW w:w="2092"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hint="eastAsia" w:ascii="宋体" w:eastAsiaTheme="minorEastAsia"/>
                <w:kern w:val="0"/>
                <w:sz w:val="24"/>
                <w:szCs w:val="24"/>
                <w:lang w:eastAsia="zh-CN"/>
              </w:rPr>
            </w:pPr>
            <w:r>
              <w:rPr>
                <w:rFonts w:hint="eastAsia" w:ascii="宋体" w:hAnsi="宋体" w:cs="宋体"/>
                <w:color w:val="000000"/>
                <w:kern w:val="0"/>
                <w:sz w:val="20"/>
                <w:lang w:val="en-US" w:eastAsia="zh-CN"/>
              </w:rPr>
              <w:t>0</w:t>
            </w:r>
          </w:p>
        </w:tc>
        <w:tc>
          <w:tcPr>
            <w:tcW w:w="141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hint="eastAsia" w:ascii="宋体" w:eastAsiaTheme="minorEastAsia"/>
                <w:kern w:val="0"/>
                <w:sz w:val="24"/>
                <w:szCs w:val="24"/>
                <w:lang w:eastAsia="zh-CN"/>
              </w:rPr>
            </w:pPr>
            <w:r>
              <w:rPr>
                <w:rFonts w:hint="eastAsia" w:ascii="宋体" w:hAnsi="宋体" w:cs="宋体"/>
                <w:color w:val="000000"/>
                <w:kern w:val="0"/>
                <w:sz w:val="20"/>
                <w:lang w:val="en-US" w:eastAsia="zh-CN"/>
              </w:rPr>
              <w:t>0</w:t>
            </w:r>
          </w:p>
        </w:tc>
        <w:tc>
          <w:tcPr>
            <w:tcW w:w="2093" w:type="dxa"/>
            <w:tcBorders>
              <w:top w:val="nil"/>
              <w:left w:val="nil"/>
              <w:bottom w:val="single" w:color="auto" w:sz="4" w:space="0"/>
              <w:right w:val="single" w:color="auto" w:sz="4" w:space="0"/>
            </w:tcBorders>
            <w:vAlign w:val="center"/>
          </w:tcPr>
          <w:p>
            <w:pPr>
              <w:spacing w:before="100" w:beforeAutospacing="1" w:after="100" w:afterAutospacing="1"/>
              <w:jc w:val="left"/>
              <w:rPr>
                <w:rFonts w:hint="eastAsia" w:ascii="宋体" w:eastAsiaTheme="minorEastAsia"/>
                <w:kern w:val="0"/>
                <w:sz w:val="24"/>
                <w:szCs w:val="24"/>
                <w:lang w:eastAsia="zh-CN"/>
              </w:rPr>
            </w:pPr>
            <w:r>
              <w:rPr>
                <w:rFonts w:hint="eastAsia" w:ascii="宋体" w:hAnsi="宋体" w:cs="宋体"/>
                <w:color w:val="000000"/>
                <w:kern w:val="0"/>
                <w:sz w:val="20"/>
                <w:lang w:val="en-US" w:eastAsia="zh-CN"/>
              </w:rPr>
              <w:t>0</w:t>
            </w:r>
          </w:p>
        </w:tc>
      </w:tr>
      <w:tr>
        <w:tblPrEx>
          <w:tblLayout w:type="fixed"/>
          <w:tblCellMar>
            <w:top w:w="0" w:type="dxa"/>
            <w:left w:w="108" w:type="dxa"/>
            <w:bottom w:w="0" w:type="dxa"/>
            <w:right w:w="108" w:type="dxa"/>
          </w:tblCellMar>
        </w:tblPrEx>
        <w:trPr>
          <w:trHeight w:val="409"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行政强制</w:t>
            </w:r>
          </w:p>
        </w:tc>
        <w:tc>
          <w:tcPr>
            <w:tcW w:w="2092" w:type="dxa"/>
            <w:gridSpan w:val="2"/>
            <w:tcBorders>
              <w:top w:val="nil"/>
              <w:left w:val="nil"/>
              <w:bottom w:val="single" w:color="auto" w:sz="4" w:space="0"/>
              <w:right w:val="single" w:color="auto" w:sz="4" w:space="0"/>
            </w:tcBorders>
            <w:vAlign w:val="center"/>
          </w:tcPr>
          <w:p>
            <w:pPr>
              <w:spacing w:before="100" w:beforeAutospacing="1" w:after="100" w:afterAutospacing="1"/>
              <w:jc w:val="left"/>
              <w:rPr>
                <w:rFonts w:hint="eastAsia" w:ascii="宋体" w:eastAsiaTheme="minorEastAsia"/>
                <w:kern w:val="0"/>
                <w:sz w:val="24"/>
                <w:szCs w:val="24"/>
                <w:lang w:eastAsia="zh-CN"/>
              </w:rPr>
            </w:pPr>
            <w:r>
              <w:rPr>
                <w:rFonts w:hint="eastAsia" w:ascii="宋体" w:hAnsi="宋体" w:cs="宋体"/>
                <w:color w:val="000000"/>
                <w:kern w:val="0"/>
                <w:sz w:val="20"/>
                <w:lang w:val="en-US" w:eastAsia="zh-CN"/>
              </w:rPr>
              <w:t>0</w:t>
            </w:r>
          </w:p>
        </w:tc>
        <w:tc>
          <w:tcPr>
            <w:tcW w:w="1410" w:type="dxa"/>
            <w:tcBorders>
              <w:top w:val="nil"/>
              <w:left w:val="nil"/>
              <w:bottom w:val="single" w:color="auto" w:sz="4" w:space="0"/>
              <w:right w:val="single" w:color="auto" w:sz="4" w:space="0"/>
            </w:tcBorders>
            <w:vAlign w:val="center"/>
          </w:tcPr>
          <w:p>
            <w:pPr>
              <w:spacing w:before="100" w:beforeAutospacing="1" w:after="100" w:afterAutospacing="1"/>
              <w:jc w:val="left"/>
              <w:rPr>
                <w:rFonts w:hint="eastAsia" w:ascii="宋体" w:eastAsiaTheme="minorEastAsia"/>
                <w:kern w:val="0"/>
                <w:sz w:val="24"/>
                <w:szCs w:val="24"/>
                <w:lang w:eastAsia="zh-CN"/>
              </w:rPr>
            </w:pPr>
            <w:r>
              <w:rPr>
                <w:rFonts w:hint="eastAsia" w:ascii="宋体" w:hAnsi="宋体" w:cs="宋体"/>
                <w:color w:val="000000"/>
                <w:kern w:val="0"/>
                <w:sz w:val="20"/>
                <w:lang w:val="en-US" w:eastAsia="zh-CN"/>
              </w:rPr>
              <w:t>0</w:t>
            </w:r>
          </w:p>
        </w:tc>
        <w:tc>
          <w:tcPr>
            <w:tcW w:w="2093" w:type="dxa"/>
            <w:tcBorders>
              <w:top w:val="nil"/>
              <w:left w:val="nil"/>
              <w:bottom w:val="single" w:color="auto" w:sz="4" w:space="0"/>
              <w:right w:val="single" w:color="auto" w:sz="4" w:space="0"/>
            </w:tcBorders>
            <w:vAlign w:val="center"/>
          </w:tcPr>
          <w:p>
            <w:pPr>
              <w:spacing w:before="100" w:beforeAutospacing="1" w:after="100" w:afterAutospacing="1"/>
              <w:jc w:val="left"/>
              <w:rPr>
                <w:rFonts w:hint="eastAsia" w:ascii="宋体" w:eastAsiaTheme="minorEastAsia"/>
                <w:kern w:val="0"/>
                <w:sz w:val="24"/>
                <w:szCs w:val="24"/>
                <w:lang w:eastAsia="zh-CN"/>
              </w:rPr>
            </w:pPr>
            <w:r>
              <w:rPr>
                <w:rFonts w:hint="eastAsia" w:ascii="宋体" w:hAnsi="宋体" w:cs="宋体"/>
                <w:color w:val="000000"/>
                <w:kern w:val="0"/>
                <w:sz w:val="20"/>
                <w:lang w:val="en-US" w:eastAsia="zh-CN"/>
              </w:rPr>
              <w:t>0</w:t>
            </w:r>
          </w:p>
        </w:tc>
      </w:tr>
      <w:tr>
        <w:tblPrEx>
          <w:tblLayout w:type="fixed"/>
          <w:tblCellMar>
            <w:top w:w="0" w:type="dxa"/>
            <w:left w:w="108" w:type="dxa"/>
            <w:bottom w:w="0" w:type="dxa"/>
            <w:right w:w="108" w:type="dxa"/>
          </w:tblCellMar>
        </w:tblPrEx>
        <w:trPr>
          <w:trHeight w:val="474" w:hRule="atLeast"/>
          <w:jc w:val="center"/>
        </w:trPr>
        <w:tc>
          <w:tcPr>
            <w:tcW w:w="906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第二十条第（八）项</w:t>
            </w:r>
          </w:p>
        </w:tc>
      </w:tr>
      <w:tr>
        <w:tblPrEx>
          <w:tblLayout w:type="fixed"/>
          <w:tblCellMar>
            <w:top w:w="0" w:type="dxa"/>
            <w:left w:w="108" w:type="dxa"/>
            <w:bottom w:w="0" w:type="dxa"/>
            <w:right w:w="108" w:type="dxa"/>
          </w:tblCellMar>
        </w:tblPrEx>
        <w:trPr>
          <w:trHeight w:val="270"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2092" w:type="dxa"/>
            <w:gridSpan w:val="2"/>
            <w:tcBorders>
              <w:top w:val="nil"/>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上一年项目数量</w:t>
            </w:r>
          </w:p>
        </w:tc>
        <w:tc>
          <w:tcPr>
            <w:tcW w:w="3503"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本年增</w:t>
            </w:r>
            <w:r>
              <w:rPr>
                <w:rFonts w:ascii="宋体" w:hAnsi="宋体" w:cs="宋体"/>
                <w:color w:val="000000"/>
                <w:kern w:val="0"/>
                <w:sz w:val="20"/>
              </w:rPr>
              <w:t>/</w:t>
            </w:r>
            <w:r>
              <w:rPr>
                <w:rFonts w:hint="eastAsia" w:ascii="宋体" w:hAnsi="宋体" w:cs="宋体"/>
                <w:color w:val="000000"/>
                <w:kern w:val="0"/>
                <w:sz w:val="20"/>
              </w:rPr>
              <w:t>减</w:t>
            </w:r>
          </w:p>
        </w:tc>
      </w:tr>
      <w:tr>
        <w:tblPrEx>
          <w:tblLayout w:type="fixed"/>
          <w:tblCellMar>
            <w:top w:w="0" w:type="dxa"/>
            <w:left w:w="108" w:type="dxa"/>
            <w:bottom w:w="0" w:type="dxa"/>
            <w:right w:w="108" w:type="dxa"/>
          </w:tblCellMar>
        </w:tblPrEx>
        <w:trPr>
          <w:trHeight w:val="551"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行政事业性收费</w:t>
            </w:r>
          </w:p>
        </w:tc>
        <w:tc>
          <w:tcPr>
            <w:tcW w:w="2092" w:type="dxa"/>
            <w:gridSpan w:val="2"/>
            <w:tcBorders>
              <w:top w:val="nil"/>
              <w:left w:val="nil"/>
              <w:bottom w:val="single" w:color="auto" w:sz="4" w:space="0"/>
              <w:right w:val="single" w:color="auto" w:sz="4" w:space="0"/>
            </w:tcBorders>
            <w:vAlign w:val="center"/>
          </w:tcPr>
          <w:p>
            <w:pPr>
              <w:spacing w:before="100" w:beforeAutospacing="1" w:after="100" w:afterAutospacing="1"/>
              <w:jc w:val="left"/>
              <w:rPr>
                <w:rFonts w:hint="eastAsia" w:ascii="宋体" w:eastAsiaTheme="minorEastAsia"/>
                <w:kern w:val="0"/>
                <w:sz w:val="24"/>
                <w:szCs w:val="24"/>
                <w:lang w:eastAsia="zh-CN"/>
              </w:rPr>
            </w:pPr>
            <w:r>
              <w:rPr>
                <w:rFonts w:hint="eastAsia" w:ascii="宋体" w:hAnsi="宋体" w:cs="宋体"/>
                <w:color w:val="000000"/>
                <w:kern w:val="0"/>
                <w:sz w:val="20"/>
                <w:lang w:val="en-US" w:eastAsia="zh-CN"/>
              </w:rPr>
              <w:t>0</w:t>
            </w:r>
          </w:p>
        </w:tc>
        <w:tc>
          <w:tcPr>
            <w:tcW w:w="3503"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ascii="宋体"/>
                <w:color w:val="000000"/>
                <w:kern w:val="0"/>
                <w:sz w:val="20"/>
                <w:lang w:val="en-US" w:eastAsia="zh-CN"/>
              </w:rPr>
              <w:t>0</w:t>
            </w:r>
          </w:p>
        </w:tc>
      </w:tr>
      <w:tr>
        <w:tblPrEx>
          <w:tblLayout w:type="fixed"/>
          <w:tblCellMar>
            <w:top w:w="0" w:type="dxa"/>
            <w:left w:w="108" w:type="dxa"/>
            <w:bottom w:w="0" w:type="dxa"/>
            <w:right w:w="108" w:type="dxa"/>
          </w:tblCellMar>
        </w:tblPrEx>
        <w:trPr>
          <w:trHeight w:val="476" w:hRule="atLeast"/>
          <w:jc w:val="center"/>
        </w:trPr>
        <w:tc>
          <w:tcPr>
            <w:tcW w:w="906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第二十条第（九）项</w:t>
            </w:r>
          </w:p>
        </w:tc>
      </w:tr>
      <w:tr>
        <w:tblPrEx>
          <w:tblLayout w:type="fixed"/>
          <w:tblCellMar>
            <w:top w:w="0" w:type="dxa"/>
            <w:left w:w="108" w:type="dxa"/>
            <w:bottom w:w="0" w:type="dxa"/>
            <w:right w:w="108" w:type="dxa"/>
          </w:tblCellMar>
        </w:tblPrEx>
        <w:trPr>
          <w:trHeight w:val="585"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2092"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采购项目数量</w:t>
            </w:r>
          </w:p>
        </w:tc>
        <w:tc>
          <w:tcPr>
            <w:tcW w:w="3503"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采购总金额</w:t>
            </w:r>
          </w:p>
        </w:tc>
      </w:tr>
      <w:tr>
        <w:tblPrEx>
          <w:tblLayout w:type="fixed"/>
          <w:tblCellMar>
            <w:top w:w="0" w:type="dxa"/>
            <w:left w:w="108" w:type="dxa"/>
            <w:bottom w:w="0" w:type="dxa"/>
            <w:right w:w="108" w:type="dxa"/>
          </w:tblCellMar>
        </w:tblPrEx>
        <w:trPr>
          <w:trHeight w:val="539"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政府集中采购</w:t>
            </w:r>
          </w:p>
        </w:tc>
        <w:tc>
          <w:tcPr>
            <w:tcW w:w="2092" w:type="dxa"/>
            <w:gridSpan w:val="2"/>
            <w:tcBorders>
              <w:top w:val="nil"/>
              <w:left w:val="nil"/>
              <w:bottom w:val="single" w:color="auto" w:sz="4" w:space="0"/>
              <w:right w:val="single" w:color="auto" w:sz="4" w:space="0"/>
            </w:tcBorders>
            <w:vAlign w:val="center"/>
          </w:tcPr>
          <w:p>
            <w:pPr>
              <w:spacing w:before="100" w:beforeAutospacing="1" w:after="100" w:afterAutospacing="1"/>
              <w:jc w:val="left"/>
              <w:rPr>
                <w:rFonts w:hint="eastAsia" w:ascii="宋体" w:eastAsiaTheme="minorEastAsia"/>
                <w:kern w:val="0"/>
                <w:sz w:val="24"/>
                <w:szCs w:val="24"/>
                <w:lang w:eastAsia="zh-CN"/>
              </w:rPr>
            </w:pPr>
            <w:r>
              <w:rPr>
                <w:rFonts w:hint="eastAsia" w:ascii="宋体" w:hAnsi="宋体" w:cs="宋体"/>
                <w:color w:val="000000"/>
                <w:kern w:val="0"/>
                <w:sz w:val="20"/>
                <w:lang w:val="en-US" w:eastAsia="zh-CN"/>
              </w:rPr>
              <w:t>0</w:t>
            </w:r>
          </w:p>
        </w:tc>
        <w:tc>
          <w:tcPr>
            <w:tcW w:w="3503" w:type="dxa"/>
            <w:gridSpan w:val="2"/>
            <w:tcBorders>
              <w:top w:val="single" w:color="auto" w:sz="4" w:space="0"/>
              <w:left w:val="nil"/>
              <w:bottom w:val="single" w:color="auto" w:sz="4" w:space="0"/>
              <w:right w:val="single" w:color="000000" w:sz="4" w:space="0"/>
            </w:tcBorders>
            <w:vAlign w:val="center"/>
          </w:tcPr>
          <w:p>
            <w:pPr>
              <w:jc w:val="left"/>
              <w:rPr>
                <w:rFonts w:hint="eastAsia" w:ascii="宋体" w:eastAsiaTheme="minorEastAsia"/>
                <w:kern w:val="0"/>
                <w:sz w:val="24"/>
                <w:szCs w:val="24"/>
                <w:lang w:val="en-US" w:eastAsia="zh-CN"/>
              </w:rPr>
            </w:pPr>
            <w:r>
              <w:rPr>
                <w:rFonts w:hint="eastAsia" w:ascii="宋体"/>
                <w:kern w:val="0"/>
                <w:sz w:val="24"/>
                <w:szCs w:val="24"/>
                <w:lang w:val="en-US" w:eastAsia="zh-CN"/>
              </w:rPr>
              <w:t>0</w:t>
            </w:r>
          </w:p>
        </w:tc>
      </w:tr>
    </w:tbl>
    <w:p>
      <w:pPr>
        <w:widowControl w:val="0"/>
        <w:spacing w:line="590" w:lineRule="exact"/>
        <w:rPr>
          <w:rFonts w:hint="eastAsia" w:ascii="方正黑体_GBK" w:eastAsia="方正黑体_GBK"/>
          <w:sz w:val="32"/>
          <w:szCs w:val="32"/>
          <w:lang w:eastAsia="zh-CN"/>
        </w:rPr>
      </w:pPr>
    </w:p>
    <w:p>
      <w:pPr>
        <w:pStyle w:val="2"/>
        <w:rPr>
          <w:rFonts w:hint="eastAsia"/>
          <w:lang w:eastAsia="zh-CN"/>
        </w:rPr>
      </w:pPr>
    </w:p>
    <w:p>
      <w:pPr>
        <w:rPr>
          <w:rFonts w:hint="eastAsia"/>
          <w:lang w:eastAsia="zh-CN"/>
        </w:rPr>
      </w:pPr>
      <w:r>
        <w:rPr>
          <w:rFonts w:hint="eastAsia"/>
          <w:lang w:eastAsia="zh-CN"/>
        </w:rPr>
        <w:br w:type="page"/>
      </w:r>
    </w:p>
    <w:p>
      <w:pPr>
        <w:widowControl w:val="0"/>
        <w:spacing w:line="590" w:lineRule="exact"/>
        <w:rPr>
          <w:rFonts w:hint="eastAsia" w:ascii="方正黑体_GBK" w:eastAsia="方正黑体_GBK"/>
          <w:sz w:val="32"/>
          <w:szCs w:val="32"/>
          <w:lang w:eastAsia="zh-CN"/>
        </w:rPr>
      </w:pPr>
      <w:r>
        <w:rPr>
          <w:rFonts w:hint="eastAsia" w:ascii="方正黑体_GBK" w:eastAsia="方正黑体_GBK"/>
          <w:sz w:val="32"/>
          <w:szCs w:val="32"/>
          <w:lang w:eastAsia="zh-CN"/>
        </w:rPr>
        <w:t>三、收到和处理政府信息公开申请情况</w:t>
      </w:r>
    </w:p>
    <w:tbl>
      <w:tblPr>
        <w:tblStyle w:val="16"/>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55"/>
        <w:gridCol w:w="2325"/>
        <w:gridCol w:w="630"/>
        <w:gridCol w:w="765"/>
        <w:gridCol w:w="765"/>
        <w:gridCol w:w="825"/>
        <w:gridCol w:w="990"/>
        <w:gridCol w:w="720"/>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74" w:type="dxa"/>
            <w:gridSpan w:val="3"/>
            <w:vMerge w:val="restar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color w:val="000000"/>
                <w:sz w:val="20"/>
              </w:rPr>
              <w:t>（本列数据的勾稽关系为：第一项加第二项之和，等于第三项加第四项之和）</w:t>
            </w:r>
          </w:p>
        </w:tc>
        <w:tc>
          <w:tcPr>
            <w:tcW w:w="5397" w:type="dxa"/>
            <w:gridSpan w:val="7"/>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74" w:type="dxa"/>
            <w:gridSpan w:val="3"/>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630" w:type="dxa"/>
            <w:vMerge w:val="restart"/>
            <w:tcBorders>
              <w:top w:val="nil"/>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自然人</w:t>
            </w:r>
          </w:p>
        </w:tc>
        <w:tc>
          <w:tcPr>
            <w:tcW w:w="4065" w:type="dxa"/>
            <w:gridSpan w:val="5"/>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法人或其他组织</w:t>
            </w:r>
          </w:p>
        </w:tc>
        <w:tc>
          <w:tcPr>
            <w:tcW w:w="702" w:type="dxa"/>
            <w:vMerge w:val="restart"/>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74" w:type="dxa"/>
            <w:gridSpan w:val="3"/>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630"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商业企业</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科研机构</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社会公益组织</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法律服务机构</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其他</w:t>
            </w:r>
          </w:p>
        </w:tc>
        <w:tc>
          <w:tcPr>
            <w:tcW w:w="702" w:type="dxa"/>
            <w:vMerge w:val="continue"/>
            <w:tcBorders>
              <w:top w:val="single" w:color="auto" w:sz="4" w:space="0"/>
              <w:left w:val="nil"/>
              <w:bottom w:val="single" w:color="auto" w:sz="4" w:space="0"/>
              <w:right w:val="single" w:color="auto" w:sz="4" w:space="0"/>
            </w:tcBorders>
            <w:vAlign w:val="center"/>
          </w:tcPr>
          <w:p>
            <w:pPr>
              <w:jc w:val="left"/>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3674"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cs="宋体"/>
                <w:sz w:val="20"/>
              </w:rPr>
              <w:t>一、本年新收政府信息公开申请数量</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3674"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cs="宋体"/>
                <w:sz w:val="20"/>
              </w:rPr>
              <w:t>二、上年结转政府信息公开申请数量</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restart"/>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三、本年度办理结果</w:t>
            </w:r>
          </w:p>
        </w:tc>
        <w:tc>
          <w:tcPr>
            <w:tcW w:w="3180"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（一）予以公开</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3180"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（二）部分公开（区分处理的，只计这一情形，不计其他情形）</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restart"/>
            <w:tcBorders>
              <w:top w:val="nil"/>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（三）不予公开</w:t>
            </w: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1.</w:t>
            </w:r>
            <w:r>
              <w:rPr>
                <w:rFonts w:hint="eastAsia" w:ascii="楷体" w:hAnsi="楷体" w:eastAsia="楷体" w:cs="楷体"/>
                <w:sz w:val="20"/>
              </w:rPr>
              <w:t>属于国家秘密</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2.</w:t>
            </w:r>
            <w:r>
              <w:rPr>
                <w:rFonts w:hint="eastAsia" w:ascii="楷体" w:hAnsi="楷体" w:eastAsia="楷体" w:cs="楷体"/>
                <w:sz w:val="20"/>
              </w:rPr>
              <w:t>其他法律行政法规禁止公开</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3.</w:t>
            </w:r>
            <w:r>
              <w:rPr>
                <w:rFonts w:hint="eastAsia" w:ascii="楷体" w:hAnsi="楷体" w:eastAsia="楷体" w:cs="楷体"/>
                <w:sz w:val="20"/>
              </w:rPr>
              <w:t>危及“三安全一稳定”</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4.</w:t>
            </w:r>
            <w:r>
              <w:rPr>
                <w:rFonts w:hint="eastAsia" w:ascii="楷体" w:hAnsi="楷体" w:eastAsia="楷体" w:cs="楷体"/>
                <w:sz w:val="20"/>
              </w:rPr>
              <w:t>保护第三方合法权益</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5.</w:t>
            </w:r>
            <w:r>
              <w:rPr>
                <w:rFonts w:hint="eastAsia" w:ascii="楷体" w:hAnsi="楷体" w:eastAsia="楷体" w:cs="楷体"/>
                <w:sz w:val="20"/>
              </w:rPr>
              <w:t>属于三类内部事务信息</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6.</w:t>
            </w:r>
            <w:r>
              <w:rPr>
                <w:rFonts w:hint="eastAsia" w:ascii="楷体" w:hAnsi="楷体" w:eastAsia="楷体" w:cs="楷体"/>
                <w:sz w:val="20"/>
              </w:rPr>
              <w:t>属于四类过程性信息</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7.</w:t>
            </w:r>
            <w:r>
              <w:rPr>
                <w:rFonts w:hint="eastAsia" w:ascii="楷体" w:hAnsi="楷体" w:eastAsia="楷体" w:cs="楷体"/>
                <w:sz w:val="20"/>
              </w:rPr>
              <w:t>属于行政执法案卷</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8.</w:t>
            </w:r>
            <w:r>
              <w:rPr>
                <w:rFonts w:hint="eastAsia" w:ascii="楷体" w:hAnsi="楷体" w:eastAsia="楷体" w:cs="楷体"/>
                <w:sz w:val="20"/>
              </w:rPr>
              <w:t>属于行政查询事项</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restart"/>
            <w:tcBorders>
              <w:top w:val="nil"/>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（四）无法提供</w:t>
            </w: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1.</w:t>
            </w:r>
            <w:r>
              <w:rPr>
                <w:rFonts w:hint="eastAsia" w:ascii="楷体" w:hAnsi="楷体" w:eastAsia="楷体" w:cs="楷体"/>
                <w:sz w:val="20"/>
              </w:rPr>
              <w:t>本机关不掌握相关政府信息</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2.</w:t>
            </w:r>
            <w:r>
              <w:rPr>
                <w:rFonts w:hint="eastAsia" w:ascii="楷体" w:hAnsi="楷体" w:eastAsia="楷体" w:cs="楷体"/>
                <w:sz w:val="20"/>
              </w:rPr>
              <w:t>没有现成信息需要另行制作</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3.</w:t>
            </w:r>
            <w:r>
              <w:rPr>
                <w:rFonts w:hint="eastAsia" w:ascii="楷体" w:hAnsi="楷体" w:eastAsia="楷体" w:cs="楷体"/>
                <w:sz w:val="20"/>
              </w:rPr>
              <w:t>补正后申请内容仍不明确</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restart"/>
            <w:tcBorders>
              <w:top w:val="nil"/>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（五）不予处理</w:t>
            </w: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1.</w:t>
            </w:r>
            <w:r>
              <w:rPr>
                <w:rFonts w:hint="eastAsia" w:ascii="楷体" w:hAnsi="楷体" w:eastAsia="楷体" w:cs="楷体"/>
                <w:sz w:val="20"/>
              </w:rPr>
              <w:t>信访举报投诉类申请</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2.</w:t>
            </w:r>
            <w:r>
              <w:rPr>
                <w:rFonts w:hint="eastAsia" w:ascii="楷体" w:hAnsi="楷体" w:eastAsia="楷体" w:cs="楷体"/>
                <w:sz w:val="20"/>
              </w:rPr>
              <w:t>重复申请</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3.</w:t>
            </w:r>
            <w:r>
              <w:rPr>
                <w:rFonts w:hint="eastAsia" w:ascii="楷体" w:hAnsi="楷体" w:eastAsia="楷体" w:cs="楷体"/>
                <w:sz w:val="20"/>
              </w:rPr>
              <w:t>要求提供公开出版物</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4.</w:t>
            </w:r>
            <w:r>
              <w:rPr>
                <w:rFonts w:hint="eastAsia" w:ascii="楷体" w:hAnsi="楷体" w:eastAsia="楷体" w:cs="楷体"/>
                <w:sz w:val="20"/>
              </w:rPr>
              <w:t>无正当理由大量反复申请</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5.</w:t>
            </w:r>
            <w:r>
              <w:rPr>
                <w:rFonts w:hint="eastAsia" w:ascii="楷体" w:hAnsi="楷体" w:eastAsia="楷体" w:cs="楷体"/>
                <w:sz w:val="20"/>
              </w:rPr>
              <w:t>要求行政机关确认或重新出具已获取信息</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3180"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（六）其他处理</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3180"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（七）总计</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3674"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cs="宋体"/>
                <w:sz w:val="20"/>
              </w:rPr>
              <w:t>四、结转下年度继续办理</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702" w:type="dxa"/>
            <w:tcBorders>
              <w:top w:val="single" w:color="auto" w:sz="4" w:space="0"/>
              <w:left w:val="nil"/>
              <w:bottom w:val="single" w:color="auto" w:sz="4" w:space="0"/>
              <w:right w:val="single" w:color="auto" w:sz="4" w:space="0"/>
            </w:tcBorders>
            <w:vAlign w:val="center"/>
          </w:tcPr>
          <w:p>
            <w:pPr>
              <w:jc w:val="center"/>
              <w:rPr>
                <w:rFonts w:hint="eastAsia" w:ascii="宋体" w:eastAsiaTheme="minorEastAsia"/>
                <w:kern w:val="0"/>
                <w:sz w:val="24"/>
                <w:szCs w:val="24"/>
                <w:lang w:val="en-US" w:eastAsia="zh-CN"/>
              </w:rPr>
            </w:pPr>
            <w:r>
              <w:rPr>
                <w:rFonts w:hint="eastAsia"/>
                <w:sz w:val="20"/>
                <w:lang w:eastAsia="zh-CN"/>
              </w:rPr>
              <w:t>0</w:t>
            </w:r>
          </w:p>
        </w:tc>
      </w:tr>
    </w:tbl>
    <w:p>
      <w:pPr>
        <w:widowControl w:val="0"/>
        <w:spacing w:line="590" w:lineRule="exact"/>
        <w:rPr>
          <w:rFonts w:hint="eastAsia" w:ascii="方正黑体_GBK" w:eastAsia="方正黑体_GBK"/>
          <w:sz w:val="32"/>
          <w:szCs w:val="32"/>
          <w:lang w:eastAsia="zh-CN"/>
        </w:rPr>
      </w:pPr>
    </w:p>
    <w:p>
      <w:pPr>
        <w:widowControl w:val="0"/>
        <w:spacing w:line="590" w:lineRule="exact"/>
        <w:rPr>
          <w:rFonts w:hint="eastAsia" w:ascii="方正黑体_GBK" w:eastAsia="方正黑体_GBK"/>
          <w:sz w:val="32"/>
          <w:szCs w:val="32"/>
          <w:lang w:eastAsia="zh-CN"/>
        </w:rPr>
      </w:pPr>
      <w:r>
        <w:rPr>
          <w:rFonts w:hint="eastAsia" w:ascii="方正黑体_GBK" w:eastAsia="方正黑体_GBK"/>
          <w:sz w:val="32"/>
          <w:szCs w:val="32"/>
          <w:lang w:eastAsia="zh-CN"/>
        </w:rPr>
        <w:t>四、政府信息公开行政复议、行政诉讼情况</w:t>
      </w:r>
    </w:p>
    <w:tbl>
      <w:tblPr>
        <w:tblStyle w:val="16"/>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结果维持</w:t>
            </w:r>
          </w:p>
        </w:tc>
        <w:tc>
          <w:tcPr>
            <w:tcW w:w="604" w:type="dxa"/>
            <w:vMerge w:val="restart"/>
            <w:tcBorders>
              <w:top w:val="nil"/>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总计</w:t>
            </w:r>
          </w:p>
        </w:tc>
        <w:tc>
          <w:tcPr>
            <w:tcW w:w="2970" w:type="dxa"/>
            <w:gridSpan w:val="5"/>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604"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604" w:type="dxa"/>
            <w:vMerge w:val="continue"/>
            <w:tcBorders>
              <w:top w:val="single" w:color="auto" w:sz="4" w:space="0"/>
              <w:left w:val="nil"/>
              <w:bottom w:val="single" w:color="auto" w:sz="4" w:space="0"/>
              <w:right w:val="single" w:color="auto" w:sz="4" w:space="0"/>
            </w:tcBorders>
            <w:vAlign w:val="center"/>
          </w:tcPr>
          <w:p>
            <w:pPr>
              <w:jc w:val="left"/>
              <w:rPr>
                <w:rFonts w:ascii="宋体"/>
                <w:kern w:val="0"/>
                <w:sz w:val="24"/>
                <w:szCs w:val="24"/>
              </w:rPr>
            </w:pPr>
          </w:p>
        </w:tc>
        <w:tc>
          <w:tcPr>
            <w:tcW w:w="604" w:type="dxa"/>
            <w:vMerge w:val="continue"/>
            <w:tcBorders>
              <w:top w:val="single" w:color="auto" w:sz="4" w:space="0"/>
              <w:left w:val="nil"/>
              <w:bottom w:val="single" w:color="auto" w:sz="4" w:space="0"/>
              <w:right w:val="single" w:color="auto" w:sz="4" w:space="0"/>
            </w:tcBorders>
            <w:vAlign w:val="center"/>
          </w:tcPr>
          <w:p>
            <w:pPr>
              <w:jc w:val="left"/>
              <w:rPr>
                <w:rFonts w:ascii="宋体"/>
                <w:kern w:val="0"/>
                <w:sz w:val="24"/>
                <w:szCs w:val="24"/>
              </w:rPr>
            </w:pPr>
          </w:p>
        </w:tc>
        <w:tc>
          <w:tcPr>
            <w:tcW w:w="658" w:type="dxa"/>
            <w:vMerge w:val="continue"/>
            <w:tcBorders>
              <w:top w:val="single" w:color="auto" w:sz="4" w:space="0"/>
              <w:left w:val="nil"/>
              <w:bottom w:val="single" w:color="auto" w:sz="4" w:space="0"/>
              <w:right w:val="single" w:color="auto" w:sz="4" w:space="0"/>
            </w:tcBorders>
            <w:vAlign w:val="center"/>
          </w:tcPr>
          <w:p>
            <w:pPr>
              <w:jc w:val="left"/>
              <w:rPr>
                <w:rFonts w:ascii="宋体"/>
                <w:kern w:val="0"/>
                <w:sz w:val="24"/>
                <w:szCs w:val="24"/>
              </w:rPr>
            </w:pPr>
          </w:p>
        </w:tc>
        <w:tc>
          <w:tcPr>
            <w:tcW w:w="55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结果维持</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结果纠正</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其他结果</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尚未审结</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总计</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结果维持</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结果纠正</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其他结果</w:t>
            </w:r>
          </w:p>
        </w:tc>
        <w:tc>
          <w:tcPr>
            <w:tcW w:w="606"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尚未审结</w:t>
            </w:r>
          </w:p>
        </w:tc>
        <w:tc>
          <w:tcPr>
            <w:tcW w:w="606"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604"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604"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604"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658"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55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ascii="宋体"/>
                <w:color w:val="000000"/>
                <w:kern w:val="0"/>
                <w:sz w:val="20"/>
                <w:lang w:eastAsia="zh-CN"/>
              </w:rPr>
              <w:t>0</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ascii="宋体"/>
                <w:color w:val="000000"/>
                <w:kern w:val="0"/>
                <w:sz w:val="20"/>
                <w:lang w:eastAsia="zh-CN"/>
              </w:rPr>
              <w:t>0</w:t>
            </w:r>
          </w:p>
        </w:tc>
        <w:tc>
          <w:tcPr>
            <w:tcW w:w="606"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eastAsia="zh-CN"/>
              </w:rPr>
              <w:t>0</w:t>
            </w:r>
          </w:p>
        </w:tc>
        <w:tc>
          <w:tcPr>
            <w:tcW w:w="606" w:type="dxa"/>
            <w:tcBorders>
              <w:top w:val="single" w:color="auto" w:sz="4" w:space="0"/>
              <w:left w:val="nil"/>
              <w:bottom w:val="single" w:color="auto" w:sz="4" w:space="0"/>
              <w:right w:val="single" w:color="auto" w:sz="4" w:space="0"/>
            </w:tcBorders>
            <w:vAlign w:val="center"/>
          </w:tcPr>
          <w:p>
            <w:pPr>
              <w:jc w:val="left"/>
              <w:rPr>
                <w:rFonts w:hint="eastAsia" w:ascii="宋体" w:eastAsiaTheme="minorEastAsia"/>
                <w:kern w:val="0"/>
                <w:sz w:val="24"/>
                <w:szCs w:val="24"/>
                <w:lang w:val="en-US" w:eastAsia="zh-CN"/>
              </w:rPr>
            </w:pPr>
            <w:r>
              <w:rPr>
                <w:rFonts w:hint="eastAsia"/>
                <w:sz w:val="20"/>
                <w:lang w:eastAsia="zh-CN"/>
              </w:rPr>
              <w:t>0</w:t>
            </w:r>
          </w:p>
        </w:tc>
      </w:tr>
    </w:tbl>
    <w:p>
      <w:pPr>
        <w:pStyle w:val="6"/>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ind w:left="0" w:firstLine="42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存在问题：一</w:t>
      </w:r>
      <w:r>
        <w:rPr>
          <w:rFonts w:hint="eastAsia" w:ascii="方正仿宋_GBK" w:hAnsi="方正仿宋_GBK" w:eastAsia="方正仿宋_GBK" w:cs="方正仿宋_GBK"/>
          <w:sz w:val="32"/>
          <w:szCs w:val="32"/>
          <w:lang w:eastAsia="zh-CN"/>
        </w:rPr>
        <w:t>是</w:t>
      </w:r>
      <w:r>
        <w:rPr>
          <w:rFonts w:hint="eastAsia" w:ascii="方正仿宋_GBK" w:hAnsi="方正仿宋_GBK" w:eastAsia="方正仿宋_GBK" w:cs="方正仿宋_GBK"/>
          <w:sz w:val="32"/>
          <w:szCs w:val="32"/>
        </w:rPr>
        <w:t>公开的内容不够全面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公开的载体和形式需要进一步丰富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政务</w:t>
      </w:r>
      <w:bookmarkStart w:id="0" w:name="_GoBack"/>
      <w:bookmarkEnd w:id="0"/>
      <w:r>
        <w:rPr>
          <w:rFonts w:hint="eastAsia" w:ascii="方正仿宋_GBK" w:hAnsi="方正仿宋_GBK" w:eastAsia="方正仿宋_GBK" w:cs="方正仿宋_GBK"/>
          <w:sz w:val="32"/>
          <w:szCs w:val="32"/>
          <w:lang w:val="en-US" w:eastAsia="zh-CN"/>
        </w:rPr>
        <w:t>信息的公开面、公开量有待进一步加强。二是信息公开工作人员业务水平不能适应新时代新要求。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改进情况：一是明确工作职责，加大工作力度，不断扩大信息公开量。将政府信息公开工作和日常业务工作紧密结合，认真界定是否公开及公开范围，让依法应公开的信息及时公开。二是进一步梳理各部门所掌握的政府信息，及时提供，确保政府信息公开工作能按照既定的工作流程有效运作，使公众能够方便查询。三是进一步丰富信息公开的形式，提高便民性。梳理、整合政府信息，提高信息的知晓度，进一步加强政府信息公开工作面向社会的宣传力度。四是加强培训，提升水平。通过参加上级组织的业务培训或主动学习其他单位的经验做法等多种途径，加强相关人员素质的培养和锻炼，提高工作人员的能力水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320" w:firstLineChars="100"/>
        <w:textAlignment w:val="auto"/>
      </w:pPr>
      <w:r>
        <w:rPr>
          <w:rFonts w:hint="eastAsia" w:ascii="仿宋" w:hAnsi="仿宋" w:eastAsia="仿宋" w:cs="仿宋"/>
          <w:sz w:val="32"/>
          <w:szCs w:val="32"/>
          <w:lang w:eastAsia="zh-CN"/>
        </w:rPr>
        <w:t>无</w:t>
      </w:r>
      <w:r>
        <w:rPr>
          <w:rFonts w:hint="eastAsia" w:ascii="仿宋" w:hAnsi="仿宋" w:eastAsia="仿宋" w:cs="仿宋"/>
          <w:sz w:val="24"/>
          <w:szCs w:val="24"/>
          <w:lang w:val="en-US" w:eastAsia="zh-CN"/>
        </w:rPr>
        <w:t xml:space="preserve">  </w:t>
      </w:r>
    </w:p>
    <w:p>
      <w:pPr>
        <w:keepNext w:val="0"/>
        <w:keepLines w:val="0"/>
        <w:pageBreakBefore w:val="0"/>
        <w:kinsoku/>
        <w:wordWrap w:val="0"/>
        <w:overflowPunct/>
        <w:topLinePunct w:val="0"/>
        <w:autoSpaceDE/>
        <w:autoSpaceDN/>
        <w:bidi w:val="0"/>
        <w:adjustRightInd/>
        <w:snapToGrid/>
        <w:spacing w:line="560" w:lineRule="exact"/>
        <w:ind w:left="0" w:leftChars="0" w:right="0" w:right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玉溪市江川区前卫镇人民政府</w:t>
      </w:r>
      <w:r>
        <w:rPr>
          <w:rFonts w:hint="eastAsia"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lang w:val="en-US" w:eastAsia="zh-CN"/>
        </w:rPr>
        <w:t>日</w:t>
      </w:r>
    </w:p>
    <w:sectPr>
      <w:footerReference r:id="rId3" w:type="default"/>
      <w:pgSz w:w="11906" w:h="16838"/>
      <w:pgMar w:top="1871" w:right="1474" w:bottom="1928" w:left="1587" w:header="851" w:footer="992" w:gutter="0"/>
      <w:pgBorders w:offsetFrom="page">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onospace">
    <w:altName w:val="Courier New"/>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创艺简黑体">
    <w:altName w:val="黑体"/>
    <w:panose1 w:val="00000000000000000000"/>
    <w:charset w:val="86"/>
    <w:family w:val="auto"/>
    <w:pitch w:val="default"/>
    <w:sig w:usb0="00000000" w:usb1="00000000" w:usb2="00000010" w:usb3="00000000" w:csb0="00040000" w:csb1="00000000"/>
  </w:font>
  <w:font w:name="方正仿宋">
    <w:altName w:val="仿宋"/>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-247650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5pt;height:144pt;width:144pt;mso-position-horizontal:outside;mso-position-horizontal-relative:margin;mso-wrap-style:none;z-index:251658240;mso-width-relative:page;mso-height-relative:page;" filled="f" stroked="f" coordsize="21600,21600" o:gfxdata="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onR3TUAAAACAEAAA8AAAAAAAAAAQAg&#10;AAAAIgAAAGRycy9kb3ducmV2LnhtbFBLAQIUABQAAAAIAIdO4kBK283/EgIAABMEAAAOAAAAAAAA&#10;AAEAIAAAACMBAABkcnMvZTJvRG9jLnhtbFBLBQYAAAAABgAGAFkBAACn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10360"/>
    <w:multiLevelType w:val="singleLevel"/>
    <w:tmpl w:val="5E410360"/>
    <w:lvl w:ilvl="0" w:tentative="0">
      <w:start w:val="1"/>
      <w:numFmt w:val="chineseCounting"/>
      <w:suff w:val="nothing"/>
      <w:lvlText w:val="%1、"/>
      <w:lvlJc w:val="left"/>
    </w:lvl>
  </w:abstractNum>
  <w:abstractNum w:abstractNumId="1">
    <w:nsid w:val="5E412334"/>
    <w:multiLevelType w:val="singleLevel"/>
    <w:tmpl w:val="5E412334"/>
    <w:lvl w:ilvl="0" w:tentative="0">
      <w:start w:val="1"/>
      <w:numFmt w:val="chineseCounting"/>
      <w:suff w:val="nothing"/>
      <w:lvlText w:val="（%1）"/>
      <w:lvlJc w:val="left"/>
    </w:lvl>
  </w:abstractNum>
  <w:abstractNum w:abstractNumId="2">
    <w:nsid w:val="5E41234A"/>
    <w:multiLevelType w:val="singleLevel"/>
    <w:tmpl w:val="5E41234A"/>
    <w:lvl w:ilvl="0" w:tentative="0">
      <w:start w:val="1"/>
      <w:numFmt w:val="decimal"/>
      <w:suff w:val="nothing"/>
      <w:lvlText w:val="%1."/>
      <w:lvlJc w:val="left"/>
    </w:lvl>
  </w:abstractNum>
  <w:abstractNum w:abstractNumId="3">
    <w:nsid w:val="5E4165E4"/>
    <w:multiLevelType w:val="singleLevel"/>
    <w:tmpl w:val="5E4165E4"/>
    <w:lvl w:ilvl="0" w:tentative="0">
      <w:start w:val="5"/>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46362"/>
    <w:rsid w:val="008C24DD"/>
    <w:rsid w:val="01CE4114"/>
    <w:rsid w:val="0213751B"/>
    <w:rsid w:val="023F29F1"/>
    <w:rsid w:val="02446CD4"/>
    <w:rsid w:val="024A29B6"/>
    <w:rsid w:val="02A00A6A"/>
    <w:rsid w:val="02A70BD4"/>
    <w:rsid w:val="03041296"/>
    <w:rsid w:val="031622CA"/>
    <w:rsid w:val="031D00BA"/>
    <w:rsid w:val="0330201A"/>
    <w:rsid w:val="03B34A95"/>
    <w:rsid w:val="03E552A5"/>
    <w:rsid w:val="03EC4C91"/>
    <w:rsid w:val="04761AAA"/>
    <w:rsid w:val="0478663B"/>
    <w:rsid w:val="04A47A53"/>
    <w:rsid w:val="04B3049F"/>
    <w:rsid w:val="04DB6208"/>
    <w:rsid w:val="054F36D9"/>
    <w:rsid w:val="05567F2F"/>
    <w:rsid w:val="05784D63"/>
    <w:rsid w:val="05845DF6"/>
    <w:rsid w:val="059D75E5"/>
    <w:rsid w:val="05BA28B8"/>
    <w:rsid w:val="05D60FD2"/>
    <w:rsid w:val="062C119F"/>
    <w:rsid w:val="064F5461"/>
    <w:rsid w:val="067762A0"/>
    <w:rsid w:val="06B81B8C"/>
    <w:rsid w:val="06BE0387"/>
    <w:rsid w:val="06DF5CD5"/>
    <w:rsid w:val="07096CD1"/>
    <w:rsid w:val="074506A7"/>
    <w:rsid w:val="074C5986"/>
    <w:rsid w:val="079F5AD4"/>
    <w:rsid w:val="08264078"/>
    <w:rsid w:val="085C2BE6"/>
    <w:rsid w:val="089D2CFE"/>
    <w:rsid w:val="08AB2FC6"/>
    <w:rsid w:val="0930602B"/>
    <w:rsid w:val="0943392C"/>
    <w:rsid w:val="095969B9"/>
    <w:rsid w:val="0B5F0D61"/>
    <w:rsid w:val="0C2500FD"/>
    <w:rsid w:val="0C5002CF"/>
    <w:rsid w:val="0C791DFB"/>
    <w:rsid w:val="0D8E63CA"/>
    <w:rsid w:val="0DBB3C1F"/>
    <w:rsid w:val="0DC33E4F"/>
    <w:rsid w:val="0E6A2D79"/>
    <w:rsid w:val="0E6D5A01"/>
    <w:rsid w:val="0EA81E7D"/>
    <w:rsid w:val="0EBF4976"/>
    <w:rsid w:val="0F1C18C0"/>
    <w:rsid w:val="0F493D83"/>
    <w:rsid w:val="0F5D775D"/>
    <w:rsid w:val="0F844D79"/>
    <w:rsid w:val="100A40A3"/>
    <w:rsid w:val="101E23FF"/>
    <w:rsid w:val="10877B65"/>
    <w:rsid w:val="108D5B3C"/>
    <w:rsid w:val="10987F81"/>
    <w:rsid w:val="10EC7624"/>
    <w:rsid w:val="10EF1DB2"/>
    <w:rsid w:val="11303D50"/>
    <w:rsid w:val="118C1F33"/>
    <w:rsid w:val="1195650C"/>
    <w:rsid w:val="11CB40B6"/>
    <w:rsid w:val="125D78EA"/>
    <w:rsid w:val="12B31043"/>
    <w:rsid w:val="13214A6E"/>
    <w:rsid w:val="135E20A2"/>
    <w:rsid w:val="137818AC"/>
    <w:rsid w:val="13BB543E"/>
    <w:rsid w:val="13D1134F"/>
    <w:rsid w:val="14565F1A"/>
    <w:rsid w:val="14BD0764"/>
    <w:rsid w:val="14C26D2C"/>
    <w:rsid w:val="15006D1E"/>
    <w:rsid w:val="1514427B"/>
    <w:rsid w:val="1520305E"/>
    <w:rsid w:val="161B3D81"/>
    <w:rsid w:val="1669025E"/>
    <w:rsid w:val="166F4719"/>
    <w:rsid w:val="16774642"/>
    <w:rsid w:val="16820303"/>
    <w:rsid w:val="16BB66F4"/>
    <w:rsid w:val="16DF1F83"/>
    <w:rsid w:val="16DF4150"/>
    <w:rsid w:val="16E25E6F"/>
    <w:rsid w:val="173D08A3"/>
    <w:rsid w:val="17D4649B"/>
    <w:rsid w:val="18217FE0"/>
    <w:rsid w:val="183541BE"/>
    <w:rsid w:val="184D5D8F"/>
    <w:rsid w:val="18692728"/>
    <w:rsid w:val="186B4876"/>
    <w:rsid w:val="18CE673B"/>
    <w:rsid w:val="18EC0A06"/>
    <w:rsid w:val="19157B00"/>
    <w:rsid w:val="194531A8"/>
    <w:rsid w:val="197D12BC"/>
    <w:rsid w:val="198C42F0"/>
    <w:rsid w:val="1A090536"/>
    <w:rsid w:val="1A0C3564"/>
    <w:rsid w:val="1A1C0219"/>
    <w:rsid w:val="1A557B35"/>
    <w:rsid w:val="1A7A414E"/>
    <w:rsid w:val="1AB45D67"/>
    <w:rsid w:val="1AE85E9F"/>
    <w:rsid w:val="1B261ED8"/>
    <w:rsid w:val="1C364FBF"/>
    <w:rsid w:val="1CDF0679"/>
    <w:rsid w:val="1CF15C8E"/>
    <w:rsid w:val="1CF90B0A"/>
    <w:rsid w:val="1D037B39"/>
    <w:rsid w:val="1D20321E"/>
    <w:rsid w:val="1D3E2E75"/>
    <w:rsid w:val="1D48386E"/>
    <w:rsid w:val="1D913BE3"/>
    <w:rsid w:val="1DAE6E73"/>
    <w:rsid w:val="1DF93513"/>
    <w:rsid w:val="1E2D5D1E"/>
    <w:rsid w:val="1E5D2C53"/>
    <w:rsid w:val="1EAD337C"/>
    <w:rsid w:val="1EBF693E"/>
    <w:rsid w:val="1EC60F7C"/>
    <w:rsid w:val="1EEE4D83"/>
    <w:rsid w:val="1EF83C01"/>
    <w:rsid w:val="1F14277A"/>
    <w:rsid w:val="1F2A0F02"/>
    <w:rsid w:val="1F6A7AEE"/>
    <w:rsid w:val="20241915"/>
    <w:rsid w:val="206136DC"/>
    <w:rsid w:val="209679FB"/>
    <w:rsid w:val="20D9717D"/>
    <w:rsid w:val="2157456D"/>
    <w:rsid w:val="21716FBF"/>
    <w:rsid w:val="217A10C7"/>
    <w:rsid w:val="21C7633B"/>
    <w:rsid w:val="225C743F"/>
    <w:rsid w:val="22780335"/>
    <w:rsid w:val="22A37D59"/>
    <w:rsid w:val="22A974E5"/>
    <w:rsid w:val="22EE2018"/>
    <w:rsid w:val="23021FFC"/>
    <w:rsid w:val="231737AC"/>
    <w:rsid w:val="233C188D"/>
    <w:rsid w:val="235E6C4F"/>
    <w:rsid w:val="237B4B54"/>
    <w:rsid w:val="238F6C0D"/>
    <w:rsid w:val="23EB3D05"/>
    <w:rsid w:val="23F46A69"/>
    <w:rsid w:val="24192E16"/>
    <w:rsid w:val="241A0929"/>
    <w:rsid w:val="247774DE"/>
    <w:rsid w:val="247E5D0D"/>
    <w:rsid w:val="24B4289F"/>
    <w:rsid w:val="24D40B29"/>
    <w:rsid w:val="24DE5430"/>
    <w:rsid w:val="24EE2434"/>
    <w:rsid w:val="25076C36"/>
    <w:rsid w:val="251B78DD"/>
    <w:rsid w:val="252C52C1"/>
    <w:rsid w:val="256D4D51"/>
    <w:rsid w:val="257F7CDD"/>
    <w:rsid w:val="25D15F81"/>
    <w:rsid w:val="25D4064E"/>
    <w:rsid w:val="26030968"/>
    <w:rsid w:val="26351213"/>
    <w:rsid w:val="263512B2"/>
    <w:rsid w:val="2635577A"/>
    <w:rsid w:val="2713620A"/>
    <w:rsid w:val="27553EDC"/>
    <w:rsid w:val="275A5A74"/>
    <w:rsid w:val="279721AC"/>
    <w:rsid w:val="279A4E0B"/>
    <w:rsid w:val="27AD2C65"/>
    <w:rsid w:val="27DA6E95"/>
    <w:rsid w:val="27F05FE0"/>
    <w:rsid w:val="27FD2C4F"/>
    <w:rsid w:val="28303C2B"/>
    <w:rsid w:val="286B4272"/>
    <w:rsid w:val="287B2983"/>
    <w:rsid w:val="28D00B08"/>
    <w:rsid w:val="292345C7"/>
    <w:rsid w:val="29380463"/>
    <w:rsid w:val="2995779E"/>
    <w:rsid w:val="29E76A40"/>
    <w:rsid w:val="29EB3592"/>
    <w:rsid w:val="29EF439F"/>
    <w:rsid w:val="2A09743C"/>
    <w:rsid w:val="2A2F27F8"/>
    <w:rsid w:val="2A3D7700"/>
    <w:rsid w:val="2A836EB7"/>
    <w:rsid w:val="2AA75457"/>
    <w:rsid w:val="2ADF12BA"/>
    <w:rsid w:val="2AE262D9"/>
    <w:rsid w:val="2B0E47B8"/>
    <w:rsid w:val="2B4356B5"/>
    <w:rsid w:val="2B75002C"/>
    <w:rsid w:val="2B9E2048"/>
    <w:rsid w:val="2BBD5F77"/>
    <w:rsid w:val="2BFF093E"/>
    <w:rsid w:val="2C5478FD"/>
    <w:rsid w:val="2C9D06A0"/>
    <w:rsid w:val="2CD411C7"/>
    <w:rsid w:val="2CE41587"/>
    <w:rsid w:val="2D395373"/>
    <w:rsid w:val="2D982CA6"/>
    <w:rsid w:val="2DB44F41"/>
    <w:rsid w:val="2DC74869"/>
    <w:rsid w:val="2DFF6F7B"/>
    <w:rsid w:val="2E1B7B61"/>
    <w:rsid w:val="2E4B6D7E"/>
    <w:rsid w:val="2E4E06E2"/>
    <w:rsid w:val="2E791C95"/>
    <w:rsid w:val="2E980382"/>
    <w:rsid w:val="2EA622F0"/>
    <w:rsid w:val="2F782D8C"/>
    <w:rsid w:val="2FA86B65"/>
    <w:rsid w:val="2FB121C9"/>
    <w:rsid w:val="2FB248B0"/>
    <w:rsid w:val="2FCF01AC"/>
    <w:rsid w:val="2FF67ED8"/>
    <w:rsid w:val="30215367"/>
    <w:rsid w:val="30D91EDB"/>
    <w:rsid w:val="30EF4152"/>
    <w:rsid w:val="30F3121F"/>
    <w:rsid w:val="30FE5AA8"/>
    <w:rsid w:val="31184A22"/>
    <w:rsid w:val="31B22531"/>
    <w:rsid w:val="324D3B53"/>
    <w:rsid w:val="326E59F7"/>
    <w:rsid w:val="32B8308B"/>
    <w:rsid w:val="33152AA0"/>
    <w:rsid w:val="33463947"/>
    <w:rsid w:val="33470FB0"/>
    <w:rsid w:val="335431F6"/>
    <w:rsid w:val="33F2371C"/>
    <w:rsid w:val="3414310C"/>
    <w:rsid w:val="34276245"/>
    <w:rsid w:val="342E4328"/>
    <w:rsid w:val="342F7B56"/>
    <w:rsid w:val="3432312E"/>
    <w:rsid w:val="34880299"/>
    <w:rsid w:val="34A1498C"/>
    <w:rsid w:val="34A65948"/>
    <w:rsid w:val="34CC2CA7"/>
    <w:rsid w:val="34E85ED0"/>
    <w:rsid w:val="35321234"/>
    <w:rsid w:val="35BF6BEC"/>
    <w:rsid w:val="35C064B2"/>
    <w:rsid w:val="35DE38E4"/>
    <w:rsid w:val="36651896"/>
    <w:rsid w:val="366A3FBA"/>
    <w:rsid w:val="369F0CBB"/>
    <w:rsid w:val="36A040CA"/>
    <w:rsid w:val="36DE5B29"/>
    <w:rsid w:val="36FD2D17"/>
    <w:rsid w:val="37395215"/>
    <w:rsid w:val="374644EB"/>
    <w:rsid w:val="37A76B57"/>
    <w:rsid w:val="37AC2575"/>
    <w:rsid w:val="37B32F0C"/>
    <w:rsid w:val="37EA1F52"/>
    <w:rsid w:val="381B5324"/>
    <w:rsid w:val="386B7DF2"/>
    <w:rsid w:val="38847C57"/>
    <w:rsid w:val="38852A88"/>
    <w:rsid w:val="388D78C9"/>
    <w:rsid w:val="388E4562"/>
    <w:rsid w:val="38AA5B97"/>
    <w:rsid w:val="38B1446E"/>
    <w:rsid w:val="38FA42F4"/>
    <w:rsid w:val="394B27F0"/>
    <w:rsid w:val="395915FE"/>
    <w:rsid w:val="395A6F80"/>
    <w:rsid w:val="395A7012"/>
    <w:rsid w:val="396576E1"/>
    <w:rsid w:val="399C5FC5"/>
    <w:rsid w:val="3A7A5EAD"/>
    <w:rsid w:val="3A926F46"/>
    <w:rsid w:val="3ACD344C"/>
    <w:rsid w:val="3B286C94"/>
    <w:rsid w:val="3B875234"/>
    <w:rsid w:val="3BF0708F"/>
    <w:rsid w:val="3C0D5774"/>
    <w:rsid w:val="3C327072"/>
    <w:rsid w:val="3C36195A"/>
    <w:rsid w:val="3C67096E"/>
    <w:rsid w:val="3C79225F"/>
    <w:rsid w:val="3CBE47DA"/>
    <w:rsid w:val="3CDB03D6"/>
    <w:rsid w:val="3CF2304E"/>
    <w:rsid w:val="3D4D2D7E"/>
    <w:rsid w:val="3D541DAB"/>
    <w:rsid w:val="3DD5307F"/>
    <w:rsid w:val="3E1A49A2"/>
    <w:rsid w:val="3E2718FE"/>
    <w:rsid w:val="3E2E2F5A"/>
    <w:rsid w:val="3E45490B"/>
    <w:rsid w:val="3E4F3B70"/>
    <w:rsid w:val="3E9406D5"/>
    <w:rsid w:val="3ED23186"/>
    <w:rsid w:val="3EEA2948"/>
    <w:rsid w:val="3EFB2225"/>
    <w:rsid w:val="3F192D47"/>
    <w:rsid w:val="3F417890"/>
    <w:rsid w:val="3F520177"/>
    <w:rsid w:val="3FB05A3C"/>
    <w:rsid w:val="3FCE6DB2"/>
    <w:rsid w:val="3FDA1C40"/>
    <w:rsid w:val="40060EDB"/>
    <w:rsid w:val="40062C92"/>
    <w:rsid w:val="40714056"/>
    <w:rsid w:val="40AE3E7D"/>
    <w:rsid w:val="420B5FE0"/>
    <w:rsid w:val="4255364E"/>
    <w:rsid w:val="42574702"/>
    <w:rsid w:val="425E5469"/>
    <w:rsid w:val="42996405"/>
    <w:rsid w:val="42AE096D"/>
    <w:rsid w:val="42CF1BD3"/>
    <w:rsid w:val="42DC14B3"/>
    <w:rsid w:val="431E64DD"/>
    <w:rsid w:val="4338354C"/>
    <w:rsid w:val="43766AE1"/>
    <w:rsid w:val="44004E68"/>
    <w:rsid w:val="44281CFA"/>
    <w:rsid w:val="442C23D8"/>
    <w:rsid w:val="44FB2706"/>
    <w:rsid w:val="45034AA7"/>
    <w:rsid w:val="458B28D4"/>
    <w:rsid w:val="45B8452D"/>
    <w:rsid w:val="463E7323"/>
    <w:rsid w:val="464028B2"/>
    <w:rsid w:val="464C107C"/>
    <w:rsid w:val="469206E7"/>
    <w:rsid w:val="46AD4A4B"/>
    <w:rsid w:val="46E05FDE"/>
    <w:rsid w:val="47063FC0"/>
    <w:rsid w:val="475375A9"/>
    <w:rsid w:val="476C63C5"/>
    <w:rsid w:val="479B3BF0"/>
    <w:rsid w:val="47C3022A"/>
    <w:rsid w:val="47E0460F"/>
    <w:rsid w:val="480C6241"/>
    <w:rsid w:val="483F79B5"/>
    <w:rsid w:val="487C2FF4"/>
    <w:rsid w:val="48AF6611"/>
    <w:rsid w:val="48C801A0"/>
    <w:rsid w:val="48D01160"/>
    <w:rsid w:val="48FB46AF"/>
    <w:rsid w:val="49430DE8"/>
    <w:rsid w:val="494621C4"/>
    <w:rsid w:val="4947660C"/>
    <w:rsid w:val="49856B43"/>
    <w:rsid w:val="49974A27"/>
    <w:rsid w:val="4A626BCA"/>
    <w:rsid w:val="4A751791"/>
    <w:rsid w:val="4A9A67BD"/>
    <w:rsid w:val="4AA743EB"/>
    <w:rsid w:val="4AE157A1"/>
    <w:rsid w:val="4AFB1953"/>
    <w:rsid w:val="4AFF0ED0"/>
    <w:rsid w:val="4B0175C2"/>
    <w:rsid w:val="4B2F2E49"/>
    <w:rsid w:val="4B431294"/>
    <w:rsid w:val="4B5069EB"/>
    <w:rsid w:val="4BC91D80"/>
    <w:rsid w:val="4C2C7C05"/>
    <w:rsid w:val="4C4414EC"/>
    <w:rsid w:val="4C8F701A"/>
    <w:rsid w:val="4CF000F2"/>
    <w:rsid w:val="4D002C00"/>
    <w:rsid w:val="4D8D7D27"/>
    <w:rsid w:val="4DAA7993"/>
    <w:rsid w:val="4DAA7B60"/>
    <w:rsid w:val="4DE90642"/>
    <w:rsid w:val="4DFB3CC4"/>
    <w:rsid w:val="4E4111FA"/>
    <w:rsid w:val="4E5879B7"/>
    <w:rsid w:val="4E656597"/>
    <w:rsid w:val="4E751CE8"/>
    <w:rsid w:val="4E7C2CFE"/>
    <w:rsid w:val="4EAE738C"/>
    <w:rsid w:val="4F4C31F3"/>
    <w:rsid w:val="4F602970"/>
    <w:rsid w:val="4F704726"/>
    <w:rsid w:val="4FE021C7"/>
    <w:rsid w:val="4FF406CA"/>
    <w:rsid w:val="5021032D"/>
    <w:rsid w:val="50333E1E"/>
    <w:rsid w:val="50401572"/>
    <w:rsid w:val="505B7BA6"/>
    <w:rsid w:val="50B9459B"/>
    <w:rsid w:val="513E3887"/>
    <w:rsid w:val="51470385"/>
    <w:rsid w:val="514E2A21"/>
    <w:rsid w:val="516A1EA4"/>
    <w:rsid w:val="517D30B8"/>
    <w:rsid w:val="517E5BD3"/>
    <w:rsid w:val="51A6177E"/>
    <w:rsid w:val="51BD14BC"/>
    <w:rsid w:val="51F86016"/>
    <w:rsid w:val="51FA7C2E"/>
    <w:rsid w:val="521B45C9"/>
    <w:rsid w:val="52225A3E"/>
    <w:rsid w:val="523845D7"/>
    <w:rsid w:val="52511495"/>
    <w:rsid w:val="5256340B"/>
    <w:rsid w:val="52902716"/>
    <w:rsid w:val="52CD407A"/>
    <w:rsid w:val="52CF5024"/>
    <w:rsid w:val="52FB4989"/>
    <w:rsid w:val="53222971"/>
    <w:rsid w:val="53222A69"/>
    <w:rsid w:val="53530334"/>
    <w:rsid w:val="535660D0"/>
    <w:rsid w:val="535A0419"/>
    <w:rsid w:val="5365745C"/>
    <w:rsid w:val="538A37CA"/>
    <w:rsid w:val="54444538"/>
    <w:rsid w:val="54D77B0B"/>
    <w:rsid w:val="553732E9"/>
    <w:rsid w:val="556421E5"/>
    <w:rsid w:val="55652151"/>
    <w:rsid w:val="556A4834"/>
    <w:rsid w:val="55B13689"/>
    <w:rsid w:val="55CF3DA0"/>
    <w:rsid w:val="564A25FF"/>
    <w:rsid w:val="565A59D4"/>
    <w:rsid w:val="56A277CD"/>
    <w:rsid w:val="56C20F9F"/>
    <w:rsid w:val="56CE7A5A"/>
    <w:rsid w:val="56D73AEF"/>
    <w:rsid w:val="57083F66"/>
    <w:rsid w:val="57621739"/>
    <w:rsid w:val="5788072E"/>
    <w:rsid w:val="57970706"/>
    <w:rsid w:val="57A00EB8"/>
    <w:rsid w:val="57AC7F81"/>
    <w:rsid w:val="581D0C66"/>
    <w:rsid w:val="58235A6D"/>
    <w:rsid w:val="58310AAA"/>
    <w:rsid w:val="58456E9D"/>
    <w:rsid w:val="586B5ACF"/>
    <w:rsid w:val="589251B4"/>
    <w:rsid w:val="58E66097"/>
    <w:rsid w:val="58E70590"/>
    <w:rsid w:val="594F1893"/>
    <w:rsid w:val="595A0FB6"/>
    <w:rsid w:val="5974652B"/>
    <w:rsid w:val="59A92D8A"/>
    <w:rsid w:val="5A1E1D77"/>
    <w:rsid w:val="5A4849F5"/>
    <w:rsid w:val="5A670C90"/>
    <w:rsid w:val="5A685184"/>
    <w:rsid w:val="5A706266"/>
    <w:rsid w:val="5AC545AC"/>
    <w:rsid w:val="5B7808F4"/>
    <w:rsid w:val="5B900C3B"/>
    <w:rsid w:val="5B906B7A"/>
    <w:rsid w:val="5BD02B1C"/>
    <w:rsid w:val="5BEC6F10"/>
    <w:rsid w:val="5BEF2E2B"/>
    <w:rsid w:val="5C113BB8"/>
    <w:rsid w:val="5C533CC9"/>
    <w:rsid w:val="5CC27860"/>
    <w:rsid w:val="5CF53142"/>
    <w:rsid w:val="5D131333"/>
    <w:rsid w:val="5D1C2B7E"/>
    <w:rsid w:val="5D2D3ACC"/>
    <w:rsid w:val="5D4B3579"/>
    <w:rsid w:val="5D5D2E10"/>
    <w:rsid w:val="5D8F471E"/>
    <w:rsid w:val="5DC544D1"/>
    <w:rsid w:val="5DCF31EC"/>
    <w:rsid w:val="5E2F045F"/>
    <w:rsid w:val="5E4A1C29"/>
    <w:rsid w:val="5E5D2642"/>
    <w:rsid w:val="5E7445BA"/>
    <w:rsid w:val="5EF048CA"/>
    <w:rsid w:val="5F1002EE"/>
    <w:rsid w:val="5F1362F1"/>
    <w:rsid w:val="5F1F7C6E"/>
    <w:rsid w:val="5F285410"/>
    <w:rsid w:val="5F356B2C"/>
    <w:rsid w:val="5F401AD3"/>
    <w:rsid w:val="5F9B041B"/>
    <w:rsid w:val="5FC94983"/>
    <w:rsid w:val="60AC584C"/>
    <w:rsid w:val="60F4303E"/>
    <w:rsid w:val="610D7785"/>
    <w:rsid w:val="613A2F15"/>
    <w:rsid w:val="621E2D89"/>
    <w:rsid w:val="62BC526C"/>
    <w:rsid w:val="62E907B5"/>
    <w:rsid w:val="631D17AC"/>
    <w:rsid w:val="6325732F"/>
    <w:rsid w:val="636D04E9"/>
    <w:rsid w:val="63882313"/>
    <w:rsid w:val="63D8332C"/>
    <w:rsid w:val="6401457D"/>
    <w:rsid w:val="643634E2"/>
    <w:rsid w:val="65071F05"/>
    <w:rsid w:val="6520753F"/>
    <w:rsid w:val="653C0189"/>
    <w:rsid w:val="65666457"/>
    <w:rsid w:val="657624C1"/>
    <w:rsid w:val="65A7662E"/>
    <w:rsid w:val="65B31967"/>
    <w:rsid w:val="65DD72A0"/>
    <w:rsid w:val="662444C5"/>
    <w:rsid w:val="6628057D"/>
    <w:rsid w:val="664507ED"/>
    <w:rsid w:val="664722F6"/>
    <w:rsid w:val="66787822"/>
    <w:rsid w:val="66BA7809"/>
    <w:rsid w:val="67056771"/>
    <w:rsid w:val="67146327"/>
    <w:rsid w:val="67912DF8"/>
    <w:rsid w:val="67B322C3"/>
    <w:rsid w:val="67EA6F8B"/>
    <w:rsid w:val="682749F2"/>
    <w:rsid w:val="683278D3"/>
    <w:rsid w:val="68953821"/>
    <w:rsid w:val="68B12A80"/>
    <w:rsid w:val="690D76E6"/>
    <w:rsid w:val="69425152"/>
    <w:rsid w:val="694475D9"/>
    <w:rsid w:val="696504B6"/>
    <w:rsid w:val="698B3F35"/>
    <w:rsid w:val="699529B9"/>
    <w:rsid w:val="69962D94"/>
    <w:rsid w:val="69AD2427"/>
    <w:rsid w:val="6A9E4254"/>
    <w:rsid w:val="6AA94DCA"/>
    <w:rsid w:val="6AB1615B"/>
    <w:rsid w:val="6ABF66CD"/>
    <w:rsid w:val="6AD04D1D"/>
    <w:rsid w:val="6B37080A"/>
    <w:rsid w:val="6B894A70"/>
    <w:rsid w:val="6BB82A50"/>
    <w:rsid w:val="6BBA4003"/>
    <w:rsid w:val="6BCE680E"/>
    <w:rsid w:val="6BF1319C"/>
    <w:rsid w:val="6C247233"/>
    <w:rsid w:val="6C385B1F"/>
    <w:rsid w:val="6C5D28D9"/>
    <w:rsid w:val="6C796F17"/>
    <w:rsid w:val="6C854AC4"/>
    <w:rsid w:val="6CEB38DE"/>
    <w:rsid w:val="6D4006B7"/>
    <w:rsid w:val="6D4D7175"/>
    <w:rsid w:val="6D807A70"/>
    <w:rsid w:val="6D953228"/>
    <w:rsid w:val="6DA60118"/>
    <w:rsid w:val="6DAF0B87"/>
    <w:rsid w:val="6DD51105"/>
    <w:rsid w:val="6DE71612"/>
    <w:rsid w:val="6E221951"/>
    <w:rsid w:val="6EA46022"/>
    <w:rsid w:val="6F2E2CDF"/>
    <w:rsid w:val="6F4A0548"/>
    <w:rsid w:val="6FE34E2A"/>
    <w:rsid w:val="6FFC325E"/>
    <w:rsid w:val="70574E32"/>
    <w:rsid w:val="70667EA5"/>
    <w:rsid w:val="70BE11EE"/>
    <w:rsid w:val="70CB177C"/>
    <w:rsid w:val="70D601B7"/>
    <w:rsid w:val="71192C2C"/>
    <w:rsid w:val="71236A1C"/>
    <w:rsid w:val="714E79B3"/>
    <w:rsid w:val="717963F2"/>
    <w:rsid w:val="71B64C61"/>
    <w:rsid w:val="71E23065"/>
    <w:rsid w:val="71F80F54"/>
    <w:rsid w:val="72AA76C5"/>
    <w:rsid w:val="73306B80"/>
    <w:rsid w:val="735D4976"/>
    <w:rsid w:val="73952C85"/>
    <w:rsid w:val="73CF0531"/>
    <w:rsid w:val="73D637F9"/>
    <w:rsid w:val="74386979"/>
    <w:rsid w:val="74460E4C"/>
    <w:rsid w:val="745D2D94"/>
    <w:rsid w:val="746B74F3"/>
    <w:rsid w:val="74B211CD"/>
    <w:rsid w:val="74DC01EF"/>
    <w:rsid w:val="750E49EA"/>
    <w:rsid w:val="75544AEA"/>
    <w:rsid w:val="75747067"/>
    <w:rsid w:val="758D6CE0"/>
    <w:rsid w:val="75CE08E7"/>
    <w:rsid w:val="75D87326"/>
    <w:rsid w:val="75F81898"/>
    <w:rsid w:val="76244891"/>
    <w:rsid w:val="7625639E"/>
    <w:rsid w:val="768E40F9"/>
    <w:rsid w:val="7729663F"/>
    <w:rsid w:val="776D1546"/>
    <w:rsid w:val="787172AA"/>
    <w:rsid w:val="7875010A"/>
    <w:rsid w:val="788C78FD"/>
    <w:rsid w:val="78BE0A29"/>
    <w:rsid w:val="791F61E7"/>
    <w:rsid w:val="793002A6"/>
    <w:rsid w:val="7A6842DB"/>
    <w:rsid w:val="7AB05F09"/>
    <w:rsid w:val="7AED311C"/>
    <w:rsid w:val="7B02366A"/>
    <w:rsid w:val="7B326021"/>
    <w:rsid w:val="7B40184E"/>
    <w:rsid w:val="7B57467D"/>
    <w:rsid w:val="7B6B6B8C"/>
    <w:rsid w:val="7BBB7D30"/>
    <w:rsid w:val="7C5F5ED5"/>
    <w:rsid w:val="7C915F74"/>
    <w:rsid w:val="7CAD129E"/>
    <w:rsid w:val="7CFA3234"/>
    <w:rsid w:val="7D027D25"/>
    <w:rsid w:val="7D615FFB"/>
    <w:rsid w:val="7D690ED3"/>
    <w:rsid w:val="7DAA335C"/>
    <w:rsid w:val="7DAD5281"/>
    <w:rsid w:val="7DB54601"/>
    <w:rsid w:val="7DBD4411"/>
    <w:rsid w:val="7DE46987"/>
    <w:rsid w:val="7DED614C"/>
    <w:rsid w:val="7DF51E84"/>
    <w:rsid w:val="7EEC2E3C"/>
    <w:rsid w:val="7F000C3D"/>
    <w:rsid w:val="7F015807"/>
    <w:rsid w:val="7F7A7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uiPriority w:val="0"/>
    <w:pPr>
      <w:ind w:firstLine="4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HTML Definition"/>
    <w:basedOn w:val="7"/>
    <w:qFormat/>
    <w:uiPriority w:val="0"/>
    <w:rPr>
      <w:i/>
    </w:rPr>
  </w:style>
  <w:style w:type="character" w:styleId="11">
    <w:name w:val="HTML Acronym"/>
    <w:basedOn w:val="7"/>
    <w:qFormat/>
    <w:uiPriority w:val="0"/>
  </w:style>
  <w:style w:type="character" w:styleId="12">
    <w:name w:val="Hyperlink"/>
    <w:basedOn w:val="7"/>
    <w:qFormat/>
    <w:uiPriority w:val="0"/>
    <w:rPr>
      <w:color w:val="0000FF"/>
      <w:u w:val="none"/>
    </w:rPr>
  </w:style>
  <w:style w:type="character" w:styleId="13">
    <w:name w:val="HTML Code"/>
    <w:basedOn w:val="7"/>
    <w:qFormat/>
    <w:uiPriority w:val="0"/>
    <w:rPr>
      <w:rFonts w:ascii="monospace" w:hAnsi="monospace" w:eastAsia="monospace" w:cs="monospace"/>
      <w:sz w:val="21"/>
      <w:szCs w:val="21"/>
    </w:rPr>
  </w:style>
  <w:style w:type="character" w:styleId="14">
    <w:name w:val="HTML Keyboard"/>
    <w:basedOn w:val="7"/>
    <w:qFormat/>
    <w:uiPriority w:val="0"/>
    <w:rPr>
      <w:rFonts w:hint="default" w:ascii="monospace" w:hAnsi="monospace" w:eastAsia="monospace" w:cs="monospace"/>
      <w:sz w:val="21"/>
      <w:szCs w:val="21"/>
    </w:rPr>
  </w:style>
  <w:style w:type="character" w:styleId="15">
    <w:name w:val="HTML Sample"/>
    <w:basedOn w:val="7"/>
    <w:qFormat/>
    <w:uiPriority w:val="0"/>
    <w:rPr>
      <w:rFonts w:hint="default" w:ascii="monospace" w:hAnsi="monospace" w:eastAsia="monospace" w:cs="monospace"/>
      <w:sz w:val="21"/>
      <w:szCs w:val="21"/>
    </w:rPr>
  </w:style>
  <w:style w:type="character" w:customStyle="1" w:styleId="17">
    <w:name w:val="bsharetext"/>
    <w:basedOn w:val="7"/>
    <w:qFormat/>
    <w:uiPriority w:val="0"/>
  </w:style>
  <w:style w:type="character" w:customStyle="1" w:styleId="18">
    <w:name w:val="u-tit1"/>
    <w:basedOn w:val="7"/>
    <w:qFormat/>
    <w:uiPriority w:val="0"/>
    <w:rPr>
      <w:b/>
      <w:color w:val="CD0000"/>
      <w:sz w:val="24"/>
      <w:szCs w:val="24"/>
    </w:rPr>
  </w:style>
  <w:style w:type="character" w:customStyle="1" w:styleId="19">
    <w:name w:val="wx-space"/>
    <w:basedOn w:val="7"/>
    <w:qFormat/>
    <w:uiPriority w:val="0"/>
  </w:style>
  <w:style w:type="character" w:customStyle="1" w:styleId="20">
    <w:name w:val="wx-space1"/>
    <w:basedOn w:val="7"/>
    <w:qFormat/>
    <w:uiPriority w:val="0"/>
  </w:style>
  <w:style w:type="character" w:customStyle="1" w:styleId="21">
    <w:name w:val="hover13"/>
    <w:basedOn w:val="7"/>
    <w:qFormat/>
    <w:uiPriority w:val="0"/>
    <w:rPr>
      <w:color w:val="000000"/>
      <w:shd w:val="clear" w:fill="FFFFFF"/>
    </w:rPr>
  </w:style>
  <w:style w:type="character" w:customStyle="1" w:styleId="22">
    <w:name w:val="u-tit5"/>
    <w:basedOn w:val="7"/>
    <w:qFormat/>
    <w:uiPriority w:val="0"/>
    <w:rPr>
      <w:b/>
      <w:color w:val="CD0000"/>
      <w:sz w:val="24"/>
      <w:szCs w:val="24"/>
    </w:rPr>
  </w:style>
  <w:style w:type="character" w:customStyle="1" w:styleId="23">
    <w:name w:val="hover14"/>
    <w:basedOn w:val="7"/>
    <w:qFormat/>
    <w:uiPriority w:val="0"/>
    <w:rPr>
      <w:color w:val="000000"/>
      <w:shd w:val="clear" w:fill="FFFFFF"/>
    </w:rPr>
  </w:style>
  <w:style w:type="character" w:customStyle="1" w:styleId="24">
    <w:name w:val="u-tit4"/>
    <w:basedOn w:val="7"/>
    <w:qFormat/>
    <w:uiPriority w:val="0"/>
    <w:rPr>
      <w:b/>
      <w:color w:val="CD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孔蕊</dc:creator>
  <cp:lastModifiedBy>ZhangXi</cp:lastModifiedBy>
  <cp:revision>1</cp:revision>
  <cp:lastPrinted>2021-01-26T07:10:15Z</cp:lastPrinted>
  <dcterms:created xsi:type="dcterms:W3CDTF">2020-01-06T00:04:00Z</dcterms:created>
  <dcterms:modified xsi:type="dcterms:W3CDTF">2021-01-26T07:13:45Z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