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玉溪市江川区环境卫生管理站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年度预算公开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第一部分 </w:t>
      </w:r>
      <w:r>
        <w:rPr>
          <w:rFonts w:hint="eastAsia" w:ascii="黑体" w:hAnsi="黑体" w:eastAsia="黑体"/>
          <w:sz w:val="32"/>
          <w:szCs w:val="32"/>
          <w:lang w:eastAsia="zh-CN"/>
        </w:rPr>
        <w:t>玉溪市江川区环境卫生管理站</w:t>
      </w:r>
      <w:r>
        <w:rPr>
          <w:rFonts w:hint="eastAsia" w:ascii="黑体" w:hAnsi="黑体" w:eastAsia="黑体"/>
          <w:sz w:val="32"/>
          <w:szCs w:val="32"/>
        </w:rPr>
        <w:t>部门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sz w:val="32"/>
          <w:szCs w:val="32"/>
        </w:rPr>
        <w:t>年部门预算编制说明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sz w:val="32"/>
          <w:szCs w:val="32"/>
          <w:lang w:eastAsia="zh-CN"/>
        </w:rPr>
        <w:t>玉溪市江川区环境卫生管理站</w:t>
      </w:r>
      <w:r>
        <w:rPr>
          <w:rFonts w:hint="eastAsia" w:ascii="黑体" w:hAnsi="黑体" w:eastAsia="黑体"/>
          <w:sz w:val="32"/>
          <w:szCs w:val="32"/>
        </w:rPr>
        <w:t>部门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sz w:val="32"/>
          <w:szCs w:val="32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预算总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（按功能科目分类）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（人员类、运转类公用经费项目）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项目支出预算表（其他运转类、特定目标类项目）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、项目支出绩效目标表（本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、项目支出绩效目标表（另文下达）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、部门政府采购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十三、政府购买服务预算表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省对下转移支付预算表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、省对下转移支付绩效目标表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十六、新增资产配置表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2021年部门一般公共预算“三公”经费支出情况表</w:t>
      </w:r>
    </w:p>
    <w:p>
      <w:pPr>
        <w:widowControl/>
        <w:ind w:firstLine="880" w:firstLineChars="200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第一部分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玉溪市江川区环境卫生管理站</w:t>
      </w:r>
      <w:r>
        <w:rPr>
          <w:rFonts w:hint="eastAsia" w:ascii="方正小标宋简体" w:eastAsia="方正小标宋简体"/>
          <w:kern w:val="0"/>
          <w:sz w:val="44"/>
          <w:szCs w:val="44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kern w:val="0"/>
          <w:sz w:val="44"/>
          <w:szCs w:val="44"/>
        </w:rPr>
        <w:t>年部门预算编制说明</w:t>
      </w:r>
    </w:p>
    <w:p>
      <w:pPr>
        <w:widowControl/>
        <w:ind w:firstLine="720" w:firstLineChars="20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</w:p>
    <w:p>
      <w:pPr>
        <w:widowControl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一、基本职能及主要工作</w:t>
      </w:r>
    </w:p>
    <w:p>
      <w:pPr>
        <w:widowControl/>
        <w:ind w:firstLine="640" w:firstLineChars="200"/>
        <w:jc w:val="left"/>
        <w:rPr>
          <w:rFonts w:hint="eastAsia"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（一）部门主要职责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玉溪市</w:t>
      </w:r>
      <w:r>
        <w:rPr>
          <w:rFonts w:hint="eastAsia" w:ascii="仿宋_GB2312" w:hAnsi="仿宋_GB2312" w:eastAsia="仿宋_GB2312" w:cs="仿宋_GB2312"/>
          <w:sz w:val="32"/>
          <w:szCs w:val="32"/>
        </w:rPr>
        <w:t>江川区环境卫生管理站属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玉溪市</w:t>
      </w:r>
      <w:r>
        <w:rPr>
          <w:rFonts w:hint="eastAsia" w:ascii="仿宋_GB2312" w:hAnsi="仿宋_GB2312" w:eastAsia="仿宋_GB2312" w:cs="仿宋_GB2312"/>
          <w:sz w:val="32"/>
          <w:szCs w:val="32"/>
        </w:rPr>
        <w:t>江川区城市管理局下设单位。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玉溪市</w:t>
      </w:r>
      <w:r>
        <w:rPr>
          <w:rFonts w:hint="eastAsia" w:ascii="仿宋_GB2312" w:hAnsi="仿宋_GB2312" w:eastAsia="仿宋_GB2312" w:cs="仿宋_GB2312"/>
          <w:sz w:val="32"/>
          <w:szCs w:val="32"/>
        </w:rPr>
        <w:t>江川区环境卫生管理站主要职能是为江川区城区街道提供卫生清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</w:t>
      </w:r>
      <w:r>
        <w:rPr>
          <w:rFonts w:hint="eastAsia" w:ascii="仿宋_GB2312" w:hAnsi="仿宋_GB2312" w:eastAsia="仿宋_GB2312" w:cs="仿宋_GB2312"/>
          <w:sz w:val="32"/>
          <w:szCs w:val="32"/>
        </w:rPr>
        <w:t>保洁、垃圾清运、填埋、公厕管理、收取垃圾清运费等社会管理服务。</w:t>
      </w:r>
    </w:p>
    <w:p>
      <w:pPr>
        <w:widowControl/>
        <w:ind w:firstLine="640" w:firstLineChars="200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（二）机构设置情况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年单位实有在职员工1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人，编制20人；垃圾代运清洁人员、驾驶员、看场人员等3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名临时人员。</w:t>
      </w:r>
    </w:p>
    <w:p>
      <w:pPr>
        <w:widowControl/>
        <w:ind w:firstLine="640" w:firstLineChars="200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</w:t>
      </w:r>
      <w:r>
        <w:rPr>
          <w:rFonts w:hint="eastAsia" w:ascii="楷体_GB2312" w:eastAsia="楷体_GB2312"/>
          <w:kern w:val="0"/>
          <w:sz w:val="32"/>
          <w:szCs w:val="32"/>
        </w:rPr>
        <w:t>三</w:t>
      </w:r>
      <w:r>
        <w:rPr>
          <w:rFonts w:ascii="楷体_GB2312" w:eastAsia="楷体_GB2312"/>
          <w:kern w:val="0"/>
          <w:sz w:val="32"/>
          <w:szCs w:val="32"/>
        </w:rPr>
        <w:t>）重点工作概述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积极推进我区创建国家卫生城市的工作进展中，加大环境卫生整治力度。加强垃圾中转站、果皮箱和垃圾厢放置点的管理，加强每日对垃圾中转站、垃圾厢放置点的冲洗、消杀、除四害工作，及时清运垃圾，清洗果皮箱，做到垃圾日产日清。加强对街道路面、公厕、中转站的管理，全方位、全天候将日常管理做到无间断、无空隙、无死角，公厕和中转站实行专人管理，按时开放。对清扫保洁承包方工作质量进行考核，对公厕承包人按照《公厕管理规定及考核标准》管理，对垃圾清运人员按照《车队管理办法》管理，实行“日督查、周评、月评、年终总评”机制，对存在的问题及考评情况进行通报，一年以来共开展周考评24次，月考评12次。</w:t>
      </w:r>
    </w:p>
    <w:p>
      <w:pPr>
        <w:widowControl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二、预算单位基本情况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我部门编制202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年部门预算单位共1个。其中：财政全供给单位1个；部分供给单位0.个；特殊供给单位0个；自收自支单位0个。财政全供给单位中行政单位0个；参公管理事业单位0个；非参公管理事业单位1个。截止20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年12月统计，部门基本情况如下：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在职人员编制20人，其中：行政编制 0人，事业编制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人。在职实有1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人，其中： 财政全供养 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人，财政部分供养0人，非财政供养0人。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离退休人员 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人，其中： 离休 0人，退休 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车辆编制0辆，实有车辆0辆。</w:t>
      </w:r>
    </w:p>
    <w:p>
      <w:pPr>
        <w:widowControl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三、预算单位收入情况</w:t>
      </w:r>
    </w:p>
    <w:p>
      <w:pPr>
        <w:widowControl/>
        <w:ind w:firstLine="640" w:firstLineChars="200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（一）部门财务收入情况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年部门财务总收入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1178.99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1178.99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万元，政府性基金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万元，国有资本经营收益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财政专户管理资金收入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事业收入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万元，事业单位经营收入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万元，上级补助收入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万元，附属单位上缴收入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与上年对比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预算总收入增加了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903.38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，主要原因分析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年新进人员增加，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人员经费增加，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导致年初预算比2020年增加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（二）财政拨款收入情况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年部门财政拨款收入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1178.99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万元，其中:本年收入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1178.99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万元，上年结转收入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64.12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万元。本年收入中，一般公共预算财政拨款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1178.99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万元（本级财力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990.99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万元，专项收入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万元，执法办案补助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万元，收费成本补偿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万元，国有资源（资产）有偿使用成本补偿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万元），政府性基金预算财政拨款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万元，国有资本经营收益财政拨款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与上年对比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财政预算拨款收入增加了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903.38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万元，主要原因分析202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年新进人员增加，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人员经费增加，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导致年初预算比2020年增加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预算单位支出情况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年部门预算总支出1178.99万元。财政拨款安排支出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1178.99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405.99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万元，与上年对比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180.38万元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，主要原因分析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年新进人员增加，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人员经费增加，非税收入支出预算增加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130万元，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导致基本支出增加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万元，与上年对比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，主要原因分析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2021年项目预算安排增加，导致项目支出增加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财政拨款安排支出按功能科目分类情况，主要用于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42.51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万元，卫生健康支出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23.36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万元，城乡社区支出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1089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万元，住房保障支出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24.12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</w:t>
      </w:r>
    </w:p>
    <w:p>
      <w:pPr>
        <w:widowControl/>
        <w:numPr>
          <w:ilvl w:val="0"/>
          <w:numId w:val="2"/>
        </w:numPr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省对下</w:t>
      </w:r>
      <w:r>
        <w:rPr>
          <w:rFonts w:hint="eastAsia" w:ascii="黑体" w:hAnsi="黑体" w:eastAsia="黑体"/>
          <w:kern w:val="0"/>
          <w:sz w:val="32"/>
          <w:szCs w:val="32"/>
        </w:rPr>
        <w:t>专</w:t>
      </w:r>
      <w:r>
        <w:rPr>
          <w:rFonts w:ascii="黑体" w:hAnsi="黑体" w:eastAsia="黑体"/>
          <w:kern w:val="0"/>
          <w:sz w:val="32"/>
          <w:szCs w:val="32"/>
        </w:rPr>
        <w:t>项转移支付情况</w:t>
      </w:r>
    </w:p>
    <w:p>
      <w:pPr>
        <w:widowControl/>
        <w:ind w:firstLine="640" w:firstLineChars="200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</w:t>
      </w:r>
      <w:r>
        <w:rPr>
          <w:rFonts w:hint="eastAsia" w:ascii="楷体_GB2312" w:eastAsia="楷体_GB2312"/>
          <w:kern w:val="0"/>
          <w:sz w:val="32"/>
          <w:szCs w:val="32"/>
        </w:rPr>
        <w:t>一</w:t>
      </w:r>
      <w:r>
        <w:rPr>
          <w:rFonts w:ascii="楷体_GB2312" w:eastAsia="楷体_GB2312"/>
          <w:kern w:val="0"/>
          <w:sz w:val="32"/>
          <w:szCs w:val="32"/>
        </w:rPr>
        <w:t>）与中央配套事项</w:t>
      </w:r>
    </w:p>
    <w:p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ind w:firstLine="643" w:firstLineChars="200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（</w:t>
      </w:r>
      <w:r>
        <w:rPr>
          <w:rFonts w:hint="eastAsia" w:eastAsia="仿宋_GB2312"/>
          <w:b/>
          <w:kern w:val="0"/>
          <w:sz w:val="32"/>
          <w:szCs w:val="32"/>
        </w:rPr>
        <w:t>二</w:t>
      </w:r>
      <w:r>
        <w:rPr>
          <w:rFonts w:ascii="楷体_GB2312" w:eastAsia="楷体_GB2312"/>
          <w:kern w:val="0"/>
          <w:sz w:val="32"/>
          <w:szCs w:val="32"/>
        </w:rPr>
        <w:t>）按既定政策标准测算补助事项</w:t>
      </w:r>
    </w:p>
    <w:p>
      <w:pPr>
        <w:widowControl/>
        <w:ind w:firstLine="960" w:firstLineChars="3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无。</w:t>
      </w:r>
    </w:p>
    <w:p>
      <w:pPr>
        <w:widowControl/>
        <w:ind w:firstLine="643" w:firstLineChars="200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（</w:t>
      </w:r>
      <w:r>
        <w:rPr>
          <w:rFonts w:hint="eastAsia" w:eastAsia="仿宋_GB2312"/>
          <w:b/>
          <w:kern w:val="0"/>
          <w:sz w:val="32"/>
          <w:szCs w:val="32"/>
        </w:rPr>
        <w:t>三</w:t>
      </w:r>
      <w:r>
        <w:rPr>
          <w:rFonts w:ascii="楷体_GB2312" w:eastAsia="楷体_GB2312"/>
          <w:kern w:val="0"/>
          <w:sz w:val="32"/>
          <w:szCs w:val="32"/>
        </w:rPr>
        <w:t>）</w:t>
      </w:r>
      <w:r>
        <w:rPr>
          <w:rFonts w:hint="eastAsia" w:ascii="楷体_GB2312" w:eastAsia="楷体_GB2312"/>
          <w:kern w:val="0"/>
          <w:sz w:val="32"/>
          <w:szCs w:val="32"/>
        </w:rPr>
        <w:t>经济社会事业发展事项</w:t>
      </w:r>
    </w:p>
    <w:p>
      <w:pPr>
        <w:widowControl/>
        <w:ind w:firstLine="960" w:firstLineChars="3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无。</w:t>
      </w:r>
    </w:p>
    <w:p>
      <w:pPr>
        <w:widowControl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六、政府采购预算情况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根据《中华人民共和国政府采购法》的有关规定，编制了政府采购预算，共涉及采购项目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个，政府采购预算总额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45.64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45.64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七、部门“三公”经费增减变化情况及原因说明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玉溪市江川区环境卫生管理站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年一般公共预算财政拨款“三公”经费预算合计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%，具体变动情况如下：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（一）因公出国（境）费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玉溪市江川区环境卫生管理站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年因公出国（境）费预算为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%，共计安排因公出国（境）团组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个，因公出国（境）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人次。较上年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相比无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增减变化。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（二）公务接待费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玉溪市江川区环境卫生管理站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年公务接待费预算为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国内公务接待批次为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次，共计接待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变化原因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：本着厉行节约的原则，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严格控制公务接待范围和用餐标准，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减少对公务接待的开支。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（三）公务用车购置及运行维护费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玉溪市江川区环境卫生管理站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年公务用车购置及运行维护费为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%。其中：公务用车购置费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%。共计购置公务用车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辆，年末公务用车保有量为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与上年比较无变化。</w:t>
      </w:r>
    </w:p>
    <w:p>
      <w:pPr>
        <w:widowControl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八、重点项目预算绩效目标情况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1.城区街道清扫保洁承包经费项目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项目年度绩效目标：对城区范围内进行清扫保洁工作，保证城区环境卫生干净整洁，改善城市风貌，提升城市品位。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产出指标：时效指标是完成时间，指标值=1年。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效益指标：生态效益指标是城区环境改善，指标值=90%。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满意度指标：服务对象满意度指标是群众满意度，指标值=95%。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2.城区公厕免费开放管理经费项目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项目年度绩效目标：改善城市风貌，为城市居民带来便利。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产出指标：质量指标是达到三有三无的标准，指标值=100%。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效益指标：经济效益指标是城市环境改善，指标值&gt;=90%。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满意度指标：服务对象满意度指标是群众满意度，指标值&gt;=95%。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3.办公楼及室外改造工程尾款经费项目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项目年度绩效目标：完成办公楼及室外改造工程尾款支付。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产出指标：数量指标是主体工程完成率，指标值=100%。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效益指标：社会效益指标是综合使用率，指标值&gt;=95%。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满意度指标：服务对象满意度指标是受益人群满意度，指标值=95%。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4.购买垃圾清运车辆经费项目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项目年度绩效目标：购买4辆垃圾清运车辆，保证城区垃圾清运工作的正常开展。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产出指标：数量指标是购置设备数量，指标值=4辆。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效益指标：经济效益指标是设备采购经济性，指标值=45万元。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满意度指标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：服务对象满意度指标是使用人员满意度，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指标值=98%。</w:t>
      </w:r>
    </w:p>
    <w:p>
      <w:pPr>
        <w:widowControl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</w:t>
      </w:r>
      <w:r>
        <w:rPr>
          <w:rFonts w:ascii="黑体" w:hAnsi="黑体" w:eastAsia="黑体"/>
          <w:kern w:val="0"/>
          <w:sz w:val="32"/>
          <w:szCs w:val="32"/>
        </w:rPr>
        <w:t>、其他公开信息</w:t>
      </w:r>
    </w:p>
    <w:p>
      <w:pPr>
        <w:widowControl/>
        <w:ind w:firstLine="640" w:firstLineChars="200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（一）专业名词解释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“三公经费”支出：纳入财政预决算管理的“三公”经费，是部门用财政拨款安排的因公出国（境）费、公务用车购置及运行费和公务接待费。其中：因公出国（境）费反映单位公务出国（境）的国际旅费、国外城市交通费、住宿费、伙食费、培训费、公杂费等支出；公务用车购置及支行费反映单位公务用车车辆购置支出（含车辆购置税）及租用费、燃料费、维修费、过路过桥费、保险费、安全奖励费用等支出；公务接待费反映单位按元宝开支的各类公务接待（含外宾接待）支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机关运行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爱国卫生“7个专项行动”：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清垃圾、扫厕所、勤洗手、净餐馆、常消毒、管集市、众参与。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eastAsia="楷体_GB2312"/>
          <w:kern w:val="0"/>
          <w:sz w:val="32"/>
          <w:szCs w:val="32"/>
          <w:lang w:eastAsia="zh-CN"/>
        </w:rPr>
      </w:pPr>
      <w:r>
        <w:rPr>
          <w:rFonts w:ascii="楷体_GB2312" w:eastAsia="楷体_GB2312"/>
          <w:kern w:val="0"/>
          <w:sz w:val="32"/>
          <w:szCs w:val="32"/>
        </w:rPr>
        <w:t>（二）机关运行经费安排</w:t>
      </w:r>
      <w:r>
        <w:rPr>
          <w:rFonts w:hint="eastAsia" w:ascii="楷体_GB2312" w:eastAsia="楷体_GB2312"/>
          <w:kern w:val="0"/>
          <w:sz w:val="32"/>
          <w:szCs w:val="32"/>
        </w:rPr>
        <w:t>变化情况及原因说明</w:t>
      </w: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国有资产占</w:t>
      </w: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有使用</w:t>
      </w:r>
      <w:r>
        <w:rPr>
          <w:rFonts w:ascii="楷体_GB2312" w:eastAsia="楷体_GB2312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鉴于截至2020年12月31日的国有资产占有使用情况，需在完成2020年决算编制后才能汇总相关数据，因此，将在公开2020年度部门决算时一并公开。</w:t>
      </w:r>
    </w:p>
    <w:p>
      <w:pPr>
        <w:widowControl/>
        <w:ind w:firstLine="6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/>
          <w:sz w:val="30"/>
          <w:szCs w:val="30"/>
        </w:rPr>
      </w:pPr>
    </w:p>
    <w:p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7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第二部分 </w:t>
      </w:r>
      <w:r>
        <w:rPr>
          <w:rFonts w:hint="eastAsia" w:ascii="黑体" w:hAnsi="黑体" w:eastAsia="黑体"/>
          <w:sz w:val="44"/>
          <w:szCs w:val="44"/>
          <w:lang w:eastAsia="zh-CN"/>
        </w:rPr>
        <w:t>玉溪市江川区环境卫生管理站部门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/>
          <w:sz w:val="44"/>
          <w:szCs w:val="44"/>
        </w:rPr>
        <w:t>年部门预算表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一、财务收支预算总表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二、部门收入预算表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三、部门支出预算表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四、财政拨款收支预算总表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五、一般公共预算支出预算表（按功能科目分类）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六、一般公共预算“三公”经费支出预算表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七、基本支出预算表（人员类、运转类公用经费项目）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八、项目支出预算表（其他运转类、特定目标类项目）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九、项目支出绩效目标表（本级下达）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十、项目支出绩效目标表（另文下达）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十一、政府性基金预算支出预算表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十二、部门政府采购预算表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十三、政府购买服务预算表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十四、市对下转移支付预算表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十五、市对下转移支付绩效目标表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十六、新增资产配置表</w:t>
      </w:r>
    </w:p>
    <w:p>
      <w:pPr>
        <w:pStyle w:val="2"/>
        <w:ind w:left="0" w:leftChars="0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十七、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2021年部门一般公共预算“三公”经费支出情况表</w:t>
      </w:r>
    </w:p>
    <w:p>
      <w:pPr>
        <w:pStyle w:val="2"/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DBBF"/>
    <w:multiLevelType w:val="singleLevel"/>
    <w:tmpl w:val="5C47DBBF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C47DC0A"/>
    <w:multiLevelType w:val="singleLevel"/>
    <w:tmpl w:val="5C47DC0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114A"/>
    <w:rsid w:val="019238DE"/>
    <w:rsid w:val="01A761DC"/>
    <w:rsid w:val="038B674E"/>
    <w:rsid w:val="0A2317A5"/>
    <w:rsid w:val="0AAE114A"/>
    <w:rsid w:val="0E9450A0"/>
    <w:rsid w:val="139012E7"/>
    <w:rsid w:val="143B755C"/>
    <w:rsid w:val="22786849"/>
    <w:rsid w:val="22B87629"/>
    <w:rsid w:val="25137F13"/>
    <w:rsid w:val="3027629A"/>
    <w:rsid w:val="34953F2C"/>
    <w:rsid w:val="35225B00"/>
    <w:rsid w:val="3AFB219B"/>
    <w:rsid w:val="40C857F3"/>
    <w:rsid w:val="42B51D71"/>
    <w:rsid w:val="449B58C1"/>
    <w:rsid w:val="45834903"/>
    <w:rsid w:val="4AAB1399"/>
    <w:rsid w:val="4DB717F2"/>
    <w:rsid w:val="53FB6B2A"/>
    <w:rsid w:val="558C17F6"/>
    <w:rsid w:val="55A84F73"/>
    <w:rsid w:val="583D2E69"/>
    <w:rsid w:val="5EE754F5"/>
    <w:rsid w:val="62676968"/>
    <w:rsid w:val="63E92614"/>
    <w:rsid w:val="67DF3F0F"/>
    <w:rsid w:val="68A0789F"/>
    <w:rsid w:val="69691A11"/>
    <w:rsid w:val="716100F0"/>
    <w:rsid w:val="71CF6ED2"/>
    <w:rsid w:val="7228327F"/>
    <w:rsid w:val="74541EAC"/>
    <w:rsid w:val="7C27324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</w:rPr>
  </w:style>
  <w:style w:type="paragraph" w:styleId="3">
    <w:name w:val="Body Text First Indent"/>
    <w:basedOn w:val="4"/>
    <w:qFormat/>
    <w:uiPriority w:val="0"/>
    <w:pPr>
      <w:spacing w:before="0" w:after="120" w:afterAutospacing="0"/>
      <w:ind w:firstLine="420" w:firstLineChars="10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styleId="4">
    <w:name w:val="Body Text"/>
    <w:basedOn w:val="1"/>
    <w:qFormat/>
    <w:uiPriority w:val="0"/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2021-02-03T14:26:00Z</dcterms:created>
  <dc:creator>Administrator</dc:creator>
  <cp:lastModifiedBy>Administrator</cp:lastModifiedBy>
  <dcterms:modified xsi:type="dcterms:W3CDTF">2021-02-07T08:14:09Z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