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i w:val="0"/>
          <w:caps w:val="0"/>
          <w:color w:val="333333"/>
          <w:spacing w:val="0"/>
          <w:sz w:val="44"/>
          <w:szCs w:val="44"/>
        </w:rPr>
      </w:pPr>
      <w:bookmarkStart w:id="0" w:name="_GoBack"/>
      <w:r>
        <w:rPr>
          <w:rFonts w:hint="eastAsia" w:ascii="方正小标宋_GBK" w:hAnsi="方正小标宋_GBK" w:eastAsia="方正小标宋_GBK" w:cs="方正小标宋_GBK"/>
          <w:b w:val="0"/>
          <w:i w:val="0"/>
          <w:caps w:val="0"/>
          <w:color w:val="333333"/>
          <w:spacing w:val="0"/>
          <w:sz w:val="44"/>
          <w:szCs w:val="44"/>
          <w:bdr w:val="none" w:color="auto" w:sz="0" w:space="0"/>
          <w:shd w:val="clear" w:fill="FFFFFF"/>
        </w:rPr>
        <w:t>中共中央办公厅 国务院办公厅印发《关于进一步减轻义务教育阶段学生作业负担和校外培训负担的意见》</w:t>
      </w:r>
    </w:p>
    <w:bookmarkEnd w:id="0"/>
    <w:p>
      <w:pPr>
        <w:keepNext w:val="0"/>
        <w:keepLines w:val="0"/>
        <w:pageBreakBefore w:val="0"/>
        <w:kinsoku/>
        <w:wordWrap/>
        <w:overflowPunct/>
        <w:topLinePunct w:val="0"/>
        <w:autoSpaceDE/>
        <w:autoSpaceDN/>
        <w:bidi w:val="0"/>
        <w:adjustRightInd/>
        <w:snapToGrid/>
        <w:spacing w:line="590" w:lineRule="exact"/>
        <w:textAlignment w:val="auto"/>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新华社北京7月24日电 近日，中共中央办公厅、国务院办公厅印发了《关于进一步减轻义务教育阶段学生作业负担和校外培训负担的意见》，并发出通知，要求各地区各部门结合实际认真贯彻落实。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《关于进一步减轻义务教育阶段学生作业负担和校外培训负担的意见》全文如下。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深入贯彻党的十九大和十九届五中全会精神，切实提升学校育人水平，持续规范校外培训（包括线上培训和线下培训），有效减轻义务教育阶段学生过重作业负担和校外培训负担（以下简称“双减”），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二、全面压减作业总量和时长，减轻学生过重作业负担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5.分类明确作业总量。学校要确保小学一、二年级不布置家庭书面作业，可在校内适当安排巩固练习；小学三至六年级书面作业平均完成时间不超过60分钟，初中书面作业平均完成时间不超过90分钟。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三、提升学校课后服务水平，满足学生多样化需求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四、坚持从严治理，全面规范校外培训行为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五、大力提升教育教学质量，确保学生在校内学足学好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六、强化配套治理，提升支撑保障能力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七、扎实做好试点探索，确保治理工作稳妥推进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23.明确试点工作要求。在全面开展治理工作的同时，确定北京市、上海市、沈阳市、广州市、成都市、郑州市、长治市、威海市、南通市为全国试点，其他省份至少选择1个地市开展试点，试点内容为第24、25、26条所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24.坚决压减学科类校外培训。对现有学科类培训机构重新审核登记，逐步大大压减，解决过多过滥问题；依法依规严肃查处存在不符合资质、管理混乱、借机敛财、虚假宣传、与学校勾连牟利等严重问题的机构。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25.合理利用校内外资源。鼓励有条件的学校在课余时间向学生提供兴趣类课后服务活动，供学生自主选择参加。课后服务不能满足部分学生发展兴趣特长等特殊需要的，可适当引进非学科类校外培训机构参与课后服务，由教育部门负责组织遴选，供学校选择使用，并建立评估退出机制，对出现服务水平低下、恶意在校招揽生源、不按规定提供服务、扰乱学校教育教学和招生秩序等问题的培训机构，坚决取消培训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26.强化培训收费监管。坚持校外培训公益属性，充分考虑其涉及重大民生的特点，将义务教育阶段学科类校外培训收费纳入政府指导价管理，科学合理确定计价办法，明确收费标准，坚决遏制过高收费和过度逐利行为。通过第三方托管、风险储备金等方式，对校外培训机构预收费进行风险管控，加强对培训领域贷款的监管，有效预防“退费难”、“卷钱跑路”等问题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八、精心组织实施，务求取得实效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27.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28.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30.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pPr>
        <w:keepNext w:val="0"/>
        <w:keepLines w:val="0"/>
        <w:pageBreakBefore w:val="0"/>
        <w:kinsoku/>
        <w:wordWrap/>
        <w:overflowPunct/>
        <w:topLinePunct w:val="0"/>
        <w:autoSpaceDE/>
        <w:autoSpaceDN/>
        <w:bidi w:val="0"/>
        <w:adjustRightInd/>
        <w:snapToGrid/>
        <w:spacing w:line="59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6230F"/>
    <w:rsid w:val="64C6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2021-08-23T01:19:00Z</dcterms:created>
  <dc:creator>黄子WPS</dc:creator>
  <cp:lastModifiedBy>黄子WPS</cp:lastModifiedBy>
  <dcterms:modified xsi:type="dcterms:W3CDTF">2021-08-23T01:22:00Z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