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玉溪市江川区星云湖管理局</w:t>
      </w:r>
      <w:r>
        <w:rPr>
          <w:rFonts w:hint="eastAsia" w:ascii="方正小标宋_GBK" w:eastAsia="方正小标宋_GBK"/>
          <w:sz w:val="44"/>
          <w:szCs w:val="44"/>
        </w:rPr>
        <w:t>2021年政府信息公开工作年度报告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2021年，</w:t>
      </w:r>
      <w:r>
        <w:rPr>
          <w:rFonts w:hint="eastAsia" w:eastAsia="方正仿宋_GBK"/>
          <w:sz w:val="32"/>
          <w:szCs w:val="32"/>
          <w:lang w:val="en-US" w:eastAsia="zh-CN"/>
        </w:rPr>
        <w:t>区星管局</w:t>
      </w:r>
      <w:r>
        <w:rPr>
          <w:rFonts w:hint="eastAsia" w:eastAsia="方正仿宋_GBK"/>
          <w:sz w:val="32"/>
          <w:szCs w:val="32"/>
        </w:rPr>
        <w:t>认真贯彻落实《中华人民共和国政府信息公开条例》等有关法规文件，健全工作机制、创新工作思路，结合本单位工作实际，紧盯社会各界及人民群众关注热点问题，完善信息公开工作的科学化、规范化和制度化建设，扎实推进政府信息公开工作，取得了较好成效。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sz w:val="32"/>
          <w:szCs w:val="32"/>
        </w:rPr>
        <w:t>主动公开情况。全年在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eastAsia" w:eastAsia="方正仿宋_GBK"/>
          <w:sz w:val="32"/>
          <w:szCs w:val="32"/>
        </w:rPr>
        <w:t>政府网站共公开信息</w:t>
      </w:r>
      <w:r>
        <w:rPr>
          <w:rFonts w:hint="eastAsia" w:eastAsia="方正仿宋_GBK"/>
          <w:sz w:val="32"/>
          <w:szCs w:val="32"/>
          <w:lang w:val="en-US" w:eastAsia="zh-CN"/>
        </w:rPr>
        <w:t>146</w:t>
      </w:r>
      <w:r>
        <w:rPr>
          <w:rFonts w:hint="eastAsia" w:eastAsia="方正仿宋_GBK"/>
          <w:sz w:val="32"/>
          <w:szCs w:val="32"/>
        </w:rPr>
        <w:t>条，其中，工作动态类信息</w:t>
      </w:r>
      <w:r>
        <w:rPr>
          <w:rFonts w:hint="eastAsia" w:eastAsia="方正仿宋_GBK"/>
          <w:sz w:val="32"/>
          <w:szCs w:val="32"/>
          <w:lang w:val="en-US" w:eastAsia="zh-CN"/>
        </w:rPr>
        <w:t>48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32.8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val="en-US" w:eastAsia="zh-CN"/>
        </w:rPr>
        <w:t>最新公开信息90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61.6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val="en-US" w:eastAsia="zh-CN"/>
        </w:rPr>
        <w:t>通知公告</w:t>
      </w:r>
      <w:r>
        <w:rPr>
          <w:rFonts w:hint="eastAsia" w:eastAsia="方正仿宋_GBK"/>
          <w:sz w:val="32"/>
          <w:szCs w:val="32"/>
        </w:rPr>
        <w:t>信息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val="en-US" w:eastAsia="zh-CN"/>
        </w:rPr>
        <w:t>公众指南</w:t>
      </w:r>
      <w:r>
        <w:rPr>
          <w:rFonts w:hint="eastAsia" w:eastAsia="方正仿宋_GBK"/>
          <w:sz w:val="32"/>
          <w:szCs w:val="32"/>
        </w:rPr>
        <w:t>信息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1.3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val="en-US" w:eastAsia="zh-CN"/>
        </w:rPr>
        <w:t>公众监督信息1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0.6</w:t>
      </w:r>
      <w:r>
        <w:rPr>
          <w:rFonts w:hint="eastAsia" w:eastAsia="方正仿宋_GBK"/>
          <w:sz w:val="32"/>
          <w:szCs w:val="32"/>
        </w:rPr>
        <w:t>%，政府信息公开年度报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0.6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val="en-US" w:eastAsia="zh-CN"/>
        </w:rPr>
        <w:t>预决算公开1</w:t>
      </w:r>
      <w:r>
        <w:rPr>
          <w:rFonts w:hint="eastAsia" w:eastAsia="方正仿宋_GBK"/>
          <w:sz w:val="32"/>
          <w:szCs w:val="32"/>
        </w:rPr>
        <w:t>条占比</w:t>
      </w:r>
      <w:r>
        <w:rPr>
          <w:rFonts w:hint="eastAsia" w:eastAsia="方正仿宋_GBK"/>
          <w:sz w:val="32"/>
          <w:szCs w:val="32"/>
          <w:lang w:val="en-US" w:eastAsia="zh-CN"/>
        </w:rPr>
        <w:t>0.6</w:t>
      </w:r>
      <w:r>
        <w:rPr>
          <w:rFonts w:hint="eastAsia" w:eastAsia="方正仿宋_GBK"/>
          <w:sz w:val="32"/>
          <w:szCs w:val="32"/>
        </w:rPr>
        <w:t>%。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2.依申请公开情况。2021年我局受理依申请公开信息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件，未发生因信息公开工作被行政复议或行政诉讼的情况。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3.政府信息管理情况。落实专人做好政府信息公开各项工作，按照“谁制发、谁提出，谁审查、谁办理，谁公开、谁负责”原则，对所公开事项内容进行审核、把关，确保公开内容合法性、准确性、严肃性。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4.政府信息公开平台建设情况。</w:t>
      </w:r>
      <w:r>
        <w:rPr>
          <w:rFonts w:hint="eastAsia" w:eastAsia="方正仿宋_GBK"/>
          <w:sz w:val="32"/>
          <w:szCs w:val="32"/>
          <w:lang w:val="en-US" w:eastAsia="zh-CN"/>
        </w:rPr>
        <w:t>区星管局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eastAsia" w:eastAsia="方正仿宋_GBK"/>
          <w:sz w:val="32"/>
          <w:szCs w:val="32"/>
        </w:rPr>
        <w:t>政府门户网站信息公开专页中设置政府信息公开年度报告、</w:t>
      </w:r>
      <w:r>
        <w:rPr>
          <w:rFonts w:hint="eastAsia" w:eastAsia="方正仿宋_GBK"/>
          <w:sz w:val="32"/>
          <w:szCs w:val="32"/>
          <w:lang w:val="en-US" w:eastAsia="zh-CN"/>
        </w:rPr>
        <w:t>最新公开信息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工作动态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通知公告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公开指南、公众监督、预决算公开7</w:t>
      </w:r>
      <w:r>
        <w:rPr>
          <w:rFonts w:hint="eastAsia" w:eastAsia="方正仿宋_GBK"/>
          <w:sz w:val="32"/>
          <w:szCs w:val="32"/>
        </w:rPr>
        <w:t>个一级栏目；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做到信息发布公开化、规范化，满足公众的知情权，接受群众监督实现服务供给渠道多元化、服务资源整合系统化、服务内容实用化，确保公众能够及时准确获取相关信息。</w:t>
      </w:r>
    </w:p>
    <w:p>
      <w:pPr>
        <w:widowControl w:val="0"/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5.监督保障情况。从组织领导、网络安全、严肃执纪问责等方面，严格按照省、市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eastAsia" w:eastAsia="方正仿宋_GBK"/>
          <w:sz w:val="32"/>
          <w:szCs w:val="32"/>
        </w:rPr>
        <w:t>有关政府信息公开的文件精神和工作部署，完善政务公开各项制度建设。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eastAsia="zh-CN" w:bidi="ar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年，我局政府信息公开工作虽然取得了一定的成效，但还存在一些不足：一是对政策研究不透彻，对部分信息是否可以公开、信息公开范围、公开程度把握不准；二是公开的</w:t>
      </w:r>
      <w:r>
        <w:rPr>
          <w:rFonts w:hint="eastAsia" w:ascii="仿宋" w:hAnsi="仿宋" w:eastAsia="仿宋" w:cs="仿宋"/>
          <w:kern w:val="0"/>
          <w:sz w:val="32"/>
          <w:szCs w:val="32"/>
          <w:lang w:val="zh-TW" w:eastAsia="zh-CN"/>
        </w:rPr>
        <w:t>时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效性有待进一步增强；三是公开信息的质量和水平仍需进一步提高。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下一步，我们将坚持问题导向和目标导向，更大范围更大力度推进政府信息公开工作，有效发挥以公开促落实、促规范、促服务作用</w:t>
      </w:r>
      <w:r>
        <w:rPr>
          <w:rFonts w:hint="eastAsia" w:eastAsia="方正仿宋_GBK"/>
          <w:sz w:val="32"/>
          <w:szCs w:val="32"/>
          <w:lang w:eastAsia="zh-CN"/>
        </w:rPr>
        <w:t>。一是进一步加强专题学习培训。组织</w:t>
      </w:r>
      <w:r>
        <w:rPr>
          <w:rFonts w:hint="eastAsia" w:eastAsia="方正仿宋_GBK"/>
          <w:sz w:val="32"/>
          <w:szCs w:val="32"/>
          <w:lang w:val="en-US" w:eastAsia="zh-CN"/>
        </w:rPr>
        <w:t>单位</w:t>
      </w:r>
      <w:r>
        <w:rPr>
          <w:rFonts w:hint="eastAsia" w:eastAsia="方正仿宋_GBK"/>
          <w:sz w:val="32"/>
          <w:szCs w:val="32"/>
          <w:lang w:eastAsia="zh-CN"/>
        </w:rPr>
        <w:t>工作人员参加信息公开专题学习培训，认真学习《中华人民共和国政府信息公开条例》等内容，增强对政务公开重要性的认识，提高业务能力，提升服务意识和能力，确保政务公开的及时性和规范性；二是进一步建立健全我局信息公开工作机制，使信息公开工作中更具有操作性；三是进一步加强信息员队伍建设，进一步强化信息工作制度的落实，不断提高信息工作的水平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六、其他需要报告的事项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无。</w:t>
      </w:r>
    </w:p>
    <w:p/>
    <w:sectPr>
      <w:pgSz w:w="11906" w:h="16838"/>
      <w:pgMar w:top="2041" w:right="1474" w:bottom="1304" w:left="1588" w:header="136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E55F7"/>
    <w:rsid w:val="3F5022BB"/>
    <w:rsid w:val="40180DCD"/>
    <w:rsid w:val="61AC3F25"/>
    <w:rsid w:val="70B2124A"/>
    <w:rsid w:val="785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2022-01-25T07:52:00Z</dcterms:created>
  <dc:creator>ASUS</dc:creator>
  <cp:lastModifiedBy>ASUS</cp:lastModifiedBy>
  <dcterms:modified xsi:type="dcterms:W3CDTF">2022-01-26T02:56:48Z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9B312D8AA75847D99BA1240BB380C4A3</vt:lpwstr>
  </property>
</Properties>
</file>