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玉溪市江川区市场监督管理局</w:t>
      </w:r>
    </w:p>
    <w:p>
      <w:pPr>
        <w:widowControl w:val="0"/>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2021年政府信息公开工作年度报告</w:t>
      </w:r>
    </w:p>
    <w:p>
      <w:pPr>
        <w:widowControl w:val="0"/>
        <w:spacing w:line="590" w:lineRule="exact"/>
        <w:rPr>
          <w:rFonts w:eastAsia="方正仿宋_GBK"/>
          <w:sz w:val="32"/>
          <w:szCs w:val="32"/>
        </w:rPr>
      </w:pPr>
    </w:p>
    <w:p>
      <w:pPr>
        <w:widowControl w:val="0"/>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2021年，江川</w:t>
      </w:r>
      <w:r>
        <w:rPr>
          <w:rFonts w:hint="eastAsia" w:ascii="仿宋_GB2312" w:hAnsi="仿宋_GB2312" w:eastAsia="仿宋_GB2312" w:cs="仿宋_GB2312"/>
          <w:sz w:val="32"/>
          <w:szCs w:val="32"/>
        </w:rPr>
        <w:t>区市场</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坚持以习近平新时代中国特色社会主义思想为指导，</w:t>
      </w:r>
      <w:r>
        <w:rPr>
          <w:rFonts w:hint="eastAsia" w:ascii="仿宋_GB2312" w:hAnsi="仿宋_GB2312" w:eastAsia="仿宋_GB2312" w:cs="仿宋_GB2312"/>
          <w:sz w:val="32"/>
          <w:szCs w:val="32"/>
        </w:rPr>
        <w:t>按照区委、区政府全面推进政务公开工作的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要求和统一部署，紧紧围绕市场监管职能，切实加强组织领导，规范公开内容，强化信息公开平台建设，丰富政策解读与回应内容，建立健全相关制度措施，依法推进市场监管工作决策、执行、管理、服务、结果等方面的信息公开，稳步推动我局的政府信息公开工作深入开展，积极构建市场监管社会共治格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eastAsia="方正仿宋_GBK"/>
          <w:sz w:val="32"/>
          <w:szCs w:val="32"/>
          <w:lang w:val="en-US" w:eastAsia="zh-CN"/>
        </w:rPr>
      </w:pPr>
      <w:r>
        <w:rPr>
          <w:rFonts w:hint="eastAsia" w:ascii="方正楷体_GBK" w:hAnsi="方正楷体_GBK" w:eastAsia="方正楷体_GBK" w:cs="方正楷体_GBK"/>
          <w:sz w:val="32"/>
          <w:szCs w:val="32"/>
          <w:lang w:val="en-US" w:eastAsia="zh-CN"/>
        </w:rPr>
        <w:t>（一）主动公开全面落实。</w:t>
      </w:r>
      <w:r>
        <w:rPr>
          <w:rFonts w:hint="eastAsia" w:eastAsia="方正仿宋_GBK"/>
          <w:sz w:val="32"/>
          <w:szCs w:val="32"/>
          <w:lang w:val="en-US" w:eastAsia="zh-CN"/>
        </w:rPr>
        <w:t>完善政府信息公开网站日常管理和使用，及时对政府信息公开网我局各栏目设置进行优化整合，设置了政府信息公开年度报告、机构概况、公告公示、政府文件、政策解</w:t>
      </w:r>
      <w:bookmarkStart w:id="0" w:name="_GoBack"/>
      <w:bookmarkEnd w:id="0"/>
      <w:r>
        <w:rPr>
          <w:rFonts w:hint="eastAsia" w:eastAsia="方正仿宋_GBK"/>
          <w:sz w:val="32"/>
          <w:szCs w:val="32"/>
          <w:lang w:val="en-US" w:eastAsia="zh-CN"/>
        </w:rPr>
        <w:t>读、市场监管、食品安全、药品安全、办事指南、预决算公开、公开指南、行政处罚和行政强制等栏目，分类、主动公开各类政府信息，截至12月31日，通过政府信息公开网（江川区市场监督管理局）公开各类信息197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eastAsia="方正仿宋_GBK"/>
          <w:sz w:val="32"/>
          <w:szCs w:val="32"/>
          <w:lang w:val="en-US" w:eastAsia="zh-CN"/>
        </w:rPr>
      </w:pPr>
      <w:r>
        <w:rPr>
          <w:rFonts w:hint="eastAsia" w:ascii="方正楷体_GBK" w:hAnsi="方正楷体_GBK" w:eastAsia="方正楷体_GBK" w:cs="方正楷体_GBK"/>
          <w:sz w:val="32"/>
          <w:szCs w:val="32"/>
          <w:lang w:val="en-US" w:eastAsia="zh-CN"/>
        </w:rPr>
        <w:t>（二）完善依申请公开制度。</w:t>
      </w:r>
      <w:r>
        <w:rPr>
          <w:rFonts w:hint="eastAsia" w:eastAsia="方正仿宋_GBK"/>
          <w:sz w:val="32"/>
          <w:szCs w:val="32"/>
          <w:lang w:val="en-US" w:eastAsia="zh-CN"/>
        </w:rPr>
        <w:t>完善信息公开申请受理机构、时间、地点，所需材料，线上线下接收方式和申请办理流程等，全面提升我局政府信息公开申请办理工作质量，为申请人依法申请获取政府信息提供便利。2021年我局未接收到依申请公开情况。</w:t>
      </w:r>
    </w:p>
    <w:p>
      <w:pPr>
        <w:pStyle w:val="2"/>
        <w:keepNext/>
        <w:keepLines/>
        <w:pageBreakBefore w:val="0"/>
        <w:widowControl/>
        <w:kinsoku/>
        <w:wordWrap/>
        <w:overflowPunct/>
        <w:topLinePunct w:val="0"/>
        <w:autoSpaceDE/>
        <w:autoSpaceDN/>
        <w:bidi w:val="0"/>
        <w:adjustRightInd/>
        <w:snapToGrid/>
        <w:spacing w:before="0" w:after="0" w:line="590" w:lineRule="exact"/>
        <w:textAlignment w:val="auto"/>
        <w:rPr>
          <w:rFonts w:hint="default" w:eastAsia="方正仿宋_GBK"/>
          <w:b w:val="0"/>
          <w:bCs/>
          <w:lang w:val="en-US" w:eastAsia="zh-CN"/>
        </w:rPr>
      </w:pPr>
      <w:r>
        <w:rPr>
          <w:rFonts w:hint="eastAsia" w:ascii="楷体" w:hAnsi="楷体" w:eastAsia="楷体" w:cs="楷体"/>
          <w:b w:val="0"/>
          <w:bCs/>
          <w:sz w:val="32"/>
          <w:szCs w:val="32"/>
          <w:lang w:val="en-US" w:eastAsia="zh-CN"/>
        </w:rPr>
        <w:t xml:space="preserve">    </w:t>
      </w:r>
      <w:r>
        <w:rPr>
          <w:rFonts w:hint="eastAsia" w:ascii="方正楷体_GBK" w:hAnsi="方正楷体_GBK" w:eastAsia="方正楷体_GBK" w:cs="方正楷体_GBK"/>
          <w:b w:val="0"/>
          <w:bCs/>
          <w:sz w:val="32"/>
          <w:szCs w:val="32"/>
          <w:lang w:val="en-US" w:eastAsia="zh-CN"/>
        </w:rPr>
        <w:t>（三）加强政府信息安全管理。</w:t>
      </w:r>
      <w:r>
        <w:rPr>
          <w:rFonts w:hint="eastAsia" w:eastAsia="方正仿宋_GBK"/>
          <w:b w:val="0"/>
          <w:bCs/>
          <w:sz w:val="32"/>
          <w:szCs w:val="32"/>
          <w:lang w:val="en-US" w:eastAsia="zh-CN"/>
        </w:rPr>
        <w:t>严格执行信息保密审查制度，对需在政府门户网站上发布的信息严格审核，对涉及国家机密、商业机密、个人隐私的政府信息不予公开，做到信息公开合理合法、有度。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eastAsia="方正仿宋_GBK"/>
          <w:sz w:val="32"/>
          <w:szCs w:val="32"/>
          <w:lang w:val="en-US" w:eastAsia="zh-CN"/>
        </w:rPr>
      </w:pPr>
      <w:r>
        <w:rPr>
          <w:rFonts w:hint="eastAsia" w:ascii="方正楷体_GBK" w:hAnsi="方正楷体_GBK" w:eastAsia="方正楷体_GBK" w:cs="方正楷体_GBK"/>
          <w:sz w:val="32"/>
          <w:szCs w:val="32"/>
          <w:lang w:val="en-US" w:eastAsia="zh-CN"/>
        </w:rPr>
        <w:t>（四）落实重点领域信息公开。</w:t>
      </w:r>
      <w:r>
        <w:rPr>
          <w:rFonts w:hint="eastAsia" w:eastAsia="方正仿宋_GBK"/>
          <w:sz w:val="32"/>
          <w:szCs w:val="32"/>
          <w:lang w:val="en-US" w:eastAsia="zh-CN"/>
        </w:rPr>
        <w:t>政府信息公开网本部门重点领域信息公开栏目有食品安全和药品安全两个栏目，公开内容主要以保障食品、药品等工作为重点，全面公开机市场监管工作抽检信息、重点工作等信息，提高日常监管和执法透明度，共发布信息40条。</w:t>
      </w:r>
    </w:p>
    <w:p>
      <w:pPr>
        <w:widowControl w:val="0"/>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二、主动公开政府信息情况</w:t>
      </w:r>
    </w:p>
    <w:p>
      <w:pPr>
        <w:widowControl w:val="0"/>
        <w:spacing w:line="590" w:lineRule="exact"/>
        <w:rPr>
          <w:rFonts w:hint="eastAsia" w:ascii="方正黑体_GBK" w:eastAsia="方正黑体_GBK"/>
          <w:sz w:val="32"/>
          <w:szCs w:val="32"/>
        </w:rPr>
      </w:pPr>
    </w:p>
    <w:tbl>
      <w:tblPr>
        <w:tblStyle w:val="3"/>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jc w:val="center"/>
            </w:pPr>
            <w:r>
              <w:rPr>
                <w:rFonts w:hint="eastAsia" w:ascii="宋体" w:hAnsi="宋体" w:cs="宋体"/>
                <w:color w:val="000000"/>
                <w:kern w:val="0"/>
                <w:sz w:val="20"/>
                <w:lang w:bidi="ar"/>
              </w:rPr>
              <w:t>第二十条第（一）项</w:t>
            </w:r>
          </w:p>
        </w:tc>
      </w:tr>
      <w:tr>
        <w:tblPrEx>
          <w:tblLayout w:type="fixed"/>
          <w:tblCellMar>
            <w:top w:w="0" w:type="dxa"/>
            <w:left w:w="0" w:type="dxa"/>
            <w:bottom w:w="0" w:type="dxa"/>
            <w:right w:w="0" w:type="dxa"/>
          </w:tblCellMar>
        </w:tblPrEx>
        <w:trPr>
          <w:trHeight w:val="328"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bidi="ar"/>
              </w:rPr>
              <w:t>本年</w:t>
            </w:r>
            <w:r>
              <w:rPr>
                <w:rFonts w:hint="eastAsia" w:ascii="宋体" w:hAnsi="宋体" w:cs="宋体"/>
                <w:kern w:val="0"/>
                <w:sz w:val="20"/>
                <w:lang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bidi="ar"/>
              </w:rPr>
              <w:t>现行有效件</w:t>
            </w:r>
            <w:r>
              <w:rPr>
                <w:rFonts w:hint="eastAsia" w:ascii="宋体" w:hAnsi="宋体" w:cs="宋体"/>
                <w:kern w:val="0"/>
                <w:sz w:val="20"/>
                <w:lang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hint="eastAsia" w:ascii="宋体" w:hAnsi="宋体" w:cs="宋体"/>
                <w:color w:val="000000"/>
                <w:kern w:val="0"/>
                <w:sz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hint="eastAsia" w:ascii="宋体" w:hAnsi="宋体" w:cs="宋体"/>
                <w:color w:val="000000"/>
                <w:kern w:val="0"/>
                <w:sz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hint="eastAsia" w:ascii="Calibri" w:hAnsi="Calibri"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hint="eastAsia" w:ascii="宋体" w:hAnsi="宋体" w:cs="宋体"/>
                <w:color w:val="000000"/>
                <w:kern w:val="0"/>
                <w:sz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jc w:val="center"/>
            </w:pPr>
            <w:r>
              <w:rPr>
                <w:rFonts w:hint="eastAsia" w:ascii="Calibri" w:hAnsi="Calibri"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jc w:val="center"/>
            </w:pPr>
            <w:r>
              <w:rPr>
                <w:rFonts w:hint="eastAsia" w:ascii="宋体" w:hAnsi="宋体" w:cs="宋体"/>
                <w:color w:val="000000"/>
                <w:kern w:val="0"/>
                <w:sz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jc w:val="center"/>
              <w:rPr>
                <w:rFonts w:hint="default" w:eastAsia="宋体"/>
                <w:lang w:val="en-US" w:eastAsia="zh-CN"/>
              </w:rPr>
            </w:pPr>
            <w:r>
              <w:rPr>
                <w:rFonts w:hint="eastAsia" w:ascii="Calibri" w:hAnsi="Calibri" w:cs="Calibri"/>
                <w:kern w:val="0"/>
                <w:szCs w:val="21"/>
                <w:lang w:val="en-US" w:eastAsia="zh-CN" w:bidi="ar"/>
              </w:rPr>
              <w:t>4313</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jc w:val="center"/>
            </w:pPr>
            <w:r>
              <w:rPr>
                <w:rFonts w:hint="eastAsia" w:ascii="宋体" w:hAnsi="宋体" w:cs="宋体"/>
                <w:color w:val="000000"/>
                <w:kern w:val="0"/>
                <w:sz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jc w:val="center"/>
              <w:rPr>
                <w:rFonts w:hint="default" w:eastAsia="宋体"/>
                <w:lang w:val="en-US" w:eastAsia="zh-CN"/>
              </w:rPr>
            </w:pPr>
            <w:r>
              <w:rPr>
                <w:rFonts w:hint="eastAsia" w:ascii="宋体" w:hAnsi="宋体" w:cs="宋体"/>
                <w:color w:val="000000"/>
                <w:kern w:val="0"/>
                <w:sz w:val="20"/>
                <w:lang w:val="en-US" w:eastAsia="zh-CN" w:bidi="ar"/>
              </w:rPr>
              <w:t>114</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hint="eastAsia" w:ascii="宋体" w:hAnsi="宋体" w:cs="宋体"/>
                <w:color w:val="000000"/>
                <w:kern w:val="0"/>
                <w:sz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jc w:val="center"/>
            </w:pPr>
            <w:r>
              <w:rPr>
                <w:rFonts w:hint="eastAsia" w:ascii="宋体" w:hAnsi="宋体" w:cs="宋体"/>
                <w:color w:val="000000"/>
                <w:kern w:val="0"/>
                <w:sz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pPr>
            <w:r>
              <w:rPr>
                <w:rFonts w:hint="eastAsia" w:ascii="宋体" w:hAnsi="宋体" w:cs="宋体"/>
                <w:color w:val="000000"/>
                <w:kern w:val="0"/>
                <w:sz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color w:val="000000"/>
                <w:kern w:val="0"/>
                <w:sz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widowControl w:val="0"/>
        <w:spacing w:line="590" w:lineRule="exact"/>
        <w:rPr>
          <w:rFonts w:hint="eastAsia" w:ascii="方正黑体_GBK" w:eastAsia="方正黑体_GBK"/>
          <w:sz w:val="32"/>
          <w:szCs w:val="32"/>
        </w:rPr>
      </w:pPr>
    </w:p>
    <w:p>
      <w:pPr>
        <w:widowControl w:val="0"/>
        <w:spacing w:line="590" w:lineRule="exact"/>
        <w:rPr>
          <w:rFonts w:hint="eastAsia" w:ascii="方正黑体_GBK" w:eastAsia="方正黑体_GBK"/>
          <w:sz w:val="32"/>
          <w:szCs w:val="32"/>
        </w:rPr>
      </w:pPr>
    </w:p>
    <w:p>
      <w:pPr>
        <w:widowControl w:val="0"/>
        <w:spacing w:line="590" w:lineRule="exact"/>
        <w:rPr>
          <w:rFonts w:hint="eastAsia" w:ascii="方正黑体_GBK" w:eastAsia="方正黑体_GBK"/>
          <w:sz w:val="32"/>
          <w:szCs w:val="32"/>
        </w:rPr>
      </w:pPr>
    </w:p>
    <w:p>
      <w:pPr>
        <w:widowControl w:val="0"/>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三、收到和处理政府信息公开申请情况</w:t>
      </w:r>
    </w:p>
    <w:p>
      <w:pPr>
        <w:widowControl w:val="0"/>
        <w:spacing w:line="400" w:lineRule="exact"/>
        <w:rPr>
          <w:rFonts w:hint="eastAsia" w:ascii="方正黑体_GBK" w:eastAsia="方正黑体_GBK"/>
          <w:sz w:val="32"/>
          <w:szCs w:val="32"/>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jc w:val="left"/>
            </w:pPr>
            <w:r>
              <w:rPr>
                <w:rFonts w:ascii="楷体" w:hAnsi="楷体" w:eastAsia="楷体" w:cs="楷体"/>
                <w:kern w:val="0"/>
                <w:sz w:val="20"/>
                <w:lang w:bidi="ar"/>
              </w:rPr>
              <w:t>（本列数据的勾稽关系为：第一项加第二项之和，等于第三项加第四项之和）</w:t>
            </w:r>
          </w:p>
        </w:tc>
        <w:tc>
          <w:tcPr>
            <w:tcW w:w="4817" w:type="dxa"/>
            <w:gridSpan w:val="7"/>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kern w:val="0"/>
                <w:sz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kern w:val="0"/>
                <w:sz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kern w:val="0"/>
                <w:sz w:val="20"/>
                <w:lang w:bidi="ar"/>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noWrap w:val="0"/>
            <w:tcMar>
              <w:left w:w="57" w:type="dxa"/>
              <w:right w:w="57" w:type="dxa"/>
            </w:tcMar>
            <w:vAlign w:val="center"/>
          </w:tcPr>
          <w:p>
            <w:pPr>
              <w:jc w:val="center"/>
            </w:pPr>
            <w:r>
              <w:rPr>
                <w:rFonts w:hint="eastAsia" w:ascii="宋体" w:hAnsi="宋体" w:cs="宋体"/>
                <w:kern w:val="0"/>
                <w:sz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kern w:val="0"/>
                <w:sz w:val="20"/>
                <w:lang w:bidi="ar"/>
              </w:rPr>
              <w:t>商业</w:t>
            </w:r>
          </w:p>
          <w:p>
            <w:pPr>
              <w:jc w:val="center"/>
            </w:pPr>
            <w:r>
              <w:rPr>
                <w:rFonts w:hint="eastAsia" w:ascii="宋体" w:hAnsi="宋体" w:cs="宋体"/>
                <w:kern w:val="0"/>
                <w:sz w:val="20"/>
                <w:lang w:bidi="ar"/>
              </w:rPr>
              <w:t>企业</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kern w:val="0"/>
                <w:sz w:val="20"/>
                <w:lang w:bidi="ar"/>
              </w:rPr>
              <w:t>科研</w:t>
            </w:r>
          </w:p>
          <w:p>
            <w:pPr>
              <w:jc w:val="center"/>
            </w:pPr>
            <w:r>
              <w:rPr>
                <w:rFonts w:hint="eastAsia" w:ascii="宋体" w:hAnsi="宋体" w:cs="宋体"/>
                <w:kern w:val="0"/>
                <w:sz w:val="20"/>
                <w:lang w:bidi="ar"/>
              </w:rPr>
              <w:t>机构</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kern w:val="0"/>
                <w:sz w:val="20"/>
                <w:lang w:bidi="ar"/>
              </w:rPr>
              <w:t>社会公益组织</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kern w:val="0"/>
                <w:sz w:val="20"/>
                <w:lang w:bidi="ar"/>
              </w:rPr>
              <w:t>法律服务机构</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jc w:val="center"/>
            </w:pPr>
            <w:r>
              <w:rPr>
                <w:rFonts w:hint="eastAsia" w:ascii="宋体" w:hAnsi="宋体" w:cs="宋体"/>
                <w:kern w:val="0"/>
                <w:sz w:val="20"/>
                <w:lang w:bidi="ar"/>
              </w:rPr>
              <w:t>其他</w:t>
            </w:r>
          </w:p>
        </w:tc>
        <w:tc>
          <w:tcPr>
            <w:tcW w:w="689" w:type="dxa"/>
            <w:vMerge w:val="continue"/>
            <w:tcBorders>
              <w:top w:val="single" w:color="auto" w:sz="8"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jc w:val="left"/>
            </w:pPr>
            <w:r>
              <w:rPr>
                <w:rFonts w:hint="eastAsia" w:ascii="宋体" w:hAnsi="宋体" w:cs="宋体"/>
                <w:kern w:val="0"/>
                <w:sz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pPr>
            <w:r>
              <w:rPr>
                <w:rFonts w:hint="eastAsia" w:ascii="Calibri" w:hAnsi="Calibri" w:cs="Calibri"/>
                <w:kern w:val="0"/>
                <w:sz w:val="20"/>
                <w:lang w:val="en-US" w:eastAsia="zh-CN" w:bidi="ar"/>
              </w:rPr>
              <w:t>0</w:t>
            </w:r>
            <w:r>
              <w:rPr>
                <w:rFonts w:ascii="Calibri" w:hAnsi="Calibri" w:cs="Calibri"/>
                <w:kern w:val="0"/>
                <w:sz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pPr>
            <w:r>
              <w:rPr>
                <w:rFonts w:hint="eastAsia" w:ascii="Calibri" w:hAnsi="Calibri" w:cs="Calibri"/>
                <w:kern w:val="0"/>
                <w:sz w:val="20"/>
                <w:lang w:val="en-US" w:eastAsia="zh-CN" w:bidi="ar"/>
              </w:rPr>
              <w:t>0</w:t>
            </w:r>
            <w:r>
              <w:rPr>
                <w:rFonts w:ascii="Calibri" w:hAnsi="Calibri" w:cs="Calibri"/>
                <w:kern w:val="0"/>
                <w:sz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jc w:val="left"/>
            </w:pPr>
            <w:r>
              <w:rPr>
                <w:rFonts w:hint="eastAsia" w:ascii="宋体" w:hAnsi="宋体" w:cs="宋体"/>
                <w:kern w:val="0"/>
                <w:sz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left"/>
            </w:pPr>
            <w:r>
              <w:rPr>
                <w:rFonts w:hint="eastAsia" w:ascii="宋体" w:hAnsi="宋体" w:cs="宋体"/>
                <w:kern w:val="0"/>
                <w:sz w:val="20"/>
                <w:lang w:bidi="ar"/>
              </w:rPr>
              <w:t>三、本年度办理结果</w:t>
            </w:r>
          </w:p>
        </w:tc>
        <w:tc>
          <w:tcPr>
            <w:tcW w:w="4163" w:type="dxa"/>
            <w:gridSpan w:val="2"/>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left"/>
            </w:pPr>
            <w:r>
              <w:rPr>
                <w:rFonts w:hint="eastAsia" w:ascii="宋体" w:hAnsi="宋体" w:cs="宋体"/>
                <w:kern w:val="0"/>
                <w:sz w:val="20"/>
                <w:lang w:bidi="ar"/>
              </w:rPr>
              <w:t>（一）予以公开</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inset"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single" w:color="auto" w:sz="8" w:space="0"/>
              <w:right w:val="inset"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threeDEngrave" w:color="auto" w:sz="0" w:space="0"/>
              <w:left w:val="thinThickMediumGap" w:color="auto" w:sz="0" w:space="0"/>
              <w:bottom w:val="dotDash"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single" w:color="auto" w:sz="8" w:space="0"/>
              <w:right w:val="thickThinSmallGap"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8" w:space="0"/>
              <w:left w:val="single" w:color="auto" w:sz="0" w:space="0"/>
              <w:bottom w:val="single" w:color="auto" w:sz="8" w:space="0"/>
              <w:right w:val="thickThinSmall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left"/>
            </w:pPr>
            <w:r>
              <w:rPr>
                <w:rFonts w:hint="eastAsia" w:ascii="宋体" w:hAnsi="宋体" w:cs="宋体"/>
                <w:kern w:val="0"/>
                <w:sz w:val="20"/>
                <w:lang w:bidi="ar"/>
              </w:rPr>
              <w:t>（二）部分公开</w:t>
            </w:r>
            <w:r>
              <w:rPr>
                <w:rFonts w:hint="eastAsia" w:ascii="楷体" w:hAnsi="楷体" w:eastAsia="楷体" w:cs="楷体"/>
                <w:kern w:val="0"/>
                <w:sz w:val="20"/>
                <w:lang w:bidi="ar"/>
              </w:rPr>
              <w:t>（区分处理的，只计这一情形，不计其他情形）</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inset"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single" w:color="auto" w:sz="8" w:space="0"/>
              <w:right w:val="inset"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threeDEngrave" w:color="auto" w:sz="0" w:space="0"/>
              <w:left w:val="thinThickMediumGap" w:color="auto" w:sz="0" w:space="0"/>
              <w:bottom w:val="dotDash"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single" w:color="auto" w:sz="8" w:space="0"/>
              <w:right w:val="thickThinSmallGap"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single" w:color="auto" w:sz="0" w:space="0"/>
              <w:bottom w:val="single" w:color="auto" w:sz="8" w:space="0"/>
              <w:right w:val="thickThinSmall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left"/>
            </w:pPr>
            <w:r>
              <w:rPr>
                <w:rFonts w:hint="eastAsia" w:ascii="宋体" w:hAnsi="宋体" w:cs="宋体"/>
                <w:kern w:val="0"/>
                <w:sz w:val="20"/>
                <w:lang w:bidi="ar"/>
              </w:rPr>
              <w:t>（三）不予公开</w:t>
            </w: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left"/>
            </w:pPr>
            <w:r>
              <w:rPr>
                <w:rFonts w:hint="eastAsia" w:ascii="宋体" w:hAnsi="宋体" w:cs="宋体"/>
                <w:kern w:val="0"/>
                <w:sz w:val="20"/>
                <w:lang w:bidi="ar"/>
              </w:rPr>
              <w:t>1.属于国家秘密</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dotted" w:color="auto" w:sz="0" w:space="0"/>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8"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left"/>
            </w:pPr>
            <w:r>
              <w:rPr>
                <w:rFonts w:hint="eastAsia" w:ascii="宋体" w:hAnsi="宋体" w:cs="宋体"/>
                <w:kern w:val="0"/>
                <w:sz w:val="20"/>
                <w:lang w:bidi="ar"/>
              </w:rPr>
              <w:t>2.其他法律行政法规禁止公开</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dotted" w:color="auto" w:sz="0" w:space="0"/>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left"/>
            </w:pPr>
            <w:r>
              <w:rPr>
                <w:rFonts w:hint="eastAsia" w:ascii="宋体" w:hAnsi="宋体" w:cs="宋体"/>
                <w:kern w:val="0"/>
                <w:sz w:val="20"/>
                <w:lang w:bidi="ar"/>
              </w:rPr>
              <w:t>3.危及“三安全一稳定”</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dashed" w:color="auto" w:sz="0" w:space="0"/>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threeDEmboss"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left"/>
            </w:pPr>
            <w:r>
              <w:rPr>
                <w:rFonts w:hint="eastAsia" w:ascii="宋体" w:hAnsi="宋体" w:cs="宋体"/>
                <w:kern w:val="0"/>
                <w:sz w:val="20"/>
                <w:lang w:bidi="ar"/>
              </w:rPr>
              <w:t>4.保护第三方合法权益</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dashed" w:color="auto" w:sz="0" w:space="0"/>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threeDEmboss"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pPr>
            <w:r>
              <w:rPr>
                <w:rFonts w:ascii="Calibri" w:hAnsi="Calibri" w:cs="Calibri"/>
                <w:kern w:val="0"/>
                <w:sz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left"/>
            </w:pPr>
            <w:r>
              <w:rPr>
                <w:rFonts w:hint="eastAsia" w:ascii="宋体" w:hAnsi="宋体" w:cs="宋体"/>
                <w:kern w:val="0"/>
                <w:sz w:val="20"/>
                <w:lang w:bidi="ar"/>
              </w:rPr>
              <w:t>5.属于三类内部事务信息</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dashed" w:color="auto" w:sz="0" w:space="0"/>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threeDEmboss"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left"/>
            </w:pPr>
            <w:r>
              <w:rPr>
                <w:rFonts w:hint="eastAsia" w:ascii="宋体" w:hAnsi="宋体" w:cs="宋体"/>
                <w:kern w:val="0"/>
                <w:sz w:val="20"/>
                <w:lang w:bidi="ar"/>
              </w:rPr>
              <w:t>6.属于四类过程性信息</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dashed" w:color="auto" w:sz="0" w:space="0"/>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threeDEmboss"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default"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default"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left"/>
            </w:pPr>
            <w:r>
              <w:rPr>
                <w:rFonts w:hint="eastAsia" w:ascii="宋体" w:hAnsi="宋体" w:cs="宋体"/>
                <w:kern w:val="0"/>
                <w:sz w:val="20"/>
                <w:lang w:bidi="ar"/>
              </w:rPr>
              <w:t>7.属于行政执法案卷</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dashed" w:color="auto" w:sz="0" w:space="0"/>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threeDEmboss"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default"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left"/>
            </w:pPr>
            <w:r>
              <w:rPr>
                <w:rFonts w:hint="eastAsia" w:ascii="宋体" w:hAnsi="宋体" w:cs="宋体"/>
                <w:kern w:val="0"/>
                <w:sz w:val="20"/>
                <w:lang w:bidi="ar"/>
              </w:rPr>
              <w:t>8.属于行政查询事项</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dashed" w:color="auto" w:sz="0" w:space="0"/>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threeDEmboss"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ind w:firstLine="210" w:firstLineChars="100"/>
              <w:jc w:val="both"/>
              <w:rPr>
                <w:rFonts w:hint="default" w:eastAsia="宋体"/>
                <w:lang w:val="en-US" w:eastAsia="zh-CN"/>
              </w:rPr>
            </w:pPr>
            <w:r>
              <w:rPr>
                <w:rFonts w:hint="eastAsia"/>
                <w:lang w:val="en-US" w:eastAsia="zh-CN"/>
              </w:rPr>
              <w:t>0</w:t>
            </w:r>
          </w:p>
        </w:tc>
        <w:tc>
          <w:tcPr>
            <w:tcW w:w="689"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left"/>
            </w:pPr>
            <w:r>
              <w:rPr>
                <w:rFonts w:hint="eastAsia" w:ascii="宋体" w:hAnsi="宋体" w:cs="宋体"/>
                <w:kern w:val="0"/>
                <w:sz w:val="20"/>
                <w:lang w:bidi="ar"/>
              </w:rPr>
              <w:t>（四）无法提供</w:t>
            </w: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left"/>
            </w:pPr>
            <w:r>
              <w:rPr>
                <w:rFonts w:hint="eastAsia" w:ascii="宋体" w:hAnsi="宋体" w:cs="宋体"/>
                <w:kern w:val="0"/>
                <w:sz w:val="20"/>
                <w:lang w:bidi="ar"/>
              </w:rPr>
              <w:t>1.本机关不掌握相关政府信息</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dashed" w:color="auto" w:sz="0" w:space="0"/>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threeDEmboss"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pPr>
            <w:r>
              <w:rPr>
                <w:rFonts w:hint="eastAsia" w:ascii="Calibri" w:hAnsi="Calibri" w:cs="Calibri"/>
                <w:kern w:val="0"/>
                <w:sz w:val="20"/>
                <w:lang w:val="en-US" w:eastAsia="zh-CN" w:bidi="ar"/>
              </w:rPr>
              <w:t>0</w:t>
            </w:r>
            <w:r>
              <w:rPr>
                <w:rFonts w:ascii="Calibri" w:hAnsi="Calibri" w:cs="Calibri"/>
                <w:kern w:val="0"/>
                <w:sz w:val="20"/>
                <w:lang w:bidi="ar"/>
              </w:rPr>
              <w:t> </w:t>
            </w:r>
          </w:p>
        </w:tc>
        <w:tc>
          <w:tcPr>
            <w:tcW w:w="689"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left"/>
            </w:pPr>
            <w:r>
              <w:rPr>
                <w:rFonts w:hint="eastAsia" w:ascii="宋体" w:hAnsi="宋体" w:cs="宋体"/>
                <w:kern w:val="0"/>
                <w:sz w:val="20"/>
                <w:lang w:bidi="ar"/>
              </w:rPr>
              <w:t>2.没有现成信息需要另行制作</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dashed" w:color="auto" w:sz="0" w:space="0"/>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threeDEmboss"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left"/>
            </w:pPr>
            <w:r>
              <w:rPr>
                <w:rFonts w:hint="eastAsia" w:ascii="宋体" w:hAnsi="宋体" w:cs="宋体"/>
                <w:kern w:val="0"/>
                <w:sz w:val="20"/>
                <w:lang w:bidi="ar"/>
              </w:rPr>
              <w:t>3.补正后申请内容仍不明确</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dashed" w:color="auto" w:sz="0" w:space="0"/>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threeDEmboss"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left"/>
            </w:pPr>
            <w:r>
              <w:rPr>
                <w:rFonts w:hint="eastAsia" w:ascii="宋体" w:hAnsi="宋体" w:cs="宋体"/>
                <w:kern w:val="0"/>
                <w:sz w:val="20"/>
                <w:lang w:bidi="ar"/>
              </w:rPr>
              <w:t>（五）不予处理</w:t>
            </w: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left"/>
            </w:pPr>
            <w:r>
              <w:rPr>
                <w:rFonts w:hint="eastAsia" w:ascii="宋体" w:hAnsi="宋体" w:cs="宋体"/>
                <w:kern w:val="0"/>
                <w:sz w:val="20"/>
                <w:lang w:bidi="ar"/>
              </w:rPr>
              <w:t>1.信访举报投诉类申请</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dashed" w:color="auto" w:sz="0" w:space="0"/>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threeDEmboss"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left"/>
            </w:pPr>
            <w:r>
              <w:rPr>
                <w:rFonts w:hint="eastAsia" w:ascii="宋体" w:hAnsi="宋体" w:cs="宋体"/>
                <w:kern w:val="0"/>
                <w:sz w:val="20"/>
                <w:lang w:bidi="ar"/>
              </w:rPr>
              <w:t>2.重复申请</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dashed" w:color="auto" w:sz="0" w:space="0"/>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threeDEmboss"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left"/>
            </w:pPr>
            <w:r>
              <w:rPr>
                <w:rFonts w:hint="eastAsia" w:ascii="宋体" w:hAnsi="宋体" w:cs="宋体"/>
                <w:kern w:val="0"/>
                <w:sz w:val="20"/>
                <w:lang w:bidi="ar"/>
              </w:rPr>
              <w:t>3.要求提供公开出版物</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dashed" w:color="auto" w:sz="0" w:space="0"/>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threeDEmboss"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left"/>
            </w:pPr>
            <w:r>
              <w:rPr>
                <w:rFonts w:hint="eastAsia" w:ascii="宋体" w:hAnsi="宋体" w:cs="宋体"/>
                <w:kern w:val="0"/>
                <w:sz w:val="20"/>
                <w:lang w:bidi="ar"/>
              </w:rPr>
              <w:t>4.无正当理由大量反复申请</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dashed" w:color="auto" w:sz="0" w:space="0"/>
              <w:bottom w:val="single" w:color="auto" w:sz="8" w:space="0"/>
              <w:right w:val="thinThickMediumGap"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nil"/>
              <w:bottom w:val="threeDEmboss"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thickThinSmallGap"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r>
              <w:rPr>
                <w:rFonts w:hint="eastAsia" w:ascii="宋体" w:hAnsi="宋体" w:cs="宋体"/>
                <w:kern w:val="0"/>
                <w:sz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jc w:val="left"/>
            </w:pPr>
            <w:r>
              <w:rPr>
                <w:rFonts w:hint="eastAsia" w:ascii="宋体" w:hAnsi="宋体" w:cs="宋体"/>
                <w:kern w:val="0"/>
                <w:sz w:val="20"/>
                <w:lang w:bidi="ar"/>
              </w:rPr>
              <w:t>（六）其他处理</w:t>
            </w: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r>
              <w:rPr>
                <w:rFonts w:hint="eastAsia" w:ascii="宋体" w:hAnsi="宋体" w:cs="宋体"/>
                <w:kern w:val="0"/>
                <w:sz w:val="20"/>
                <w:lang w:bidi="ar"/>
              </w:rPr>
              <w:t>1.申请人无正当理由逾期不补正、行政机关不再处理其政府信息公开申请</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outset"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dashSmallGap"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single" w:color="auto" w:sz="8" w:space="0"/>
              <w:right w:val="thinThickMediumGap"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thickThinSmallGap" w:color="auto" w:sz="0" w:space="0"/>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r>
              <w:rPr>
                <w:rFonts w:hint="eastAsia" w:ascii="宋体" w:hAnsi="宋体" w:cs="宋体"/>
                <w:kern w:val="0"/>
                <w:sz w:val="20"/>
                <w:lang w:bidi="ar"/>
              </w:rPr>
              <w:t>2.申请人逾期未按收费通知要求缴纳费用、行政机关不再处理其政府信息公开申请</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outset"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dashSmallGap"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single" w:color="auto" w:sz="8" w:space="0"/>
              <w:right w:val="thinThickMediumGap"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thickThinSmallGap" w:color="auto" w:sz="0" w:space="0"/>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left"/>
            </w:pPr>
            <w:r>
              <w:rPr>
                <w:rFonts w:hint="eastAsia" w:ascii="宋体" w:hAnsi="宋体" w:cs="宋体"/>
                <w:kern w:val="0"/>
                <w:sz w:val="20"/>
                <w:lang w:bidi="ar"/>
              </w:rPr>
              <w:t>3.其他</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outset"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dashSmallGap"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single" w:color="auto" w:sz="8" w:space="0"/>
              <w:right w:val="thinThickMediumGap"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thickThinSmallGap" w:color="auto" w:sz="0" w:space="0"/>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left"/>
            </w:pPr>
            <w:r>
              <w:rPr>
                <w:rFonts w:hint="eastAsia" w:ascii="宋体" w:hAnsi="宋体" w:cs="宋体"/>
                <w:kern w:val="0"/>
                <w:sz w:val="20"/>
                <w:lang w:bidi="ar"/>
              </w:rPr>
              <w:t>（七）总计</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nil"/>
              <w:bottom w:val="dotted"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triple" w:color="auto" w:sz="0" w:space="0"/>
              <w:left w:val="triple" w:color="auto" w:sz="0" w:space="0"/>
              <w:bottom w:val="doub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threeDEngrave" w:color="auto" w:sz="0" w:space="0"/>
              <w:left w:val="thinThickMediumGap" w:color="auto" w:sz="0" w:space="0"/>
              <w:bottom w:val="dotDash" w:color="auto" w:sz="8" w:space="0"/>
              <w:right w:val="single" w:color="auto" w:sz="8" w:space="0"/>
            </w:tcBorders>
            <w:noWrap w:val="0"/>
            <w:tcMar>
              <w:left w:w="57" w:type="dxa"/>
              <w:right w:w="57" w:type="dxa"/>
            </w:tcMar>
            <w:vAlign w:val="center"/>
          </w:tcPr>
          <w:p>
            <w:pPr>
              <w:jc w:val="center"/>
              <w:rPr>
                <w:rFonts w:hint="default"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dotDash" w:color="auto" w:sz="0" w:space="0"/>
              <w:left w:val="single" w:color="auto" w:sz="0" w:space="0"/>
              <w:bottom w:val="single" w:color="auto" w:sz="8" w:space="0"/>
              <w:right w:val="dotDash"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jc w:val="left"/>
            </w:pPr>
            <w:r>
              <w:rPr>
                <w:rFonts w:hint="eastAsia" w:ascii="宋体" w:hAnsi="宋体" w:cs="宋体"/>
                <w:kern w:val="0"/>
                <w:sz w:val="20"/>
                <w:lang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eastAsia="宋体"/>
                <w:lang w:val="en-US" w:eastAsia="zh-CN"/>
              </w:rPr>
            </w:pPr>
            <w:r>
              <w:rPr>
                <w:rFonts w:ascii="Calibri" w:hAnsi="Calibri" w:cs="Calibri"/>
                <w:kern w:val="0"/>
                <w:sz w:val="20"/>
                <w:lang w:bidi="ar"/>
              </w:rPr>
              <w:t> </w:t>
            </w:r>
            <w:r>
              <w:rPr>
                <w:rFonts w:hint="eastAsia" w:ascii="Calibri" w:hAnsi="Calibri" w:cs="Calibri"/>
                <w:kern w:val="0"/>
                <w:sz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ind w:firstLine="240" w:firstLineChars="100"/>
              <w:rPr>
                <w:rFonts w:hint="eastAsia" w:ascii="宋体" w:eastAsia="宋体"/>
                <w:sz w:val="24"/>
                <w:szCs w:val="24"/>
                <w:lang w:val="en-US" w:eastAsia="zh-CN"/>
              </w:rPr>
            </w:pPr>
            <w:r>
              <w:rPr>
                <w:rFonts w:hint="eastAsia" w:ascii="宋体"/>
                <w:sz w:val="24"/>
                <w:szCs w:val="24"/>
                <w:lang w:val="en-US" w:eastAsia="zh-CN"/>
              </w:rPr>
              <w:t>0</w:t>
            </w:r>
          </w:p>
        </w:tc>
      </w:tr>
    </w:tbl>
    <w:p>
      <w:pPr>
        <w:widowControl w:val="0"/>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四、政府信息公开行政复议、行政诉讼情况</w:t>
      </w:r>
    </w:p>
    <w:p>
      <w:pPr>
        <w:widowControl w:val="0"/>
        <w:spacing w:line="400" w:lineRule="exact"/>
        <w:rPr>
          <w:rFonts w:hint="eastAsia" w:ascii="方正黑体_GBK" w:eastAsia="方正黑体_GBK"/>
          <w:sz w:val="32"/>
          <w:szCs w:val="32"/>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其他</w:t>
            </w:r>
            <w:r>
              <w:rPr>
                <w:rFonts w:hint="eastAsia" w:ascii="宋体" w:hAnsi="宋体" w:cs="宋体"/>
                <w:kern w:val="0"/>
                <w:sz w:val="20"/>
                <w:lang w:bidi="ar"/>
              </w:rPr>
              <w:br w:type="textWrapping"/>
            </w:r>
            <w:r>
              <w:rPr>
                <w:rFonts w:hint="eastAsia" w:ascii="宋体" w:hAnsi="宋体" w:cs="宋体"/>
                <w:kern w:val="0"/>
                <w:sz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尚未</w:t>
            </w:r>
            <w:r>
              <w:rPr>
                <w:rFonts w:hint="eastAsia" w:ascii="宋体" w:hAnsi="宋体" w:cs="宋体"/>
                <w:kern w:val="0"/>
                <w:sz w:val="20"/>
                <w:lang w:bidi="ar"/>
              </w:rPr>
              <w:br w:type="textWrapping"/>
            </w:r>
            <w:r>
              <w:rPr>
                <w:rFonts w:hint="eastAsia" w:ascii="宋体" w:hAnsi="宋体" w:cs="宋体"/>
                <w:kern w:val="0"/>
                <w:sz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其他</w:t>
            </w:r>
            <w:r>
              <w:rPr>
                <w:rFonts w:hint="eastAsia" w:ascii="宋体" w:hAnsi="宋体" w:cs="宋体"/>
                <w:kern w:val="0"/>
                <w:sz w:val="20"/>
                <w:lang w:bidi="ar"/>
              </w:rPr>
              <w:br w:type="textWrapping"/>
            </w:r>
            <w:r>
              <w:rPr>
                <w:rFonts w:hint="eastAsia" w:ascii="宋体" w:hAnsi="宋体" w:cs="宋体"/>
                <w:kern w:val="0"/>
                <w:sz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尚未</w:t>
            </w:r>
            <w:r>
              <w:rPr>
                <w:rFonts w:hint="eastAsia" w:ascii="宋体" w:hAnsi="宋体" w:cs="宋体"/>
                <w:kern w:val="0"/>
                <w:sz w:val="20"/>
                <w:lang w:bidi="ar"/>
              </w:rPr>
              <w:br w:type="textWrapping"/>
            </w:r>
            <w:r>
              <w:rPr>
                <w:rFonts w:hint="eastAsia" w:ascii="宋体" w:hAnsi="宋体" w:cs="宋体"/>
                <w:kern w:val="0"/>
                <w:sz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color w:val="000000"/>
                <w:kern w:val="0"/>
                <w:sz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color w:val="000000"/>
                <w:kern w:val="0"/>
                <w:sz w:val="20"/>
                <w:lang w:bidi="ar"/>
              </w:rPr>
              <w:t>其他</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kern w:val="0"/>
                <w:sz w:val="20"/>
                <w:lang w:bidi="ar"/>
              </w:rPr>
              <w:t>尚未</w:t>
            </w:r>
            <w:r>
              <w:rPr>
                <w:rFonts w:hint="eastAsia" w:ascii="宋体" w:hAnsi="宋体" w:cs="宋体"/>
                <w:kern w:val="0"/>
                <w:sz w:val="20"/>
                <w:lang w:bidi="ar"/>
              </w:rPr>
              <w:br w:type="textWrapping"/>
            </w:r>
            <w:r>
              <w:rPr>
                <w:rFonts w:hint="eastAsia" w:ascii="宋体" w:hAnsi="宋体" w:cs="宋体"/>
                <w:kern w:val="0"/>
                <w:sz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pPr>
            <w:r>
              <w:rPr>
                <w:rFonts w:hint="eastAsia" w:ascii="宋体" w:hAnsi="宋体" w:cs="宋体"/>
                <w:color w:val="000000"/>
                <w:kern w:val="0"/>
                <w:sz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黑体"/>
                <w:lang w:val="en-US" w:eastAsia="zh-CN"/>
              </w:rPr>
            </w:pPr>
            <w:r>
              <w:rPr>
                <w:rFonts w:hint="eastAsia" w:ascii="黑体" w:hAnsi="宋体" w:eastAsia="黑体" w:cs="黑体"/>
                <w:kern w:val="0"/>
                <w:sz w:val="20"/>
                <w:lang w:val="en-US" w:eastAsia="zh-CN" w:bidi="ar"/>
              </w:rPr>
              <w:t>0</w:t>
            </w:r>
            <w:r>
              <w:rPr>
                <w:rFonts w:ascii="黑体" w:hAnsi="宋体" w:eastAsia="黑体" w:cs="黑体"/>
                <w:kern w:val="0"/>
                <w:sz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黑体"/>
                <w:lang w:val="en-US" w:eastAsia="zh-CN"/>
              </w:rPr>
            </w:pPr>
            <w:r>
              <w:rPr>
                <w:rFonts w:hint="eastAsia" w:ascii="黑体" w:hAnsi="宋体" w:eastAsia="黑体" w:cs="黑体"/>
                <w:kern w:val="0"/>
                <w:sz w:val="20"/>
                <w:lang w:bidi="ar"/>
              </w:rPr>
              <w:t> </w:t>
            </w:r>
            <w:r>
              <w:rPr>
                <w:rFonts w:hint="eastAsia" w:ascii="黑体" w:hAnsi="宋体" w:eastAsia="黑体" w:cs="黑体"/>
                <w:kern w:val="0"/>
                <w:sz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黑体"/>
                <w:lang w:val="en-US" w:eastAsia="zh-CN"/>
              </w:rPr>
            </w:pPr>
            <w:r>
              <w:rPr>
                <w:rFonts w:hint="eastAsia" w:ascii="黑体" w:hAnsi="宋体" w:eastAsia="黑体" w:cs="黑体"/>
                <w:kern w:val="0"/>
                <w:sz w:val="20"/>
                <w:lang w:val="en-US" w:eastAsia="zh-CN" w:bidi="ar"/>
              </w:rPr>
              <w:t>0</w:t>
            </w:r>
            <w:r>
              <w:rPr>
                <w:rFonts w:hint="eastAsia" w:ascii="黑体" w:hAnsi="宋体" w:eastAsia="黑体" w:cs="黑体"/>
                <w:kern w:val="0"/>
                <w:sz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黑体"/>
                <w:lang w:val="en-US" w:eastAsia="zh-CN"/>
              </w:rPr>
            </w:pPr>
            <w:r>
              <w:rPr>
                <w:rFonts w:hint="eastAsia" w:ascii="黑体" w:hAnsi="宋体" w:eastAsia="黑体" w:cs="黑体"/>
                <w:kern w:val="0"/>
                <w:sz w:val="20"/>
                <w:lang w:val="en-US" w:eastAsia="zh-CN" w:bidi="ar"/>
              </w:rPr>
              <w:t>0</w:t>
            </w:r>
            <w:r>
              <w:rPr>
                <w:rFonts w:hint="eastAsia" w:ascii="黑体" w:hAnsi="宋体" w:eastAsia="黑体" w:cs="黑体"/>
                <w:kern w:val="0"/>
                <w:sz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黑体"/>
                <w:lang w:val="en-US" w:eastAsia="zh-CN"/>
              </w:rPr>
            </w:pPr>
            <w:r>
              <w:rPr>
                <w:rFonts w:hint="eastAsia" w:ascii="黑体" w:hAnsi="宋体" w:eastAsia="黑体" w:cs="黑体"/>
                <w:kern w:val="0"/>
                <w:sz w:val="20"/>
                <w:lang w:val="en-US" w:eastAsia="zh-CN" w:bidi="ar"/>
              </w:rPr>
              <w:t>0</w:t>
            </w:r>
            <w:r>
              <w:rPr>
                <w:rFonts w:hint="eastAsia" w:ascii="黑体" w:hAnsi="宋体" w:eastAsia="黑体" w:cs="黑体"/>
                <w:kern w:val="0"/>
                <w:sz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黑体"/>
                <w:lang w:val="en-US" w:eastAsia="zh-CN"/>
              </w:rPr>
            </w:pPr>
            <w:r>
              <w:rPr>
                <w:rFonts w:hint="eastAsia" w:ascii="黑体" w:hAnsi="宋体" w:eastAsia="黑体" w:cs="黑体"/>
                <w:kern w:val="0"/>
                <w:sz w:val="20"/>
                <w:lang w:val="en-US" w:eastAsia="zh-CN" w:bidi="ar"/>
              </w:rPr>
              <w:t>0</w:t>
            </w:r>
            <w:r>
              <w:rPr>
                <w:rFonts w:hint="eastAsia" w:ascii="黑体" w:hAnsi="宋体" w:eastAsia="黑体" w:cs="黑体"/>
                <w:kern w:val="0"/>
                <w:sz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黑体"/>
                <w:lang w:val="en-US" w:eastAsia="zh-CN"/>
              </w:rPr>
            </w:pPr>
            <w:r>
              <w:rPr>
                <w:rFonts w:hint="eastAsia" w:ascii="黑体" w:hAnsi="宋体" w:eastAsia="黑体" w:cs="黑体"/>
                <w:kern w:val="0"/>
                <w:sz w:val="20"/>
                <w:lang w:val="en-US" w:eastAsia="zh-CN" w:bidi="ar"/>
              </w:rPr>
              <w:t>0</w:t>
            </w:r>
            <w:r>
              <w:rPr>
                <w:rFonts w:hint="eastAsia" w:ascii="黑体" w:hAnsi="宋体" w:eastAsia="黑体" w:cs="黑体"/>
                <w:kern w:val="0"/>
                <w:sz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黑体"/>
                <w:lang w:val="en-US" w:eastAsia="zh-CN"/>
              </w:rPr>
            </w:pPr>
            <w:r>
              <w:rPr>
                <w:rFonts w:hint="eastAsia" w:ascii="黑体" w:hAnsi="宋体" w:eastAsia="黑体" w:cs="黑体"/>
                <w:kern w:val="0"/>
                <w:sz w:val="20"/>
                <w:lang w:val="en-US" w:eastAsia="zh-CN" w:bidi="ar"/>
              </w:rPr>
              <w:t>0</w:t>
            </w:r>
            <w:r>
              <w:rPr>
                <w:rFonts w:hint="eastAsia" w:ascii="黑体" w:hAnsi="宋体" w:eastAsia="黑体" w:cs="黑体"/>
                <w:kern w:val="0"/>
                <w:sz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黑体"/>
                <w:lang w:val="en-US" w:eastAsia="zh-CN"/>
              </w:rPr>
            </w:pPr>
            <w:r>
              <w:rPr>
                <w:rFonts w:hint="eastAsia" w:ascii="黑体" w:hAnsi="宋体" w:eastAsia="黑体" w:cs="黑体"/>
                <w:kern w:val="0"/>
                <w:sz w:val="20"/>
                <w:lang w:val="en-US" w:eastAsia="zh-CN" w:bidi="ar"/>
              </w:rPr>
              <w:t>0</w:t>
            </w:r>
            <w:r>
              <w:rPr>
                <w:rFonts w:hint="eastAsia" w:ascii="黑体" w:hAnsi="宋体" w:eastAsia="黑体" w:cs="黑体"/>
                <w:kern w:val="0"/>
                <w:sz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eastAsia="黑体"/>
                <w:lang w:val="en-US" w:eastAsia="zh-CN"/>
              </w:rPr>
            </w:pPr>
            <w:r>
              <w:rPr>
                <w:rFonts w:hint="eastAsia" w:ascii="黑体" w:hAnsi="宋体" w:eastAsia="黑体" w:cs="黑体"/>
                <w:kern w:val="0"/>
                <w:sz w:val="20"/>
                <w:lang w:val="en-US" w:eastAsia="zh-CN" w:bidi="ar"/>
              </w:rPr>
              <w:t>0</w:t>
            </w:r>
            <w:r>
              <w:rPr>
                <w:rFonts w:hint="eastAsia" w:ascii="黑体" w:hAnsi="宋体" w:eastAsia="黑体" w:cs="黑体"/>
                <w:kern w:val="0"/>
                <w:sz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黑体"/>
                <w:lang w:val="en-US" w:eastAsia="zh-CN"/>
              </w:rPr>
            </w:pPr>
            <w:r>
              <w:rPr>
                <w:rFonts w:hint="eastAsia" w:ascii="黑体" w:hAnsi="宋体" w:eastAsia="黑体" w:cs="黑体"/>
                <w:kern w:val="0"/>
                <w:sz w:val="20"/>
                <w:lang w:val="en-US" w:eastAsia="zh-CN" w:bidi="ar"/>
              </w:rPr>
              <w:t>0</w:t>
            </w:r>
            <w:r>
              <w:rPr>
                <w:rFonts w:hint="eastAsia" w:ascii="黑体" w:hAnsi="宋体" w:eastAsia="黑体" w:cs="黑体"/>
                <w:kern w:val="0"/>
                <w:sz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黑体"/>
                <w:lang w:val="en-US" w:eastAsia="zh-CN"/>
              </w:rPr>
            </w:pPr>
            <w:r>
              <w:rPr>
                <w:rFonts w:hint="eastAsia" w:ascii="黑体" w:hAnsi="宋体" w:eastAsia="黑体" w:cs="黑体"/>
                <w:kern w:val="0"/>
                <w:sz w:val="20"/>
                <w:lang w:val="en-US" w:eastAsia="zh-CN" w:bidi="ar"/>
              </w:rPr>
              <w:t>0</w:t>
            </w:r>
            <w:r>
              <w:rPr>
                <w:rFonts w:hint="eastAsia" w:ascii="黑体" w:hAnsi="宋体" w:eastAsia="黑体" w:cs="黑体"/>
                <w:kern w:val="0"/>
                <w:sz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黑体"/>
                <w:lang w:val="en-US" w:eastAsia="zh-CN"/>
              </w:rPr>
            </w:pPr>
            <w:r>
              <w:rPr>
                <w:rFonts w:hint="eastAsia" w:ascii="黑体" w:hAnsi="宋体" w:eastAsia="黑体" w:cs="黑体"/>
                <w:kern w:val="0"/>
                <w:sz w:val="20"/>
                <w:lang w:val="en-US" w:eastAsia="zh-CN" w:bidi="ar"/>
              </w:rPr>
              <w:t>0</w:t>
            </w:r>
            <w:r>
              <w:rPr>
                <w:rFonts w:hint="eastAsia" w:ascii="黑体" w:hAnsi="宋体" w:eastAsia="黑体" w:cs="黑体"/>
                <w:kern w:val="0"/>
                <w:sz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eastAsia="黑体"/>
                <w:lang w:val="en-US" w:eastAsia="zh-CN"/>
              </w:rPr>
            </w:pPr>
            <w:r>
              <w:rPr>
                <w:rFonts w:hint="eastAsia" w:ascii="黑体" w:hAnsi="宋体" w:eastAsia="黑体" w:cs="黑体"/>
                <w:kern w:val="0"/>
                <w:sz w:val="20"/>
                <w:lang w:val="en-US" w:eastAsia="zh-CN" w:bidi="ar"/>
              </w:rPr>
              <w:t>0</w:t>
            </w:r>
            <w:r>
              <w:rPr>
                <w:rFonts w:hint="eastAsia" w:ascii="黑体" w:hAnsi="宋体" w:eastAsia="黑体" w:cs="黑体"/>
                <w:kern w:val="0"/>
                <w:sz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widowControl w:val="0"/>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五、存在的主要问题及改进情况</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2021</w:t>
      </w:r>
      <w:r>
        <w:rPr>
          <w:rFonts w:hint="eastAsia" w:ascii="仿宋_GB2312" w:eastAsia="仿宋_GB2312"/>
          <w:sz w:val="32"/>
          <w:szCs w:val="32"/>
        </w:rPr>
        <w:t>年，我局在政府信息公开方面</w:t>
      </w:r>
      <w:r>
        <w:rPr>
          <w:rFonts w:hint="eastAsia" w:ascii="仿宋_GB2312" w:eastAsia="仿宋_GB2312"/>
          <w:sz w:val="32"/>
          <w:szCs w:val="32"/>
          <w:lang w:eastAsia="zh-CN"/>
        </w:rPr>
        <w:t>虽然取得了一定的成绩，但在很多方面还存在不足</w:t>
      </w:r>
      <w:r>
        <w:rPr>
          <w:rFonts w:hint="eastAsia" w:ascii="仿宋_GB2312" w:eastAsia="仿宋_GB2312"/>
          <w:sz w:val="32"/>
          <w:szCs w:val="32"/>
        </w:rPr>
        <w:t>。主要表现在</w:t>
      </w:r>
      <w:r>
        <w:rPr>
          <w:rFonts w:hint="eastAsia" w:ascii="仿宋_GB2312" w:eastAsia="仿宋_GB2312"/>
          <w:sz w:val="32"/>
          <w:szCs w:val="32"/>
          <w:lang w:eastAsia="zh-CN"/>
        </w:rPr>
        <w:t>公开力度不够，内容形式还较为单一，缺乏多元化，现公开工作和社会公众的期待还有一定差距。</w:t>
      </w:r>
    </w:p>
    <w:p>
      <w:pPr>
        <w:ind w:firstLine="640" w:firstLineChars="200"/>
        <w:rPr>
          <w:rFonts w:hint="eastAsia" w:eastAsia="方正仿宋_GBK"/>
          <w:sz w:val="32"/>
          <w:szCs w:val="32"/>
          <w:lang w:eastAsia="zh-CN"/>
        </w:rPr>
      </w:pPr>
      <w:r>
        <w:rPr>
          <w:rFonts w:hint="eastAsia" w:ascii="仿宋_GB2312" w:eastAsia="仿宋_GB2312"/>
          <w:sz w:val="32"/>
          <w:szCs w:val="32"/>
          <w:lang w:eastAsia="zh-CN"/>
        </w:rPr>
        <w:t>为此我们在接下来的</w:t>
      </w:r>
      <w:r>
        <w:rPr>
          <w:rFonts w:hint="eastAsia" w:eastAsia="方正仿宋_GBK"/>
          <w:sz w:val="32"/>
          <w:szCs w:val="32"/>
        </w:rPr>
        <w:t>工作中，将继续积极贯彻落实省、市</w:t>
      </w:r>
      <w:r>
        <w:rPr>
          <w:rFonts w:hint="eastAsia" w:eastAsia="方正仿宋_GBK"/>
          <w:sz w:val="32"/>
          <w:szCs w:val="32"/>
          <w:lang w:eastAsia="zh-CN"/>
        </w:rPr>
        <w:t>、区</w:t>
      </w:r>
      <w:r>
        <w:rPr>
          <w:rFonts w:hint="eastAsia" w:eastAsia="方正仿宋_GBK"/>
          <w:sz w:val="32"/>
          <w:szCs w:val="32"/>
        </w:rPr>
        <w:t>关于政府信息公开工作的部署要求，立足工作实际</w:t>
      </w:r>
      <w:r>
        <w:rPr>
          <w:rFonts w:hint="eastAsia" w:eastAsia="方正仿宋_GBK"/>
          <w:sz w:val="32"/>
          <w:szCs w:val="32"/>
          <w:lang w:eastAsia="zh-CN"/>
        </w:rPr>
        <w:t>，</w:t>
      </w:r>
      <w:r>
        <w:rPr>
          <w:rFonts w:hint="eastAsia" w:eastAsia="方正仿宋_GBK"/>
          <w:sz w:val="32"/>
          <w:szCs w:val="32"/>
        </w:rPr>
        <w:t>进一步做好</w:t>
      </w:r>
      <w:r>
        <w:rPr>
          <w:rFonts w:hint="eastAsia" w:eastAsia="方正仿宋_GBK"/>
          <w:sz w:val="32"/>
          <w:szCs w:val="32"/>
          <w:lang w:eastAsia="zh-CN"/>
        </w:rPr>
        <w:t>我局</w:t>
      </w:r>
      <w:r>
        <w:rPr>
          <w:rFonts w:hint="eastAsia" w:eastAsia="方正仿宋_GBK"/>
          <w:sz w:val="32"/>
          <w:szCs w:val="32"/>
        </w:rPr>
        <w:t>政府信息公开工作</w:t>
      </w:r>
      <w:r>
        <w:rPr>
          <w:rFonts w:hint="eastAsia" w:eastAsia="方正仿宋_GBK"/>
          <w:sz w:val="32"/>
          <w:szCs w:val="32"/>
          <w:lang w:eastAsia="zh-CN"/>
        </w:rPr>
        <w:t>。</w:t>
      </w:r>
    </w:p>
    <w:p>
      <w:pPr>
        <w:ind w:firstLine="640" w:firstLineChars="200"/>
        <w:rPr>
          <w:rFonts w:hint="eastAsia" w:ascii="方正仿宋_GBK" w:hAnsi="方正仿宋_GBK" w:eastAsia="方正仿宋_GBK" w:cs="方正仿宋_GBK"/>
          <w:sz w:val="32"/>
          <w:szCs w:val="32"/>
          <w:lang w:eastAsia="zh-CN"/>
        </w:rPr>
      </w:pPr>
      <w:r>
        <w:rPr>
          <w:rFonts w:hint="eastAsia" w:ascii="仿宋_GB2312" w:eastAsia="仿宋_GB2312"/>
          <w:sz w:val="32"/>
          <w:szCs w:val="32"/>
          <w:lang w:eastAsia="zh-CN"/>
        </w:rPr>
        <w:t>一是加强我局内部政府信息公开工作考核，明确主体责任，细化公开工作。二是</w:t>
      </w:r>
      <w:r>
        <w:rPr>
          <w:rFonts w:hint="eastAsia" w:ascii="仿宋_GB2312" w:eastAsia="仿宋_GB2312"/>
          <w:sz w:val="32"/>
          <w:szCs w:val="32"/>
        </w:rPr>
        <w:t>加</w:t>
      </w:r>
      <w:r>
        <w:rPr>
          <w:rFonts w:hint="eastAsia" w:ascii="仿宋_GB2312" w:eastAsia="仿宋_GB2312"/>
          <w:sz w:val="32"/>
          <w:szCs w:val="32"/>
          <w:lang w:eastAsia="zh-CN"/>
        </w:rPr>
        <w:t>大条例宣传力度，</w:t>
      </w:r>
      <w:r>
        <w:rPr>
          <w:rFonts w:hint="eastAsia" w:ascii="仿宋_GB2312" w:eastAsia="仿宋_GB2312"/>
          <w:sz w:val="32"/>
          <w:szCs w:val="32"/>
        </w:rPr>
        <w:t>对《中华人民共和国政府信息公开条例》</w:t>
      </w:r>
      <w:r>
        <w:rPr>
          <w:rFonts w:hint="eastAsia" w:ascii="仿宋_GB2312" w:eastAsia="仿宋_GB2312"/>
          <w:sz w:val="32"/>
          <w:szCs w:val="32"/>
          <w:lang w:eastAsia="zh-CN"/>
        </w:rPr>
        <w:t>继续做好</w:t>
      </w:r>
      <w:r>
        <w:rPr>
          <w:rFonts w:hint="eastAsia" w:ascii="仿宋_GB2312" w:eastAsia="仿宋_GB2312"/>
          <w:sz w:val="32"/>
          <w:szCs w:val="32"/>
        </w:rPr>
        <w:t>宣传，强化信息公开工作相关业务人员的业务水平</w:t>
      </w:r>
      <w:r>
        <w:rPr>
          <w:rFonts w:hint="eastAsia" w:ascii="仿宋_GB2312" w:eastAsia="仿宋_GB2312"/>
          <w:sz w:val="32"/>
          <w:szCs w:val="32"/>
          <w:lang w:eastAsia="zh-CN"/>
        </w:rPr>
        <w:t>和工作能力</w:t>
      </w:r>
      <w:r>
        <w:rPr>
          <w:rFonts w:hint="eastAsia" w:ascii="仿宋_GB2312" w:eastAsia="仿宋_GB2312"/>
          <w:sz w:val="32"/>
          <w:szCs w:val="32"/>
        </w:rPr>
        <w:t>。</w:t>
      </w:r>
      <w:r>
        <w:rPr>
          <w:rFonts w:hint="eastAsia" w:ascii="方正仿宋_GBK" w:hAnsi="方正仿宋_GBK" w:eastAsia="方正仿宋_GBK" w:cs="方正仿宋_GBK"/>
          <w:sz w:val="32"/>
          <w:szCs w:val="32"/>
        </w:rPr>
        <w:t>三是进一步提升依申请公开依法规范水平，规范依申请公开办理流程，提高依申请公开答复水平。四是进一步完善政府信息公开平台建设</w:t>
      </w:r>
      <w:r>
        <w:rPr>
          <w:rFonts w:hint="eastAsia" w:ascii="方正仿宋_GBK" w:hAnsi="方正仿宋_GBK" w:eastAsia="方正仿宋_GBK" w:cs="方正仿宋_GBK"/>
          <w:sz w:val="32"/>
          <w:szCs w:val="32"/>
          <w:lang w:eastAsia="zh-CN"/>
        </w:rPr>
        <w:t>。</w:t>
      </w:r>
    </w:p>
    <w:p>
      <w:pPr>
        <w:widowControl w:val="0"/>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六、其他需要报告的事项</w:t>
      </w:r>
    </w:p>
    <w:p>
      <w:pPr>
        <w:widowControl w:val="0"/>
        <w:spacing w:line="590" w:lineRule="exact"/>
        <w:ind w:firstLine="640" w:firstLineChars="200"/>
        <w:rPr>
          <w:rFonts w:hint="eastAsia" w:eastAsia="方正仿宋_GBK"/>
          <w:sz w:val="32"/>
          <w:szCs w:val="32"/>
          <w:lang w:eastAsia="zh-CN"/>
        </w:rPr>
      </w:pPr>
      <w:r>
        <w:rPr>
          <w:rFonts w:hint="eastAsia" w:eastAsia="方正仿宋_GBK"/>
          <w:sz w:val="32"/>
          <w:szCs w:val="32"/>
          <w:lang w:eastAsia="zh-CN"/>
        </w:rPr>
        <w:t>我局无其他报告事项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C0210"/>
    <w:rsid w:val="1CFC0210"/>
    <w:rsid w:val="1E350B6A"/>
    <w:rsid w:val="516C7626"/>
    <w:rsid w:val="75E307C2"/>
    <w:rsid w:val="78236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19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2022-01-25T06:27:00Z</dcterms:created>
  <dc:creator>Administrator</dc:creator>
  <cp:lastModifiedBy>Administrator</cp:lastModifiedBy>
  <dcterms:modified xsi:type="dcterms:W3CDTF">2022-01-28T01:56:58Z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