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color w:val="auto"/>
        </w:rPr>
        <w:id w:val="147465188"/>
        <w:docPartObj>
          <w:docPartGallery w:val="Table of Contents"/>
          <w:docPartUnique/>
        </w:docPartObj>
      </w:sdtPr>
      <w:sdtEndPr>
        <w:rPr>
          <w:rFonts w:ascii="宋体" w:hAnsi="宋体"/>
          <w:color w:val="auto"/>
        </w:rPr>
      </w:sdtEndPr>
      <w:sdtContent>
        <w:p>
          <w:pPr>
            <w:jc w:val="center"/>
            <w:rPr>
              <w:rFonts w:ascii="宋体" w:hAnsi="宋体"/>
              <w:color w:val="auto"/>
            </w:rPr>
          </w:pPr>
        </w:p>
        <w:p>
          <w:pPr>
            <w:jc w:val="center"/>
            <w:rPr>
              <w:rFonts w:ascii="宋体" w:hAnsi="宋体"/>
              <w:color w:val="auto"/>
            </w:rPr>
          </w:pPr>
        </w:p>
        <w:p>
          <w:pPr>
            <w:jc w:val="center"/>
            <w:rPr>
              <w:rFonts w:ascii="宋体" w:hAnsi="宋体"/>
              <w:color w:val="auto"/>
            </w:rPr>
          </w:pPr>
        </w:p>
        <w:p>
          <w:pPr>
            <w:jc w:val="center"/>
            <w:rPr>
              <w:rFonts w:ascii="黑体" w:hAnsi="黑体" w:eastAsia="黑体" w:cs="黑体"/>
              <w:color w:val="auto"/>
              <w:sz w:val="40"/>
              <w:szCs w:val="48"/>
            </w:rPr>
          </w:pPr>
          <w:bookmarkStart w:id="0" w:name="_Toc22846"/>
          <w:r>
            <w:rPr>
              <w:rFonts w:hint="eastAsia" w:ascii="黑体" w:hAnsi="黑体" w:eastAsia="黑体" w:cs="黑体"/>
              <w:color w:val="auto"/>
              <w:sz w:val="40"/>
              <w:szCs w:val="48"/>
            </w:rPr>
            <w:t>云南省防震减灾“十四五”规划</w:t>
          </w:r>
          <w:bookmarkEnd w:id="0"/>
        </w:p>
        <w:p>
          <w:pPr>
            <w:jc w:val="center"/>
            <w:rPr>
              <w:rFonts w:ascii="黑体" w:hAnsi="黑体" w:eastAsia="黑体" w:cs="黑体"/>
              <w:color w:val="auto"/>
              <w:sz w:val="40"/>
              <w:szCs w:val="48"/>
            </w:rPr>
          </w:pPr>
          <w:r>
            <w:rPr>
              <w:rFonts w:hint="eastAsia" w:ascii="楷体" w:hAnsi="楷体" w:eastAsia="楷体" w:cs="楷体"/>
              <w:color w:val="auto"/>
              <w:sz w:val="28"/>
              <w:szCs w:val="36"/>
            </w:rPr>
            <w:t>（公众征求意见稿）</w:t>
          </w: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p>
        <w:p>
          <w:pPr>
            <w:jc w:val="center"/>
            <w:rPr>
              <w:rFonts w:asciiTheme="majorEastAsia" w:hAnsiTheme="majorEastAsia" w:eastAsiaTheme="majorEastAsia"/>
              <w:color w:val="auto"/>
              <w:sz w:val="28"/>
              <w:szCs w:val="28"/>
            </w:rPr>
          </w:pPr>
          <w:r>
            <w:rPr>
              <w:rFonts w:hint="eastAsia" w:asciiTheme="majorEastAsia" w:hAnsiTheme="majorEastAsia" w:eastAsiaTheme="majorEastAsia"/>
              <w:color w:val="auto"/>
              <w:sz w:val="28"/>
              <w:szCs w:val="28"/>
            </w:rPr>
            <w:t>云南省地震局</w:t>
          </w:r>
        </w:p>
        <w:p>
          <w:pPr>
            <w:jc w:val="center"/>
            <w:rPr>
              <w:rFonts w:asciiTheme="majorEastAsia" w:hAnsiTheme="majorEastAsia" w:eastAsiaTheme="majorEastAsia"/>
              <w:color w:val="auto"/>
              <w:sz w:val="28"/>
              <w:szCs w:val="28"/>
            </w:rPr>
            <w:sectPr>
              <w:pgSz w:w="11906" w:h="16838"/>
              <w:pgMar w:top="1440" w:right="1800" w:bottom="1440" w:left="1800" w:header="851" w:footer="992" w:gutter="0"/>
              <w:cols w:space="720" w:num="1"/>
              <w:docGrid w:type="lines" w:linePitch="312" w:charSpace="0"/>
            </w:sectPr>
          </w:pPr>
          <w:r>
            <w:rPr>
              <w:rFonts w:hint="eastAsia" w:asciiTheme="majorEastAsia" w:hAnsiTheme="majorEastAsia" w:eastAsiaTheme="majorEastAsia"/>
              <w:color w:val="auto"/>
              <w:sz w:val="28"/>
              <w:szCs w:val="28"/>
            </w:rPr>
            <w:t>2021年6月</w:t>
          </w:r>
        </w:p>
        <w:p>
          <w:pPr>
            <w:jc w:val="center"/>
            <w:rPr>
              <w:color w:val="auto"/>
            </w:rPr>
          </w:pPr>
          <w:r>
            <w:rPr>
              <w:rFonts w:ascii="宋体" w:hAnsi="宋体"/>
              <w:color w:val="auto"/>
            </w:rPr>
            <w:t>目</w:t>
          </w:r>
          <w:r>
            <w:rPr>
              <w:rFonts w:hint="eastAsia" w:ascii="宋体" w:hAnsi="宋体"/>
              <w:color w:val="auto"/>
            </w:rPr>
            <w:t xml:space="preserve">  </w:t>
          </w:r>
          <w:r>
            <w:rPr>
              <w:rFonts w:ascii="宋体" w:hAnsi="宋体"/>
              <w:color w:val="auto"/>
            </w:rPr>
            <w:t>录</w:t>
          </w:r>
        </w:p>
        <w:p>
          <w:pPr>
            <w:pStyle w:val="11"/>
            <w:tabs>
              <w:tab w:val="right" w:leader="dot" w:pos="8306"/>
            </w:tabs>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"_Toc443" </w:instrText>
          </w:r>
          <w:r>
            <w:rPr>
              <w:color w:val="auto"/>
            </w:rPr>
            <w:fldChar w:fldCharType="separate"/>
          </w:r>
          <w:r>
            <w:rPr>
              <w:rFonts w:hint="eastAsia" w:ascii="黑体" w:hAnsi="黑体" w:eastAsia="黑体" w:cs="黑体"/>
              <w:bCs/>
              <w:color w:val="auto"/>
              <w:szCs w:val="36"/>
            </w:rPr>
            <w:t>一、现状与形势</w:t>
          </w:r>
          <w:r>
            <w:rPr>
              <w:color w:val="auto"/>
            </w:rPr>
            <w:tab/>
          </w:r>
          <w:r>
            <w:rPr>
              <w:color w:val="auto"/>
            </w:rPr>
            <w:fldChar w:fldCharType="begin"/>
          </w:r>
          <w:r>
            <w:rPr>
              <w:color w:val="auto"/>
            </w:rPr>
            <w:instrText xml:space="preserve"> PAGEREF _Toc443 \h </w:instrText>
          </w:r>
          <w:r>
            <w:rPr>
              <w:color w:val="auto"/>
            </w:rPr>
            <w:fldChar w:fldCharType="separate"/>
          </w:r>
          <w:r>
            <w:rPr>
              <w:color w:val="auto"/>
            </w:rPr>
            <w:t>2</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"_Toc5322" </w:instrText>
          </w:r>
          <w:r>
            <w:rPr>
              <w:color w:val="auto"/>
            </w:rPr>
            <w:fldChar w:fldCharType="separate"/>
          </w:r>
          <w:r>
            <w:rPr>
              <w:rFonts w:hint="eastAsia"/>
              <w:bCs/>
              <w:color w:val="auto"/>
              <w:szCs w:val="32"/>
            </w:rPr>
            <w:t>（一）“十三五”时期发展成效</w:t>
          </w:r>
          <w:r>
            <w:rPr>
              <w:color w:val="auto"/>
            </w:rPr>
            <w:tab/>
          </w:r>
          <w:r>
            <w:rPr>
              <w:color w:val="auto"/>
            </w:rPr>
            <w:fldChar w:fldCharType="begin"/>
          </w:r>
          <w:r>
            <w:rPr>
              <w:color w:val="auto"/>
            </w:rPr>
            <w:instrText xml:space="preserve"> PAGEREF _Toc5322 \h </w:instrText>
          </w:r>
          <w:r>
            <w:rPr>
              <w:color w:val="auto"/>
            </w:rPr>
            <w:fldChar w:fldCharType="separate"/>
          </w:r>
          <w:r>
            <w:rPr>
              <w:color w:val="auto"/>
            </w:rPr>
            <w:t>2</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"_Toc16605" </w:instrText>
          </w:r>
          <w:r>
            <w:rPr>
              <w:color w:val="auto"/>
            </w:rPr>
            <w:fldChar w:fldCharType="separate"/>
          </w:r>
          <w:r>
            <w:rPr>
              <w:rFonts w:hint="eastAsia"/>
              <w:bCs/>
              <w:color w:val="auto"/>
              <w:szCs w:val="32"/>
            </w:rPr>
            <w:t>（二）“十四五”时期面临的形势</w:t>
          </w:r>
          <w:r>
            <w:rPr>
              <w:color w:val="auto"/>
            </w:rPr>
            <w:tab/>
          </w:r>
          <w:r>
            <w:rPr>
              <w:color w:val="auto"/>
            </w:rPr>
            <w:fldChar w:fldCharType="begin"/>
          </w:r>
          <w:r>
            <w:rPr>
              <w:color w:val="auto"/>
            </w:rPr>
            <w:instrText xml:space="preserve"> PAGEREF _Toc16605 \h </w:instrText>
          </w:r>
          <w:r>
            <w:rPr>
              <w:color w:val="auto"/>
            </w:rPr>
            <w:fldChar w:fldCharType="separate"/>
          </w:r>
          <w:r>
            <w:rPr>
              <w:color w:val="auto"/>
            </w:rPr>
            <w:t>4</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"_Toc16017" </w:instrText>
          </w:r>
          <w:r>
            <w:rPr>
              <w:color w:val="auto"/>
            </w:rPr>
            <w:fldChar w:fldCharType="separate"/>
          </w:r>
          <w:r>
            <w:rPr>
              <w:rFonts w:hint="eastAsia"/>
              <w:bCs/>
              <w:color w:val="auto"/>
              <w:szCs w:val="32"/>
            </w:rPr>
            <w:t>（三）“十四五”时期问题与挑战</w:t>
          </w:r>
          <w:r>
            <w:rPr>
              <w:color w:val="auto"/>
            </w:rPr>
            <w:tab/>
          </w:r>
          <w:r>
            <w:rPr>
              <w:color w:val="auto"/>
            </w:rPr>
            <w:fldChar w:fldCharType="begin"/>
          </w:r>
          <w:r>
            <w:rPr>
              <w:color w:val="auto"/>
            </w:rPr>
            <w:instrText xml:space="preserve"> PAGEREF _Toc16017 \h </w:instrText>
          </w:r>
          <w:r>
            <w:rPr>
              <w:color w:val="auto"/>
            </w:rPr>
            <w:fldChar w:fldCharType="separate"/>
          </w:r>
          <w:r>
            <w:rPr>
              <w:color w:val="auto"/>
            </w:rPr>
            <w:t>5</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"_Toc27291" </w:instrText>
          </w:r>
          <w:r>
            <w:rPr>
              <w:color w:val="auto"/>
            </w:rPr>
            <w:fldChar w:fldCharType="separate"/>
          </w:r>
          <w:r>
            <w:rPr>
              <w:rFonts w:hint="eastAsia" w:ascii="黑体" w:hAnsi="黑体" w:eastAsia="黑体" w:cs="黑体"/>
              <w:bCs/>
              <w:color w:val="auto"/>
              <w:szCs w:val="36"/>
            </w:rPr>
            <w:t>二、指导思想、基本原则和主要目标</w:t>
          </w:r>
          <w:r>
            <w:rPr>
              <w:color w:val="auto"/>
            </w:rPr>
            <w:tab/>
          </w:r>
          <w:r>
            <w:rPr>
              <w:color w:val="auto"/>
            </w:rPr>
            <w:fldChar w:fldCharType="begin"/>
          </w:r>
          <w:r>
            <w:rPr>
              <w:color w:val="auto"/>
            </w:rPr>
            <w:instrText xml:space="preserve"> PAGEREF _Toc27291 \h </w:instrText>
          </w:r>
          <w:r>
            <w:rPr>
              <w:color w:val="auto"/>
            </w:rPr>
            <w:fldChar w:fldCharType="separate"/>
          </w:r>
          <w:r>
            <w:rPr>
              <w:color w:val="auto"/>
            </w:rPr>
            <w:t>6</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"_Toc13884" </w:instrText>
          </w:r>
          <w:r>
            <w:rPr>
              <w:color w:val="auto"/>
            </w:rPr>
            <w:fldChar w:fldCharType="separate"/>
          </w:r>
          <w:r>
            <w:rPr>
              <w:rFonts w:hint="eastAsia"/>
              <w:bCs/>
              <w:color w:val="auto"/>
              <w:szCs w:val="32"/>
            </w:rPr>
            <w:t>（一）指导思想</w:t>
          </w:r>
          <w:r>
            <w:rPr>
              <w:color w:val="auto"/>
            </w:rPr>
            <w:tab/>
          </w:r>
          <w:r>
            <w:rPr>
              <w:color w:val="auto"/>
            </w:rPr>
            <w:fldChar w:fldCharType="begin"/>
          </w:r>
          <w:r>
            <w:rPr>
              <w:color w:val="auto"/>
            </w:rPr>
            <w:instrText xml:space="preserve"> PAGEREF _Toc13884 \h </w:instrText>
          </w:r>
          <w:r>
            <w:rPr>
              <w:color w:val="auto"/>
            </w:rPr>
            <w:fldChar w:fldCharType="separate"/>
          </w:r>
          <w:r>
            <w:rPr>
              <w:color w:val="auto"/>
            </w:rPr>
            <w:t>6</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"_Toc26256" </w:instrText>
          </w:r>
          <w:r>
            <w:rPr>
              <w:color w:val="auto"/>
            </w:rPr>
            <w:fldChar w:fldCharType="separate"/>
          </w:r>
          <w:r>
            <w:rPr>
              <w:rFonts w:hint="eastAsia"/>
              <w:bCs/>
              <w:color w:val="auto"/>
              <w:szCs w:val="32"/>
            </w:rPr>
            <w:t>（二）基本原则</w:t>
          </w:r>
          <w:r>
            <w:rPr>
              <w:color w:val="auto"/>
            </w:rPr>
            <w:tab/>
          </w:r>
          <w:r>
            <w:rPr>
              <w:color w:val="auto"/>
            </w:rPr>
            <w:fldChar w:fldCharType="begin"/>
          </w:r>
          <w:r>
            <w:rPr>
              <w:color w:val="auto"/>
            </w:rPr>
            <w:instrText xml:space="preserve"> PAGEREF _Toc26256 \h </w:instrText>
          </w:r>
          <w:r>
            <w:rPr>
              <w:color w:val="auto"/>
            </w:rPr>
            <w:fldChar w:fldCharType="separate"/>
          </w:r>
          <w:r>
            <w:rPr>
              <w:color w:val="auto"/>
            </w:rPr>
            <w:t>7</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"_Toc21663" </w:instrText>
          </w:r>
          <w:r>
            <w:rPr>
              <w:color w:val="auto"/>
            </w:rPr>
            <w:fldChar w:fldCharType="separate"/>
          </w:r>
          <w:r>
            <w:rPr>
              <w:rFonts w:hint="eastAsia"/>
              <w:bCs/>
              <w:color w:val="auto"/>
              <w:szCs w:val="32"/>
            </w:rPr>
            <w:t>（三）主要目标</w:t>
          </w:r>
          <w:r>
            <w:rPr>
              <w:color w:val="auto"/>
            </w:rPr>
            <w:tab/>
          </w:r>
          <w:r>
            <w:rPr>
              <w:color w:val="auto"/>
            </w:rPr>
            <w:fldChar w:fldCharType="begin"/>
          </w:r>
          <w:r>
            <w:rPr>
              <w:color w:val="auto"/>
            </w:rPr>
            <w:instrText xml:space="preserve"> PAGEREF _Toc21663 \h </w:instrText>
          </w:r>
          <w:r>
            <w:rPr>
              <w:color w:val="auto"/>
            </w:rPr>
            <w:fldChar w:fldCharType="separate"/>
          </w:r>
          <w:r>
            <w:rPr>
              <w:color w:val="auto"/>
            </w:rPr>
            <w:t>8</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"_Toc9019" </w:instrText>
          </w:r>
          <w:r>
            <w:rPr>
              <w:color w:val="auto"/>
            </w:rPr>
            <w:fldChar w:fldCharType="separate"/>
          </w:r>
          <w:r>
            <w:rPr>
              <w:rFonts w:hint="eastAsia" w:ascii="黑体" w:hAnsi="黑体" w:eastAsia="黑体" w:cs="黑体"/>
              <w:bCs/>
              <w:color w:val="auto"/>
              <w:szCs w:val="36"/>
            </w:rPr>
            <w:t>三、主要任务</w:t>
          </w:r>
          <w:r>
            <w:rPr>
              <w:color w:val="auto"/>
            </w:rPr>
            <w:tab/>
          </w:r>
          <w:r>
            <w:rPr>
              <w:color w:val="auto"/>
            </w:rPr>
            <w:fldChar w:fldCharType="begin"/>
          </w:r>
          <w:r>
            <w:rPr>
              <w:color w:val="auto"/>
            </w:rPr>
            <w:instrText xml:space="preserve"> PAGEREF _Toc9019 \h </w:instrText>
          </w:r>
          <w:r>
            <w:rPr>
              <w:color w:val="auto"/>
            </w:rPr>
            <w:fldChar w:fldCharType="separate"/>
          </w:r>
          <w:r>
            <w:rPr>
              <w:color w:val="auto"/>
            </w:rPr>
            <w:t>10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"_Toc27449" </w:instrText>
          </w:r>
          <w:r>
            <w:rPr>
              <w:color w:val="auto"/>
            </w:rPr>
            <w:fldChar w:fldCharType="separate"/>
          </w:r>
          <w:r>
            <w:rPr>
              <w:rFonts w:hint="eastAsia"/>
              <w:bCs/>
              <w:color w:val="auto"/>
              <w:szCs w:val="32"/>
            </w:rPr>
            <w:t>（一）提升地震监测预报预警能力</w:t>
          </w:r>
          <w:r>
            <w:rPr>
              <w:color w:val="auto"/>
            </w:rPr>
            <w:tab/>
          </w:r>
          <w:r>
            <w:rPr>
              <w:color w:val="auto"/>
            </w:rPr>
            <w:fldChar w:fldCharType="begin"/>
          </w:r>
          <w:r>
            <w:rPr>
              <w:color w:val="auto"/>
            </w:rPr>
            <w:instrText xml:space="preserve"> PAGEREF _Toc27449 \h </w:instrText>
          </w:r>
          <w:r>
            <w:rPr>
              <w:color w:val="auto"/>
            </w:rPr>
            <w:fldChar w:fldCharType="separate"/>
          </w:r>
          <w:r>
            <w:rPr>
              <w:color w:val="auto"/>
            </w:rPr>
            <w:t>10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"_Toc15672" </w:instrText>
          </w:r>
          <w:r>
            <w:rPr>
              <w:color w:val="auto"/>
            </w:rPr>
            <w:fldChar w:fldCharType="separate"/>
          </w:r>
          <w:r>
            <w:rPr>
              <w:rFonts w:hint="eastAsia"/>
              <w:bCs/>
              <w:color w:val="auto"/>
              <w:szCs w:val="32"/>
            </w:rPr>
            <w:t>（二）提升地震灾害风险防治能力</w:t>
          </w:r>
          <w:r>
            <w:rPr>
              <w:color w:val="auto"/>
            </w:rPr>
            <w:tab/>
          </w:r>
          <w:r>
            <w:rPr>
              <w:color w:val="auto"/>
            </w:rPr>
            <w:fldChar w:fldCharType="begin"/>
          </w:r>
          <w:r>
            <w:rPr>
              <w:color w:val="auto"/>
            </w:rPr>
            <w:instrText xml:space="preserve"> PAGEREF _Toc15672 \h </w:instrText>
          </w:r>
          <w:r>
            <w:rPr>
              <w:color w:val="auto"/>
            </w:rPr>
            <w:fldChar w:fldCharType="separate"/>
          </w:r>
          <w:r>
            <w:rPr>
              <w:color w:val="auto"/>
            </w:rPr>
            <w:t>11</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"_Toc14596" </w:instrText>
          </w:r>
          <w:r>
            <w:rPr>
              <w:color w:val="auto"/>
            </w:rPr>
            <w:fldChar w:fldCharType="separate"/>
          </w:r>
          <w:r>
            <w:rPr>
              <w:rFonts w:hint="eastAsia"/>
              <w:bCs/>
              <w:color w:val="auto"/>
            </w:rPr>
            <w:t>（三）提升防震减灾公共服务能力</w:t>
          </w:r>
          <w:r>
            <w:rPr>
              <w:color w:val="auto"/>
            </w:rPr>
            <w:tab/>
          </w:r>
          <w:r>
            <w:rPr>
              <w:color w:val="auto"/>
            </w:rPr>
            <w:fldChar w:fldCharType="begin"/>
          </w:r>
          <w:r>
            <w:rPr>
              <w:color w:val="auto"/>
            </w:rPr>
            <w:instrText xml:space="preserve"> PAGEREF _Toc14596 \h </w:instrText>
          </w:r>
          <w:r>
            <w:rPr>
              <w:color w:val="auto"/>
            </w:rPr>
            <w:fldChar w:fldCharType="separate"/>
          </w:r>
          <w:r>
            <w:rPr>
              <w:color w:val="auto"/>
            </w:rPr>
            <w:t>11</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"_Toc24889" </w:instrText>
          </w:r>
          <w:r>
            <w:rPr>
              <w:color w:val="auto"/>
            </w:rPr>
            <w:fldChar w:fldCharType="separate"/>
          </w:r>
          <w:r>
            <w:rPr>
              <w:rFonts w:hint="eastAsia"/>
              <w:bCs/>
              <w:color w:val="auto"/>
            </w:rPr>
            <w:t>（四）提升地震应急服务能力</w:t>
          </w:r>
          <w:r>
            <w:rPr>
              <w:color w:val="auto"/>
            </w:rPr>
            <w:tab/>
          </w:r>
          <w:r>
            <w:rPr>
              <w:color w:val="auto"/>
            </w:rPr>
            <w:fldChar w:fldCharType="begin"/>
          </w:r>
          <w:r>
            <w:rPr>
              <w:color w:val="auto"/>
            </w:rPr>
            <w:instrText xml:space="preserve"> PAGEREF _Toc24889 \h </w:instrText>
          </w:r>
          <w:r>
            <w:rPr>
              <w:color w:val="auto"/>
            </w:rPr>
            <w:fldChar w:fldCharType="separate"/>
          </w:r>
          <w:r>
            <w:rPr>
              <w:color w:val="auto"/>
            </w:rPr>
            <w:t>12</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"_Toc765" </w:instrText>
          </w:r>
          <w:r>
            <w:rPr>
              <w:color w:val="auto"/>
            </w:rPr>
            <w:fldChar w:fldCharType="separate"/>
          </w:r>
          <w:r>
            <w:rPr>
              <w:rFonts w:hint="eastAsia"/>
              <w:bCs/>
              <w:color w:val="auto"/>
            </w:rPr>
            <w:t>（五）增强地震科技支撑</w:t>
          </w:r>
          <w:r>
            <w:rPr>
              <w:color w:val="auto"/>
            </w:rPr>
            <w:tab/>
          </w:r>
          <w:r>
            <w:rPr>
              <w:color w:val="auto"/>
            </w:rPr>
            <w:fldChar w:fldCharType="begin"/>
          </w:r>
          <w:r>
            <w:rPr>
              <w:color w:val="auto"/>
            </w:rPr>
            <w:instrText xml:space="preserve"> PAGEREF _Toc765 \h </w:instrText>
          </w:r>
          <w:r>
            <w:rPr>
              <w:color w:val="auto"/>
            </w:rPr>
            <w:fldChar w:fldCharType="separate"/>
          </w:r>
          <w:r>
            <w:rPr>
              <w:color w:val="auto"/>
            </w:rPr>
            <w:t>13</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"_Toc18167" </w:instrText>
          </w:r>
          <w:r>
            <w:rPr>
              <w:color w:val="auto"/>
            </w:rPr>
            <w:fldChar w:fldCharType="separate"/>
          </w:r>
          <w:r>
            <w:rPr>
              <w:rFonts w:hint="eastAsia"/>
              <w:bCs/>
              <w:color w:val="auto"/>
            </w:rPr>
            <w:t>（六）推进防震减灾信息化</w:t>
          </w:r>
          <w:r>
            <w:rPr>
              <w:color w:val="auto"/>
            </w:rPr>
            <w:tab/>
          </w:r>
          <w:r>
            <w:rPr>
              <w:color w:val="auto"/>
            </w:rPr>
            <w:fldChar w:fldCharType="begin"/>
          </w:r>
          <w:r>
            <w:rPr>
              <w:color w:val="auto"/>
            </w:rPr>
            <w:instrText xml:space="preserve"> PAGEREF _Toc18167 \h </w:instrText>
          </w:r>
          <w:r>
            <w:rPr>
              <w:color w:val="auto"/>
            </w:rPr>
            <w:fldChar w:fldCharType="separate"/>
          </w:r>
          <w:r>
            <w:rPr>
              <w:color w:val="auto"/>
            </w:rPr>
            <w:t>14</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"_Toc21991" </w:instrText>
          </w:r>
          <w:r>
            <w:rPr>
              <w:color w:val="auto"/>
            </w:rPr>
            <w:fldChar w:fldCharType="separate"/>
          </w:r>
          <w:r>
            <w:rPr>
              <w:bCs/>
              <w:color w:val="auto"/>
            </w:rPr>
            <w:t>（七）加强地震人才支撑</w:t>
          </w:r>
          <w:r>
            <w:rPr>
              <w:color w:val="auto"/>
            </w:rPr>
            <w:tab/>
          </w:r>
          <w:r>
            <w:rPr>
              <w:color w:val="auto"/>
            </w:rPr>
            <w:fldChar w:fldCharType="begin"/>
          </w:r>
          <w:r>
            <w:rPr>
              <w:color w:val="auto"/>
            </w:rPr>
            <w:instrText xml:space="preserve"> PAGEREF _Toc21991 \h </w:instrText>
          </w:r>
          <w:r>
            <w:rPr>
              <w:color w:val="auto"/>
            </w:rPr>
            <w:fldChar w:fldCharType="separate"/>
          </w:r>
          <w:r>
            <w:rPr>
              <w:color w:val="auto"/>
            </w:rPr>
            <w:t>15</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"_Toc21614" </w:instrText>
          </w:r>
          <w:r>
            <w:rPr>
              <w:color w:val="auto"/>
            </w:rPr>
            <w:fldChar w:fldCharType="separate"/>
          </w:r>
          <w:r>
            <w:rPr>
              <w:rFonts w:hint="eastAsia"/>
              <w:bCs/>
              <w:color w:val="auto"/>
            </w:rPr>
            <w:t>（八）加强防震减灾法治建设</w:t>
          </w:r>
          <w:r>
            <w:rPr>
              <w:color w:val="auto"/>
            </w:rPr>
            <w:tab/>
          </w:r>
          <w:r>
            <w:rPr>
              <w:color w:val="auto"/>
            </w:rPr>
            <w:fldChar w:fldCharType="begin"/>
          </w:r>
          <w:r>
            <w:rPr>
              <w:color w:val="auto"/>
            </w:rPr>
            <w:instrText xml:space="preserve"> PAGEREF _Toc21614 \h </w:instrText>
          </w:r>
          <w:r>
            <w:rPr>
              <w:color w:val="auto"/>
            </w:rPr>
            <w:fldChar w:fldCharType="separate"/>
          </w:r>
          <w:r>
            <w:rPr>
              <w:color w:val="auto"/>
            </w:rPr>
            <w:t>15</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"_Toc25352" </w:instrText>
          </w:r>
          <w:r>
            <w:rPr>
              <w:color w:val="auto"/>
            </w:rPr>
            <w:fldChar w:fldCharType="separate"/>
          </w:r>
          <w:r>
            <w:rPr>
              <w:rFonts w:hint="eastAsia" w:ascii="黑体" w:hAnsi="黑体" w:eastAsia="黑体" w:cs="黑体"/>
              <w:bCs/>
              <w:color w:val="auto"/>
              <w:szCs w:val="36"/>
            </w:rPr>
            <w:t>四、重点项目</w:t>
          </w:r>
          <w:r>
            <w:rPr>
              <w:color w:val="auto"/>
            </w:rPr>
            <w:tab/>
          </w:r>
          <w:r>
            <w:rPr>
              <w:color w:val="auto"/>
            </w:rPr>
            <w:fldChar w:fldCharType="begin"/>
          </w:r>
          <w:r>
            <w:rPr>
              <w:color w:val="auto"/>
            </w:rPr>
            <w:instrText xml:space="preserve"> PAGEREF _Toc25352 \h </w:instrText>
          </w:r>
          <w:r>
            <w:rPr>
              <w:color w:val="auto"/>
            </w:rPr>
            <w:fldChar w:fldCharType="separate"/>
          </w:r>
          <w:r>
            <w:rPr>
              <w:color w:val="auto"/>
            </w:rPr>
            <w:t>15</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"_Toc13337" </w:instrText>
          </w:r>
          <w:r>
            <w:rPr>
              <w:color w:val="auto"/>
            </w:rPr>
            <w:fldChar w:fldCharType="separate"/>
          </w:r>
          <w:r>
            <w:rPr>
              <w:rFonts w:hint="eastAsia"/>
              <w:bCs/>
              <w:color w:val="auto"/>
            </w:rPr>
            <w:t>（一）防震减灾智能化工程</w:t>
          </w:r>
          <w:r>
            <w:rPr>
              <w:color w:val="auto"/>
            </w:rPr>
            <w:tab/>
          </w:r>
          <w:r>
            <w:rPr>
              <w:color w:val="auto"/>
            </w:rPr>
            <w:fldChar w:fldCharType="begin"/>
          </w:r>
          <w:r>
            <w:rPr>
              <w:color w:val="auto"/>
            </w:rPr>
            <w:instrText xml:space="preserve"> PAGEREF _Toc13337 \h </w:instrText>
          </w:r>
          <w:r>
            <w:rPr>
              <w:color w:val="auto"/>
            </w:rPr>
            <w:fldChar w:fldCharType="separate"/>
          </w:r>
          <w:r>
            <w:rPr>
              <w:color w:val="auto"/>
            </w:rPr>
            <w:t>15</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"_Toc14329" </w:instrText>
          </w:r>
          <w:r>
            <w:rPr>
              <w:color w:val="auto"/>
            </w:rPr>
            <w:fldChar w:fldCharType="separate"/>
          </w:r>
          <w:r>
            <w:rPr>
              <w:rFonts w:hint="eastAsia"/>
              <w:bCs/>
              <w:color w:val="auto"/>
            </w:rPr>
            <w:t>（二）地震监测站网升级工程</w:t>
          </w:r>
          <w:r>
            <w:rPr>
              <w:color w:val="auto"/>
            </w:rPr>
            <w:tab/>
          </w:r>
          <w:r>
            <w:rPr>
              <w:color w:val="auto"/>
            </w:rPr>
            <w:fldChar w:fldCharType="begin"/>
          </w:r>
          <w:r>
            <w:rPr>
              <w:color w:val="auto"/>
            </w:rPr>
            <w:instrText xml:space="preserve"> PAGEREF _Toc14329 \h </w:instrText>
          </w:r>
          <w:r>
            <w:rPr>
              <w:color w:val="auto"/>
            </w:rPr>
            <w:fldChar w:fldCharType="separate"/>
          </w:r>
          <w:r>
            <w:rPr>
              <w:color w:val="auto"/>
            </w:rPr>
            <w:t>16</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"_Toc15893" </w:instrText>
          </w:r>
          <w:r>
            <w:rPr>
              <w:color w:val="auto"/>
            </w:rPr>
            <w:fldChar w:fldCharType="separate"/>
          </w:r>
          <w:r>
            <w:rPr>
              <w:rFonts w:hint="eastAsia"/>
              <w:bCs/>
              <w:color w:val="auto"/>
            </w:rPr>
            <w:t>（三）地震灾害风险调查和重点隐患排查示范工程</w:t>
          </w:r>
          <w:r>
            <w:rPr>
              <w:color w:val="auto"/>
            </w:rPr>
            <w:tab/>
          </w:r>
          <w:r>
            <w:rPr>
              <w:color w:val="auto"/>
            </w:rPr>
            <w:fldChar w:fldCharType="begin"/>
          </w:r>
          <w:r>
            <w:rPr>
              <w:color w:val="auto"/>
            </w:rPr>
            <w:instrText xml:space="preserve"> PAGEREF _Toc15893 \h </w:instrText>
          </w:r>
          <w:r>
            <w:rPr>
              <w:color w:val="auto"/>
            </w:rPr>
            <w:fldChar w:fldCharType="separate"/>
          </w:r>
          <w:r>
            <w:rPr>
              <w:color w:val="auto"/>
            </w:rPr>
            <w:t>17</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"_Toc20922" </w:instrText>
          </w:r>
          <w:r>
            <w:rPr>
              <w:color w:val="auto"/>
            </w:rPr>
            <w:fldChar w:fldCharType="separate"/>
          </w:r>
          <w:r>
            <w:rPr>
              <w:rFonts w:hint="eastAsia"/>
              <w:bCs/>
              <w:color w:val="auto"/>
            </w:rPr>
            <w:t>（四）中国地震科学实验场云南场区建设工程</w:t>
          </w:r>
          <w:r>
            <w:rPr>
              <w:color w:val="auto"/>
            </w:rPr>
            <w:tab/>
          </w:r>
          <w:r>
            <w:rPr>
              <w:color w:val="auto"/>
            </w:rPr>
            <w:fldChar w:fldCharType="begin"/>
          </w:r>
          <w:r>
            <w:rPr>
              <w:color w:val="auto"/>
            </w:rPr>
            <w:instrText xml:space="preserve"> PAGEREF _Toc20922 \h </w:instrText>
          </w:r>
          <w:r>
            <w:rPr>
              <w:color w:val="auto"/>
            </w:rPr>
            <w:fldChar w:fldCharType="separate"/>
          </w:r>
          <w:r>
            <w:rPr>
              <w:color w:val="auto"/>
            </w:rPr>
            <w:t>18</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"_Toc21329" </w:instrText>
          </w:r>
          <w:r>
            <w:rPr>
              <w:color w:val="auto"/>
            </w:rPr>
            <w:fldChar w:fldCharType="separate"/>
          </w:r>
          <w:r>
            <w:rPr>
              <w:rFonts w:hint="eastAsia"/>
              <w:bCs/>
              <w:color w:val="auto"/>
            </w:rPr>
            <w:t>（五）防震减灾公共服务能力提升工程</w:t>
          </w:r>
          <w:r>
            <w:rPr>
              <w:color w:val="auto"/>
            </w:rPr>
            <w:tab/>
          </w:r>
          <w:r>
            <w:rPr>
              <w:color w:val="auto"/>
            </w:rPr>
            <w:fldChar w:fldCharType="begin"/>
          </w:r>
          <w:r>
            <w:rPr>
              <w:color w:val="auto"/>
            </w:rPr>
            <w:instrText xml:space="preserve"> PAGEREF _Toc21329 \h </w:instrText>
          </w:r>
          <w:r>
            <w:rPr>
              <w:color w:val="auto"/>
            </w:rPr>
            <w:fldChar w:fldCharType="separate"/>
          </w:r>
          <w:r>
            <w:rPr>
              <w:color w:val="auto"/>
            </w:rPr>
            <w:t>19</w:t>
          </w:r>
          <w:r>
            <w:rPr>
              <w:color w:val="auto"/>
            </w:rPr>
            <w:fldChar w:fldCharType="end"/>
          </w:r>
          <w:r>
            <w:rPr>
              <w:color w:val="auto"/>
            </w:rPr>
            <w:fldChar w:fldCharType="end"/>
          </w:r>
        </w:p>
        <w:p>
          <w:pPr>
            <w:pStyle w:val="11"/>
            <w:tabs>
              <w:tab w:val="right" w:leader="dot" w:pos="8306"/>
            </w:tabs>
            <w:rPr>
              <w:color w:val="auto"/>
            </w:rPr>
          </w:pPr>
          <w:r>
            <w:rPr>
              <w:color w:val="auto"/>
            </w:rPr>
            <w:fldChar w:fldCharType="begin"/>
          </w:r>
          <w:r>
            <w:rPr>
              <w:color w:val="auto"/>
            </w:rPr>
            <w:instrText xml:space="preserve"> HYPERLINK \l "_Toc19883" </w:instrText>
          </w:r>
          <w:r>
            <w:rPr>
              <w:color w:val="auto"/>
            </w:rPr>
            <w:fldChar w:fldCharType="separate"/>
          </w:r>
          <w:r>
            <w:rPr>
              <w:rFonts w:hint="eastAsia" w:ascii="黑体" w:hAnsi="黑体" w:eastAsia="黑体" w:cs="黑体"/>
              <w:bCs/>
              <w:color w:val="auto"/>
              <w:szCs w:val="36"/>
            </w:rPr>
            <w:t>五、保障措施</w:t>
          </w:r>
          <w:r>
            <w:rPr>
              <w:color w:val="auto"/>
            </w:rPr>
            <w:tab/>
          </w:r>
          <w:r>
            <w:rPr>
              <w:color w:val="auto"/>
            </w:rPr>
            <w:fldChar w:fldCharType="begin"/>
          </w:r>
          <w:r>
            <w:rPr>
              <w:color w:val="auto"/>
            </w:rPr>
            <w:instrText xml:space="preserve"> PAGEREF _Toc19883 \h </w:instrText>
          </w:r>
          <w:r>
            <w:rPr>
              <w:color w:val="auto"/>
            </w:rPr>
            <w:fldChar w:fldCharType="separate"/>
          </w:r>
          <w:r>
            <w:rPr>
              <w:color w:val="auto"/>
            </w:rPr>
            <w:t>20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"_Toc815" </w:instrText>
          </w:r>
          <w:r>
            <w:rPr>
              <w:color w:val="auto"/>
            </w:rPr>
            <w:fldChar w:fldCharType="separate"/>
          </w:r>
          <w:r>
            <w:rPr>
              <w:rFonts w:hint="eastAsia"/>
              <w:bCs/>
              <w:color w:val="auto"/>
            </w:rPr>
            <w:t>（一）加强组织领导</w:t>
          </w:r>
          <w:r>
            <w:rPr>
              <w:color w:val="auto"/>
            </w:rPr>
            <w:tab/>
          </w:r>
          <w:r>
            <w:rPr>
              <w:color w:val="auto"/>
            </w:rPr>
            <w:fldChar w:fldCharType="begin"/>
          </w:r>
          <w:r>
            <w:rPr>
              <w:color w:val="auto"/>
            </w:rPr>
            <w:instrText xml:space="preserve"> PAGEREF _Toc815 \h </w:instrText>
          </w:r>
          <w:r>
            <w:rPr>
              <w:color w:val="auto"/>
            </w:rPr>
            <w:fldChar w:fldCharType="separate"/>
          </w:r>
          <w:r>
            <w:rPr>
              <w:color w:val="auto"/>
            </w:rPr>
            <w:t>20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"_Toc20255" </w:instrText>
          </w:r>
          <w:r>
            <w:rPr>
              <w:color w:val="auto"/>
            </w:rPr>
            <w:fldChar w:fldCharType="separate"/>
          </w:r>
          <w:r>
            <w:rPr>
              <w:rFonts w:hint="eastAsia"/>
              <w:bCs/>
              <w:color w:val="auto"/>
            </w:rPr>
            <w:t>（二）健全投入机制</w:t>
          </w:r>
          <w:r>
            <w:rPr>
              <w:color w:val="auto"/>
            </w:rPr>
            <w:tab/>
          </w:r>
          <w:r>
            <w:rPr>
              <w:color w:val="auto"/>
            </w:rPr>
            <w:fldChar w:fldCharType="begin"/>
          </w:r>
          <w:r>
            <w:rPr>
              <w:color w:val="auto"/>
            </w:rPr>
            <w:instrText xml:space="preserve"> PAGEREF _Toc20255 \h </w:instrText>
          </w:r>
          <w:r>
            <w:rPr>
              <w:color w:val="auto"/>
            </w:rPr>
            <w:fldChar w:fldCharType="separate"/>
          </w:r>
          <w:r>
            <w:rPr>
              <w:color w:val="auto"/>
            </w:rPr>
            <w:t>20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"_Toc22341" </w:instrText>
          </w:r>
          <w:r>
            <w:rPr>
              <w:color w:val="auto"/>
            </w:rPr>
            <w:fldChar w:fldCharType="separate"/>
          </w:r>
          <w:r>
            <w:rPr>
              <w:rFonts w:hint="eastAsia"/>
              <w:bCs/>
              <w:color w:val="auto"/>
            </w:rPr>
            <w:t>（三）统筹协调发展</w:t>
          </w:r>
          <w:r>
            <w:rPr>
              <w:color w:val="auto"/>
            </w:rPr>
            <w:tab/>
          </w:r>
          <w:r>
            <w:rPr>
              <w:color w:val="auto"/>
            </w:rPr>
            <w:fldChar w:fldCharType="begin"/>
          </w:r>
          <w:r>
            <w:rPr>
              <w:color w:val="auto"/>
            </w:rPr>
            <w:instrText xml:space="preserve"> PAGEREF _Toc22341 \h </w:instrText>
          </w:r>
          <w:r>
            <w:rPr>
              <w:color w:val="auto"/>
            </w:rPr>
            <w:fldChar w:fldCharType="separate"/>
          </w:r>
          <w:r>
            <w:rPr>
              <w:color w:val="auto"/>
            </w:rPr>
            <w:t>20</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"_Toc9886" </w:instrText>
          </w:r>
          <w:r>
            <w:rPr>
              <w:color w:val="auto"/>
            </w:rPr>
            <w:fldChar w:fldCharType="separate"/>
          </w:r>
          <w:r>
            <w:rPr>
              <w:rFonts w:hint="eastAsia"/>
              <w:bCs/>
              <w:color w:val="auto"/>
            </w:rPr>
            <w:t>（四）提供人才保障</w:t>
          </w:r>
          <w:r>
            <w:rPr>
              <w:color w:val="auto"/>
            </w:rPr>
            <w:tab/>
          </w:r>
          <w:r>
            <w:rPr>
              <w:color w:val="auto"/>
            </w:rPr>
            <w:fldChar w:fldCharType="begin"/>
          </w:r>
          <w:r>
            <w:rPr>
              <w:color w:val="auto"/>
            </w:rPr>
            <w:instrText xml:space="preserve"> PAGEREF _Toc9886 \h </w:instrText>
          </w:r>
          <w:r>
            <w:rPr>
              <w:color w:val="auto"/>
            </w:rPr>
            <w:fldChar w:fldCharType="separate"/>
          </w:r>
          <w:r>
            <w:rPr>
              <w:color w:val="auto"/>
            </w:rPr>
            <w:t>21</w:t>
          </w:r>
          <w:r>
            <w:rPr>
              <w:color w:val="auto"/>
            </w:rPr>
            <w:fldChar w:fldCharType="end"/>
          </w:r>
          <w:r>
            <w:rPr>
              <w:color w:val="auto"/>
            </w:rPr>
            <w:fldChar w:fldCharType="end"/>
          </w:r>
        </w:p>
        <w:p>
          <w:pPr>
            <w:pStyle w:val="12"/>
            <w:tabs>
              <w:tab w:val="right" w:leader="dot" w:pos="8306"/>
            </w:tabs>
            <w:rPr>
              <w:color w:val="auto"/>
            </w:rPr>
          </w:pPr>
          <w:r>
            <w:rPr>
              <w:color w:val="auto"/>
            </w:rPr>
            <w:fldChar w:fldCharType="begin"/>
          </w:r>
          <w:r>
            <w:rPr>
              <w:color w:val="auto"/>
            </w:rPr>
            <w:instrText xml:space="preserve"> HYPERLINK \l "_Toc15910" </w:instrText>
          </w:r>
          <w:r>
            <w:rPr>
              <w:color w:val="auto"/>
            </w:rPr>
            <w:fldChar w:fldCharType="separate"/>
          </w:r>
          <w:r>
            <w:rPr>
              <w:rFonts w:hint="eastAsia"/>
              <w:bCs/>
              <w:color w:val="auto"/>
            </w:rPr>
            <w:t>（五）开展检查评估</w:t>
          </w:r>
          <w:r>
            <w:rPr>
              <w:color w:val="auto"/>
            </w:rPr>
            <w:tab/>
          </w:r>
          <w:r>
            <w:rPr>
              <w:color w:val="auto"/>
            </w:rPr>
            <w:fldChar w:fldCharType="begin"/>
          </w:r>
          <w:r>
            <w:rPr>
              <w:color w:val="auto"/>
            </w:rPr>
            <w:instrText xml:space="preserve"> PAGEREF _Toc15910 \h </w:instrText>
          </w:r>
          <w:r>
            <w:rPr>
              <w:color w:val="auto"/>
            </w:rPr>
            <w:fldChar w:fldCharType="separate"/>
          </w:r>
          <w:r>
            <w:rPr>
              <w:color w:val="auto"/>
            </w:rPr>
            <w:t>21</w:t>
          </w:r>
          <w:r>
            <w:rPr>
              <w:color w:val="auto"/>
            </w:rPr>
            <w:fldChar w:fldCharType="end"/>
          </w:r>
          <w:r>
            <w:rPr>
              <w:color w:val="auto"/>
            </w:rPr>
            <w:fldChar w:fldCharType="end"/>
          </w:r>
        </w:p>
        <w:p>
          <w:pPr>
            <w:rPr>
              <w:color w:val="auto"/>
            </w:rPr>
          </w:pPr>
          <w:r>
            <w:rPr>
              <w:color w:val="auto"/>
            </w:rPr>
            <w:fldChar w:fldCharType="end"/>
          </w:r>
        </w:p>
      </w:sdtContent>
    </w:sdt>
    <w:p>
      <w:pPr>
        <w:jc w:val="center"/>
        <w:outlineLvl w:val="0"/>
        <w:rPr>
          <w:rFonts w:asciiTheme="majorEastAsia" w:hAnsiTheme="majorEastAsia" w:eastAsiaTheme="majorEastAsia"/>
          <w:color w:val="auto"/>
          <w:sz w:val="28"/>
          <w:szCs w:val="28"/>
        </w:rPr>
        <w:sectPr>
          <w:pgSz w:w="11906" w:h="16838"/>
          <w:pgMar w:top="1440" w:right="1800" w:bottom="1440" w:left="1800" w:header="851" w:footer="992" w:gutter="0"/>
          <w:cols w:space="720" w:num="1"/>
          <w:docGrid w:type="lines" w:linePitch="312" w:charSpace="0"/>
        </w:sectPr>
      </w:pPr>
    </w:p>
    <w:p>
      <w:pPr>
        <w:jc w:val="center"/>
        <w:outlineLvl w:val="0"/>
        <w:rPr>
          <w:rFonts w:asciiTheme="majorEastAsia" w:hAnsiTheme="majorEastAsia" w:eastAsiaTheme="majorEastAsia"/>
          <w:color w:val="auto"/>
          <w:sz w:val="28"/>
          <w:szCs w:val="28"/>
        </w:rPr>
      </w:pPr>
    </w:p>
    <w:p>
      <w:pPr>
        <w:autoSpaceDE w:val="0"/>
        <w:autoSpaceDN w:val="0"/>
        <w:adjustRightInd w:val="0"/>
        <w:rPr>
          <w:rFonts w:ascii="仿宋_GB2312" w:eastAsia="仿宋_GB2312" w:cs="仿宋"/>
          <w:color w:val="auto"/>
          <w:kern w:val="0"/>
          <w:sz w:val="32"/>
          <w:szCs w:val="32"/>
        </w:rPr>
        <w:sectPr>
          <w:footerReference r:id="rId3" w:type="default"/>
          <w:type w:val="continuous"/>
          <w:pgSz w:w="11906" w:h="16838"/>
          <w:pgMar w:top="1440" w:right="1800" w:bottom="1440" w:left="1800" w:header="851" w:footer="992" w:gutter="0"/>
          <w:cols w:space="720" w:num="1"/>
          <w:docGrid w:type="lines" w:linePitch="312" w:charSpace="0"/>
        </w:sectPr>
      </w:pPr>
    </w:p>
    <w:p>
      <w:pPr>
        <w:autoSpaceDE w:val="0"/>
        <w:autoSpaceDN w:val="0"/>
        <w:adjustRightInd w:val="0"/>
        <w:ind w:firstLine="640" w:firstLineChars="200"/>
        <w:rPr>
          <w:rFonts w:ascii="仿宋_GB2312" w:eastAsia="仿宋_GB2312" w:cs="仿宋"/>
          <w:color w:val="auto"/>
          <w:kern w:val="0"/>
          <w:sz w:val="32"/>
          <w:szCs w:val="32"/>
        </w:rPr>
      </w:pPr>
      <w:r>
        <w:rPr>
          <w:rFonts w:hint="eastAsia" w:ascii="仿宋_GB2312" w:eastAsia="仿宋_GB2312" w:cs="仿宋"/>
          <w:color w:val="auto"/>
          <w:kern w:val="0"/>
          <w:sz w:val="32"/>
          <w:szCs w:val="32"/>
        </w:rPr>
        <w:t>防震减灾事关人民群众生命财产安全，事关社会稳定和经济发展、事关国家总体安全，是全省综合防灾减灾的重要组成部分。</w:t>
      </w:r>
      <w:r>
        <w:rPr>
          <w:rFonts w:hint="eastAsia" w:ascii="仿宋_GB2312" w:hAnsi="仿宋_GB2312" w:eastAsia="仿宋_GB2312" w:cs="仿宋_GB2312"/>
          <w:color w:val="auto"/>
          <w:sz w:val="32"/>
          <w:szCs w:val="32"/>
        </w:rPr>
        <w:t>深入贯彻落实习近平总书记关于防灾减灾救灾和提高自然灾害防治能力重要论述以及对防震减灾工作重要批示指示、</w:t>
      </w:r>
      <w:r>
        <w:rPr>
          <w:rFonts w:hint="eastAsia" w:ascii="仿宋_GB2312" w:eastAsia="仿宋_GB2312" w:cs="仿宋"/>
          <w:color w:val="auto"/>
          <w:kern w:val="0"/>
          <w:sz w:val="32"/>
          <w:szCs w:val="32"/>
        </w:rPr>
        <w:t>视察云南重要讲话精神</w:t>
      </w:r>
      <w:r>
        <w:rPr>
          <w:rFonts w:hint="eastAsia" w:ascii="仿宋_GB2312" w:hAnsi="仿宋_GB2312" w:eastAsia="仿宋_GB2312" w:cs="仿宋_GB2312"/>
          <w:color w:val="auto"/>
          <w:sz w:val="32"/>
          <w:szCs w:val="32"/>
        </w:rPr>
        <w:t>，</w:t>
      </w:r>
      <w:r>
        <w:rPr>
          <w:rFonts w:hint="eastAsia" w:ascii="仿宋_GB2312" w:eastAsia="仿宋_GB2312" w:cs="仿宋"/>
          <w:color w:val="auto"/>
          <w:kern w:val="0"/>
          <w:sz w:val="32"/>
          <w:szCs w:val="32"/>
        </w:rPr>
        <w:t>加快推进新时代云南防震减灾事业现代化建设，夯实监测预报预警基础，提高地震灾害风险防治能力，防范化解重大地震灾害风险，为</w:t>
      </w:r>
      <w:r>
        <w:rPr>
          <w:rFonts w:hint="eastAsia" w:ascii="仿宋_GB2312" w:eastAsia="仿宋_GB2312" w:cs="仿宋"/>
          <w:color w:val="auto"/>
          <w:kern w:val="0"/>
          <w:sz w:val="32"/>
          <w:szCs w:val="32"/>
          <w:lang w:val="en-US" w:eastAsia="zh-CN"/>
        </w:rPr>
        <w:t>云南</w:t>
      </w:r>
      <w:r>
        <w:rPr>
          <w:rFonts w:hint="eastAsia" w:ascii="仿宋_GB2312" w:eastAsia="仿宋_GB2312" w:cs="仿宋"/>
          <w:color w:val="auto"/>
          <w:kern w:val="0"/>
          <w:sz w:val="32"/>
          <w:szCs w:val="32"/>
        </w:rPr>
        <w:t>全面建设社会主义现代化</w:t>
      </w:r>
      <w:r>
        <w:rPr>
          <w:rFonts w:hint="eastAsia" w:ascii="仿宋_GB2312" w:eastAsia="仿宋_GB2312" w:cs="仿宋"/>
          <w:color w:val="auto"/>
          <w:kern w:val="0"/>
          <w:sz w:val="32"/>
          <w:szCs w:val="32"/>
          <w:lang w:val="en-US" w:eastAsia="zh-CN"/>
        </w:rPr>
        <w:t>国家</w:t>
      </w:r>
      <w:r>
        <w:rPr>
          <w:rFonts w:hint="eastAsia" w:ascii="仿宋_GB2312" w:eastAsia="仿宋_GB2312" w:cs="仿宋"/>
          <w:color w:val="auto"/>
          <w:kern w:val="0"/>
          <w:sz w:val="32"/>
          <w:szCs w:val="32"/>
        </w:rPr>
        <w:t>新征程提供地震安全保障，具有重要意义。</w:t>
      </w:r>
      <w:bookmarkStart w:id="30" w:name="_GoBack"/>
      <w:bookmarkEnd w:id="30"/>
    </w:p>
    <w:p>
      <w:pPr>
        <w:autoSpaceDE w:val="0"/>
        <w:autoSpaceDN w:val="0"/>
        <w:adjustRightInd w:val="0"/>
        <w:ind w:firstLine="645"/>
        <w:rPr>
          <w:rFonts w:ascii="仿宋_GB2312" w:eastAsia="仿宋_GB2312" w:cs="仿宋"/>
          <w:color w:val="auto"/>
          <w:kern w:val="0"/>
          <w:sz w:val="32"/>
          <w:szCs w:val="32"/>
        </w:rPr>
      </w:pPr>
      <w:r>
        <w:rPr>
          <w:rFonts w:hint="eastAsia" w:ascii="仿宋_GB2312" w:eastAsia="仿宋_GB2312" w:cs="仿宋"/>
          <w:color w:val="auto"/>
          <w:kern w:val="0"/>
          <w:sz w:val="32"/>
          <w:szCs w:val="32"/>
        </w:rPr>
        <w:t>根据《中华人民共和国防震减灾法》《云南省防震减灾条例》</w:t>
      </w:r>
      <w:r>
        <w:rPr>
          <w:rFonts w:hint="eastAsia" w:ascii="仿宋_GB2312" w:eastAsia="仿宋_GB2312"/>
          <w:color w:val="auto"/>
          <w:sz w:val="32"/>
          <w:szCs w:val="32"/>
        </w:rPr>
        <w:t>《云南省国民经济和社会发展第十四个五年规划和二0三五年远景目标纲要》《云南省“十四五”综合防灾减灾救灾规划》</w:t>
      </w:r>
      <w:r>
        <w:rPr>
          <w:rFonts w:hint="eastAsia" w:ascii="仿宋_GB2312" w:eastAsia="仿宋_GB2312" w:cs="仿宋"/>
          <w:color w:val="auto"/>
          <w:kern w:val="0"/>
          <w:sz w:val="32"/>
          <w:szCs w:val="32"/>
        </w:rPr>
        <w:t>等法律法规和文件，结合云南实际，制定本规划。</w:t>
      </w:r>
    </w:p>
    <w:p>
      <w:pPr>
        <w:autoSpaceDE w:val="0"/>
        <w:autoSpaceDN w:val="0"/>
        <w:adjustRightInd w:val="0"/>
        <w:ind w:firstLine="645"/>
        <w:rPr>
          <w:rFonts w:ascii="仿宋_GB2312" w:eastAsia="仿宋_GB2312" w:cs="仿宋"/>
          <w:color w:val="auto"/>
          <w:kern w:val="0"/>
          <w:sz w:val="32"/>
          <w:szCs w:val="32"/>
        </w:rPr>
      </w:pPr>
      <w:r>
        <w:rPr>
          <w:rFonts w:hint="eastAsia" w:ascii="仿宋_GB2312" w:eastAsia="仿宋_GB2312" w:cs="仿宋"/>
          <w:color w:val="auto"/>
          <w:kern w:val="0"/>
          <w:sz w:val="32"/>
          <w:szCs w:val="32"/>
        </w:rPr>
        <w:t>本规划实施期限为2021年至2025年。</w:t>
      </w:r>
    </w:p>
    <w:p>
      <w:pPr>
        <w:widowControl/>
        <w:jc w:val="left"/>
        <w:rPr>
          <w:rFonts w:ascii="仿宋_GB2312" w:eastAsia="仿宋_GB2312" w:cs="仿宋"/>
          <w:color w:val="auto"/>
          <w:kern w:val="0"/>
          <w:sz w:val="32"/>
          <w:szCs w:val="32"/>
        </w:rPr>
      </w:pPr>
      <w:r>
        <w:rPr>
          <w:rFonts w:ascii="仿宋_GB2312" w:eastAsia="仿宋_GB2312" w:cs="仿宋"/>
          <w:color w:val="auto"/>
          <w:kern w:val="0"/>
          <w:sz w:val="32"/>
          <w:szCs w:val="32"/>
        </w:rPr>
        <w:br w:type="page"/>
      </w:r>
    </w:p>
    <w:p>
      <w:pPr>
        <w:pStyle w:val="2"/>
        <w:spacing w:before="0" w:after="0"/>
        <w:ind w:firstLine="720" w:firstLineChars="200"/>
        <w:rPr>
          <w:rFonts w:ascii="黑体" w:hAnsi="黑体" w:eastAsia="黑体" w:cs="黑体"/>
          <w:b w:val="0"/>
          <w:bCs/>
          <w:color w:val="auto"/>
          <w:sz w:val="36"/>
          <w:szCs w:val="36"/>
        </w:rPr>
      </w:pPr>
      <w:bookmarkStart w:id="1" w:name="_Toc443"/>
      <w:r>
        <w:rPr>
          <w:rFonts w:hint="eastAsia" w:ascii="黑体" w:hAnsi="黑体" w:eastAsia="黑体" w:cs="黑体"/>
          <w:b w:val="0"/>
          <w:bCs/>
          <w:color w:val="auto"/>
          <w:sz w:val="36"/>
          <w:szCs w:val="36"/>
        </w:rPr>
        <w:t>一、现状与形势</w:t>
      </w:r>
      <w:bookmarkEnd w:id="1"/>
    </w:p>
    <w:p>
      <w:pPr>
        <w:pStyle w:val="3"/>
        <w:spacing w:before="0" w:after="0"/>
        <w:ind w:firstLine="640" w:firstLineChars="200"/>
        <w:rPr>
          <w:b w:val="0"/>
          <w:bCs/>
          <w:color w:val="auto"/>
          <w:szCs w:val="32"/>
        </w:rPr>
      </w:pPr>
      <w:bookmarkStart w:id="2" w:name="_Toc5322"/>
      <w:r>
        <w:rPr>
          <w:rFonts w:hint="eastAsia"/>
          <w:b w:val="0"/>
          <w:bCs/>
          <w:color w:val="auto"/>
          <w:szCs w:val="32"/>
        </w:rPr>
        <w:t>（一）“十三五”时期发展成效</w:t>
      </w:r>
      <w:bookmarkEnd w:id="2"/>
    </w:p>
    <w:p>
      <w:pPr>
        <w:ind w:firstLine="640" w:firstLineChars="200"/>
        <w:rPr>
          <w:rFonts w:ascii="仿宋_GB2312" w:eastAsia="仿宋_GB2312" w:cs="仿宋"/>
          <w:color w:val="auto"/>
          <w:kern w:val="0"/>
          <w:sz w:val="32"/>
          <w:szCs w:val="32"/>
        </w:rPr>
      </w:pPr>
      <w:r>
        <w:rPr>
          <w:rFonts w:hint="eastAsia" w:ascii="仿宋_GB2312" w:eastAsia="仿宋_GB2312" w:cs="仿宋"/>
          <w:color w:val="auto"/>
          <w:kern w:val="0"/>
          <w:sz w:val="32"/>
          <w:szCs w:val="32"/>
        </w:rPr>
        <w:t>在以习近平同志为核心的党中央坚强领导下，根据中央统一部署，云南省委、省政府不断深化全省防灾减灾救灾体制机制改革。统筹</w:t>
      </w:r>
      <w:r>
        <w:rPr>
          <w:rFonts w:ascii="仿宋_GB2312" w:eastAsia="仿宋_GB2312" w:cs="仿宋"/>
          <w:color w:val="auto"/>
          <w:kern w:val="0"/>
          <w:sz w:val="32"/>
          <w:szCs w:val="32"/>
        </w:rPr>
        <w:t>推进</w:t>
      </w:r>
      <w:r>
        <w:rPr>
          <w:rFonts w:hint="eastAsia" w:ascii="仿宋_GB2312" w:eastAsia="仿宋_GB2312" w:cs="仿宋"/>
          <w:color w:val="auto"/>
          <w:kern w:val="0"/>
          <w:sz w:val="32"/>
          <w:szCs w:val="32"/>
        </w:rPr>
        <w:t>《云南省防震减灾“十三五”规划》落实，实施“全面加强预防和处置地震灾害能力10项重点工程”。印发实施《新时代云南防震减灾事业现代化建设重点项目规划纲要》，全省防震</w:t>
      </w:r>
      <w:r>
        <w:rPr>
          <w:rFonts w:ascii="仿宋_GB2312" w:eastAsia="仿宋_GB2312" w:cs="仿宋"/>
          <w:color w:val="auto"/>
          <w:kern w:val="0"/>
          <w:sz w:val="32"/>
          <w:szCs w:val="32"/>
        </w:rPr>
        <w:t>减灾基础能力</w:t>
      </w:r>
      <w:r>
        <w:rPr>
          <w:rFonts w:hint="eastAsia" w:ascii="仿宋_GB2312" w:eastAsia="仿宋_GB2312" w:cs="仿宋"/>
          <w:color w:val="auto"/>
          <w:kern w:val="0"/>
          <w:sz w:val="32"/>
          <w:szCs w:val="32"/>
        </w:rPr>
        <w:t>得到显著提升。地震监测预报预警、震灾预防、应急救援体系不断完善，防震减灾公共服务能力稳步提高，科技创新驱动更加有力，公众防震减灾意识不断增强。党委领导、政府负责、社会协同、公众参与、法治保障、科技支撑的防震减灾社会治理格局基本形成，现代化防震减灾治理体系逐步健全。</w:t>
      </w:r>
    </w:p>
    <w:p>
      <w:pPr>
        <w:autoSpaceDE w:val="0"/>
        <w:autoSpaceDN w:val="0"/>
        <w:adjustRightInd w:val="0"/>
        <w:ind w:firstLine="643" w:firstLineChars="200"/>
        <w:rPr>
          <w:rFonts w:ascii="仿宋_GB2312" w:eastAsia="仿宋_GB2312" w:cs="仿宋"/>
          <w:color w:val="auto"/>
          <w:kern w:val="0"/>
          <w:sz w:val="32"/>
          <w:szCs w:val="32"/>
        </w:rPr>
      </w:pPr>
      <w:r>
        <w:rPr>
          <w:rFonts w:hint="eastAsia" w:ascii="楷体" w:hAnsi="楷体" w:eastAsia="楷体" w:cs="楷体"/>
          <w:b/>
          <w:bCs/>
          <w:color w:val="auto"/>
          <w:kern w:val="0"/>
          <w:sz w:val="32"/>
          <w:szCs w:val="32"/>
        </w:rPr>
        <w:t>地震监测预报预警能力明显增强。</w:t>
      </w:r>
      <w:r>
        <w:rPr>
          <w:rFonts w:hint="eastAsia" w:ascii="仿宋_GB2312" w:eastAsia="仿宋_GB2312" w:cs="仿宋"/>
          <w:color w:val="auto"/>
          <w:kern w:val="0"/>
          <w:sz w:val="32"/>
          <w:szCs w:val="32"/>
        </w:rPr>
        <w:t>制定施行《云南省地震预警管理规定》。全面实施国家地震烈度速报与预警工程云南子项目，国家和省财政共投入资金近1.9亿元，新建、改建地震烈度速报与预警台站1540个。具有现代化水平的云县地震台燕子岩综合观测站、丽江地磁基准台和石屏地震综合观测站相继建成投入运行。全省地震监测能力达到1.6级。</w:t>
      </w:r>
    </w:p>
    <w:p>
      <w:pPr>
        <w:autoSpaceDE w:val="0"/>
        <w:autoSpaceDN w:val="0"/>
        <w:adjustRightInd w:val="0"/>
        <w:ind w:firstLine="643" w:firstLineChars="200"/>
        <w:rPr>
          <w:rFonts w:ascii="仿宋_GB2312" w:hAnsi="宋体" w:eastAsia="仿宋_GB2312" w:cs="方正仿宋_GBK"/>
          <w:color w:val="auto"/>
          <w:sz w:val="32"/>
          <w:szCs w:val="32"/>
        </w:rPr>
      </w:pPr>
      <w:r>
        <w:rPr>
          <w:rFonts w:hint="eastAsia" w:ascii="楷体" w:hAnsi="楷体" w:eastAsia="楷体" w:cs="楷体"/>
          <w:b/>
          <w:bCs/>
          <w:color w:val="auto"/>
          <w:kern w:val="0"/>
          <w:sz w:val="32"/>
          <w:szCs w:val="32"/>
        </w:rPr>
        <w:t>地震灾害风险普查与防治稳步推进。</w:t>
      </w:r>
      <w:r>
        <w:rPr>
          <w:rFonts w:hint="eastAsia" w:ascii="仿宋_GB2312" w:eastAsia="仿宋_GB2312" w:cs="仿宋"/>
          <w:color w:val="auto"/>
          <w:kern w:val="0"/>
          <w:sz w:val="32"/>
          <w:szCs w:val="32"/>
        </w:rPr>
        <w:t>全面实施第五代地震动参数区划图，参与农村危旧房改造及抗震安居工程，完成重大工程地震安全性评价150余项和若干区域性地震安全性评价，城乡抗震能力明显提升。</w:t>
      </w:r>
      <w:r>
        <w:rPr>
          <w:rFonts w:hint="eastAsia" w:ascii="仿宋_GB2312" w:hAnsi="宋体" w:eastAsia="仿宋_GB2312" w:cs="方正仿宋_GBK"/>
          <w:color w:val="auto"/>
          <w:sz w:val="32"/>
          <w:szCs w:val="32"/>
        </w:rPr>
        <w:t>创建国家级和省级地震安全示范社区159个。在建水、双柏、盈江开展地震灾害风险隐患普查试点。在全国率先开展政策性农房地震保险试点业务，完成政策性农房地震保险理赔7970万元，惠及近2.4万农户。</w:t>
      </w:r>
      <w:r>
        <w:rPr>
          <w:rFonts w:hint="eastAsia" w:ascii="仿宋_GB2312" w:hAnsi="仿宋" w:eastAsia="仿宋_GB2312"/>
          <w:color w:val="auto"/>
          <w:sz w:val="32"/>
          <w:szCs w:val="32"/>
        </w:rPr>
        <w:t>全面完成鲁甸、景谷等地震灾区恢复重建工作</w:t>
      </w:r>
      <w:r>
        <w:rPr>
          <w:rFonts w:hint="eastAsia" w:ascii="仿宋_GB2312" w:hAnsi="宋体" w:eastAsia="仿宋_GB2312" w:cs="方正仿宋_GBK"/>
          <w:color w:val="auto"/>
          <w:sz w:val="32"/>
          <w:szCs w:val="32"/>
        </w:rPr>
        <w:t>。地震灾害对经济社会影响明显减轻，为保障人民生命财产安全、全面建成小康社会提供了有力的地震安全保障。</w:t>
      </w:r>
    </w:p>
    <w:p>
      <w:pPr>
        <w:autoSpaceDE w:val="0"/>
        <w:autoSpaceDN w:val="0"/>
        <w:adjustRightInd w:val="0"/>
        <w:ind w:firstLine="643" w:firstLineChars="200"/>
        <w:rPr>
          <w:rFonts w:ascii="仿宋_GB2312" w:hAnsi="宋体" w:eastAsia="仿宋_GB2312" w:cs="方正仿宋_GBK"/>
          <w:color w:val="auto"/>
          <w:sz w:val="32"/>
          <w:szCs w:val="32"/>
        </w:rPr>
      </w:pPr>
      <w:r>
        <w:rPr>
          <w:rFonts w:hint="eastAsia" w:ascii="楷体" w:hAnsi="楷体" w:eastAsia="楷体" w:cs="楷体"/>
          <w:b/>
          <w:bCs/>
          <w:color w:val="auto"/>
          <w:kern w:val="0"/>
          <w:sz w:val="32"/>
          <w:szCs w:val="32"/>
        </w:rPr>
        <w:t>应急备震效能不断提升。</w:t>
      </w:r>
      <w:r>
        <w:rPr>
          <w:rFonts w:hint="eastAsia" w:ascii="仿宋_GB2312" w:eastAsia="仿宋_GB2312" w:cs="仿宋"/>
          <w:color w:val="auto"/>
          <w:kern w:val="0"/>
          <w:sz w:val="32"/>
          <w:szCs w:val="32"/>
        </w:rPr>
        <w:t>修订《云</w:t>
      </w:r>
      <w:r>
        <w:rPr>
          <w:rFonts w:ascii="仿宋_GB2312" w:hAnsi="宋体" w:eastAsia="仿宋_GB2312" w:cs="方正仿宋_GBK"/>
          <w:color w:val="auto"/>
          <w:sz w:val="32"/>
          <w:szCs w:val="32"/>
        </w:rPr>
        <w:t>南省地震应急预案》《云南省特别重大地震灾害应急处置工作方案》。持续加强地震灾害应急救援力量体系</w:t>
      </w:r>
      <w:r>
        <w:rPr>
          <w:rFonts w:hint="eastAsia" w:ascii="仿宋_GB2312" w:hAnsi="宋体" w:eastAsia="仿宋_GB2312" w:cs="方正仿宋_GBK"/>
          <w:color w:val="auto"/>
          <w:sz w:val="32"/>
          <w:szCs w:val="32"/>
        </w:rPr>
        <w:t>建设</w:t>
      </w:r>
      <w:r>
        <w:rPr>
          <w:rFonts w:ascii="仿宋_GB2312" w:hAnsi="宋体" w:eastAsia="仿宋_GB2312" w:cs="方正仿宋_GBK"/>
          <w:color w:val="auto"/>
          <w:sz w:val="32"/>
          <w:szCs w:val="32"/>
        </w:rPr>
        <w:t>。全省建成专兼结合救援队伍2600支11万人。建成3支国家卫生应急队</w:t>
      </w:r>
      <w:r>
        <w:rPr>
          <w:rFonts w:hint="eastAsia" w:ascii="仿宋_GB2312" w:hAnsi="宋体" w:eastAsia="仿宋_GB2312" w:cs="方正仿宋_GBK"/>
          <w:color w:val="auto"/>
          <w:sz w:val="32"/>
          <w:szCs w:val="32"/>
        </w:rPr>
        <w:t>、</w:t>
      </w:r>
      <w:r>
        <w:rPr>
          <w:rFonts w:ascii="仿宋_GB2312" w:hAnsi="宋体" w:eastAsia="仿宋_GB2312" w:cs="方正仿宋_GBK"/>
          <w:color w:val="auto"/>
          <w:sz w:val="32"/>
          <w:szCs w:val="32"/>
        </w:rPr>
        <w:t>8支省级紧急医学救援队、4支省级卫生防疫队</w:t>
      </w:r>
      <w:r>
        <w:rPr>
          <w:rFonts w:hint="eastAsia" w:ascii="仿宋_GB2312" w:hAnsi="宋体" w:eastAsia="仿宋_GB2312" w:cs="方正仿宋_GBK"/>
          <w:color w:val="auto"/>
          <w:sz w:val="32"/>
          <w:szCs w:val="32"/>
        </w:rPr>
        <w:t>、</w:t>
      </w:r>
      <w:r>
        <w:rPr>
          <w:rFonts w:ascii="仿宋_GB2312" w:hAnsi="宋体" w:eastAsia="仿宋_GB2312" w:cs="方正仿宋_GBK"/>
          <w:color w:val="auto"/>
          <w:sz w:val="32"/>
          <w:szCs w:val="32"/>
        </w:rPr>
        <w:t>11支省级区域性卫生应急分队。</w:t>
      </w:r>
      <w:r>
        <w:rPr>
          <w:rFonts w:hint="eastAsia" w:ascii="仿宋_GB2312" w:hAnsi="宋体" w:eastAsia="仿宋_GB2312" w:cs="方正仿宋_GBK"/>
          <w:color w:val="auto"/>
          <w:sz w:val="32"/>
          <w:szCs w:val="32"/>
        </w:rPr>
        <w:t>持续开展地震应急基础数据库更新建设，不断完善全省州市县震情会商与应急响应技术系统，推进国家、省、市、县互联互通，为全省所有乡镇配备了卫星电话。</w:t>
      </w:r>
      <w:r>
        <w:rPr>
          <w:rFonts w:ascii="仿宋_GB2312" w:hAnsi="宋体" w:eastAsia="仿宋_GB2312" w:cs="方正仿宋_GBK"/>
          <w:color w:val="auto"/>
          <w:sz w:val="32"/>
          <w:szCs w:val="32"/>
        </w:rPr>
        <w:t>全省建成3296个应急避难场所，面积达2843万平方米。</w:t>
      </w:r>
      <w:r>
        <w:rPr>
          <w:rFonts w:hint="eastAsia" w:ascii="仿宋_GB2312" w:hAnsi="宋体" w:eastAsia="仿宋_GB2312" w:cs="方正仿宋_GBK"/>
          <w:color w:val="auto"/>
          <w:sz w:val="32"/>
          <w:szCs w:val="32"/>
        </w:rPr>
        <w:t>全省</w:t>
      </w:r>
      <w:r>
        <w:rPr>
          <w:rFonts w:ascii="仿宋_GB2312" w:hAnsi="宋体" w:eastAsia="仿宋_GB2312" w:cs="方正仿宋_GBK"/>
          <w:color w:val="auto"/>
          <w:sz w:val="32"/>
          <w:szCs w:val="32"/>
        </w:rPr>
        <w:t>救灾物资储备网络</w:t>
      </w:r>
      <w:r>
        <w:rPr>
          <w:rFonts w:hint="eastAsia" w:ascii="仿宋_GB2312" w:hAnsi="宋体" w:eastAsia="仿宋_GB2312" w:cs="方正仿宋_GBK"/>
          <w:color w:val="auto"/>
          <w:sz w:val="32"/>
          <w:szCs w:val="32"/>
        </w:rPr>
        <w:t>不断完善，具备了保障100万受灾群众紧急转移安置的能力</w:t>
      </w:r>
      <w:r>
        <w:rPr>
          <w:rFonts w:ascii="仿宋_GB2312" w:hAnsi="宋体" w:eastAsia="仿宋_GB2312" w:cs="方正仿宋_GBK"/>
          <w:color w:val="auto"/>
          <w:sz w:val="32"/>
          <w:szCs w:val="32"/>
        </w:rPr>
        <w:t>。</w:t>
      </w:r>
      <w:r>
        <w:rPr>
          <w:rFonts w:hint="eastAsia" w:ascii="仿宋_GB2312" w:hAnsi="宋体" w:eastAsia="仿宋_GB2312" w:cs="方正仿宋_GBK"/>
          <w:color w:val="auto"/>
          <w:sz w:val="32"/>
          <w:szCs w:val="32"/>
        </w:rPr>
        <w:t>妥善应对和处置</w:t>
      </w:r>
      <w:r>
        <w:rPr>
          <w:rFonts w:ascii="仿宋_GB2312" w:hAnsi="宋体" w:eastAsia="仿宋_GB2312" w:cs="方正仿宋_GBK"/>
          <w:color w:val="auto"/>
          <w:sz w:val="32"/>
          <w:szCs w:val="32"/>
        </w:rPr>
        <w:t>通海、</w:t>
      </w:r>
      <w:r>
        <w:rPr>
          <w:rFonts w:hint="eastAsia" w:ascii="仿宋_GB2312" w:hAnsi="宋体" w:eastAsia="仿宋_GB2312" w:cs="方正仿宋_GBK"/>
          <w:color w:val="auto"/>
          <w:sz w:val="32"/>
          <w:szCs w:val="32"/>
        </w:rPr>
        <w:t>墨江</w:t>
      </w:r>
      <w:r>
        <w:rPr>
          <w:rFonts w:ascii="仿宋_GB2312" w:hAnsi="宋体" w:eastAsia="仿宋_GB2312" w:cs="方正仿宋_GBK"/>
          <w:color w:val="auto"/>
          <w:sz w:val="32"/>
          <w:szCs w:val="32"/>
        </w:rPr>
        <w:t>、</w:t>
      </w:r>
      <w:r>
        <w:rPr>
          <w:rFonts w:hint="eastAsia" w:ascii="仿宋_GB2312" w:hAnsi="宋体" w:eastAsia="仿宋_GB2312" w:cs="方正仿宋_GBK"/>
          <w:color w:val="auto"/>
          <w:sz w:val="32"/>
          <w:szCs w:val="32"/>
        </w:rPr>
        <w:t>巧家等6次破坏性地震。</w:t>
      </w:r>
    </w:p>
    <w:p>
      <w:pPr>
        <w:autoSpaceDE w:val="0"/>
        <w:autoSpaceDN w:val="0"/>
        <w:adjustRightInd w:val="0"/>
        <w:ind w:firstLine="643" w:firstLineChars="200"/>
        <w:rPr>
          <w:rFonts w:ascii="仿宋_GB2312" w:hAnsi="宋体" w:eastAsia="仿宋_GB2312" w:cs="方正仿宋_GBK"/>
          <w:color w:val="auto"/>
          <w:sz w:val="32"/>
          <w:szCs w:val="32"/>
        </w:rPr>
      </w:pPr>
      <w:r>
        <w:rPr>
          <w:rFonts w:hint="eastAsia" w:ascii="楷体" w:hAnsi="楷体" w:eastAsia="楷体" w:cs="楷体"/>
          <w:b/>
          <w:bCs/>
          <w:color w:val="auto"/>
          <w:kern w:val="0"/>
          <w:sz w:val="32"/>
          <w:szCs w:val="32"/>
        </w:rPr>
        <w:t>地震科技和社会服务取得新成就。</w:t>
      </w:r>
      <w:r>
        <w:rPr>
          <w:rFonts w:hint="eastAsia" w:ascii="仿宋_GB2312" w:eastAsia="仿宋_GB2312" w:cs="仿宋"/>
          <w:color w:val="auto"/>
          <w:kern w:val="0"/>
          <w:sz w:val="32"/>
          <w:szCs w:val="32"/>
        </w:rPr>
        <w:t>召开</w:t>
      </w:r>
      <w:r>
        <w:rPr>
          <w:rFonts w:hint="eastAsia" w:ascii="仿宋_GB2312" w:hAnsi="宋体" w:eastAsia="仿宋_GB2312" w:cs="方正仿宋_GBK"/>
          <w:color w:val="auto"/>
          <w:sz w:val="32"/>
          <w:szCs w:val="32"/>
        </w:rPr>
        <w:t>全省地震科技创新大会。宾川</w:t>
      </w:r>
      <w:r>
        <w:rPr>
          <w:rFonts w:ascii="仿宋_GB2312" w:hAnsi="宋体" w:eastAsia="仿宋_GB2312" w:cs="方正仿宋_GBK"/>
          <w:color w:val="auto"/>
          <w:sz w:val="32"/>
          <w:szCs w:val="32"/>
        </w:rPr>
        <w:t>主动源探测项目、</w:t>
      </w:r>
      <w:r>
        <w:rPr>
          <w:rFonts w:hint="eastAsia" w:ascii="仿宋_GB2312" w:hAnsi="宋体" w:eastAsia="仿宋_GB2312" w:cs="方正仿宋_GBK"/>
          <w:color w:val="auto"/>
          <w:sz w:val="32"/>
          <w:szCs w:val="32"/>
        </w:rPr>
        <w:t>亚失稳野外实验研究取得新进展。举办3期发展中国家地震学与地震工程国际培训班。实施</w:t>
      </w:r>
      <w:r>
        <w:rPr>
          <w:rFonts w:ascii="仿宋_GB2312" w:hAnsi="宋体" w:eastAsia="仿宋_GB2312" w:cs="方正仿宋_GBK"/>
          <w:color w:val="auto"/>
          <w:sz w:val="32"/>
          <w:szCs w:val="32"/>
        </w:rPr>
        <w:t>“一带一路”地震监测台网项目</w:t>
      </w:r>
      <w:r>
        <w:rPr>
          <w:rFonts w:hint="eastAsia" w:ascii="仿宋_GB2312" w:hAnsi="宋体" w:eastAsia="仿宋_GB2312" w:cs="方正仿宋_GBK"/>
          <w:color w:val="auto"/>
          <w:sz w:val="32"/>
          <w:szCs w:val="32"/>
        </w:rPr>
        <w:t>。与泰国、缅甸、老挝等国以及</w:t>
      </w:r>
      <w:r>
        <w:rPr>
          <w:rFonts w:ascii="仿宋_GB2312" w:hAnsi="宋体" w:eastAsia="仿宋_GB2312" w:cs="方正仿宋_GBK"/>
          <w:color w:val="auto"/>
          <w:sz w:val="32"/>
          <w:szCs w:val="32"/>
        </w:rPr>
        <w:t>北京大学</w:t>
      </w:r>
      <w:r>
        <w:rPr>
          <w:rFonts w:hint="eastAsia" w:ascii="仿宋_GB2312" w:hAnsi="宋体" w:eastAsia="仿宋_GB2312" w:cs="方正仿宋_GBK"/>
          <w:color w:val="auto"/>
          <w:sz w:val="32"/>
          <w:szCs w:val="32"/>
        </w:rPr>
        <w:t>、</w:t>
      </w:r>
      <w:r>
        <w:rPr>
          <w:rFonts w:ascii="仿宋_GB2312" w:hAnsi="宋体" w:eastAsia="仿宋_GB2312" w:cs="方正仿宋_GBK"/>
          <w:color w:val="auto"/>
          <w:sz w:val="32"/>
          <w:szCs w:val="32"/>
        </w:rPr>
        <w:t>中国科技大学</w:t>
      </w:r>
      <w:r>
        <w:rPr>
          <w:rFonts w:hint="eastAsia" w:ascii="仿宋_GB2312" w:hAnsi="宋体" w:eastAsia="仿宋_GB2312" w:cs="方正仿宋_GBK"/>
          <w:color w:val="auto"/>
          <w:sz w:val="32"/>
          <w:szCs w:val="32"/>
        </w:rPr>
        <w:t>和南京大学等高校开展国际、国内</w:t>
      </w:r>
      <w:r>
        <w:rPr>
          <w:rFonts w:ascii="仿宋_GB2312" w:hAnsi="宋体" w:eastAsia="仿宋_GB2312" w:cs="方正仿宋_GBK"/>
          <w:color w:val="auto"/>
          <w:sz w:val="32"/>
          <w:szCs w:val="32"/>
        </w:rPr>
        <w:t>地震科技合作</w:t>
      </w:r>
      <w:r>
        <w:rPr>
          <w:rFonts w:hint="eastAsia" w:ascii="仿宋_GB2312" w:hAnsi="宋体" w:eastAsia="仿宋_GB2312" w:cs="方正仿宋_GBK"/>
          <w:color w:val="auto"/>
          <w:sz w:val="32"/>
          <w:szCs w:val="32"/>
        </w:rPr>
        <w:t>与交流。</w:t>
      </w:r>
      <w:r>
        <w:rPr>
          <w:rFonts w:ascii="仿宋_GB2312" w:hAnsi="宋体" w:eastAsia="仿宋_GB2312" w:cs="方正仿宋_GBK"/>
          <w:color w:val="auto"/>
          <w:sz w:val="32"/>
          <w:szCs w:val="32"/>
        </w:rPr>
        <w:t>创建</w:t>
      </w:r>
      <w:r>
        <w:rPr>
          <w:rFonts w:hint="eastAsia" w:ascii="仿宋_GB2312" w:hAnsi="宋体" w:eastAsia="仿宋_GB2312" w:cs="方正仿宋_GBK"/>
          <w:color w:val="auto"/>
          <w:sz w:val="32"/>
          <w:szCs w:val="32"/>
        </w:rPr>
        <w:t>国家级和省级</w:t>
      </w:r>
      <w:r>
        <w:rPr>
          <w:rFonts w:ascii="仿宋_GB2312" w:hAnsi="宋体" w:eastAsia="仿宋_GB2312" w:cs="方正仿宋_GBK"/>
          <w:color w:val="auto"/>
          <w:sz w:val="32"/>
          <w:szCs w:val="32"/>
        </w:rPr>
        <w:t>防震减灾科普示范学校</w:t>
      </w:r>
      <w:r>
        <w:rPr>
          <w:rFonts w:hint="eastAsia" w:ascii="仿宋_GB2312" w:hAnsi="宋体" w:eastAsia="仿宋_GB2312" w:cs="方正仿宋_GBK"/>
          <w:color w:val="auto"/>
          <w:sz w:val="32"/>
          <w:szCs w:val="32"/>
        </w:rPr>
        <w:t>259所。召开全省防震减灾科普大会，制作多种具有云南民族特色的防震减灾科普宣传作品，组织</w:t>
      </w:r>
      <w:r>
        <w:rPr>
          <w:rFonts w:ascii="仿宋_GB2312" w:hAnsi="宋体" w:eastAsia="仿宋_GB2312" w:cs="方正仿宋_GBK"/>
          <w:color w:val="auto"/>
          <w:sz w:val="32"/>
          <w:szCs w:val="32"/>
        </w:rPr>
        <w:t>开展</w:t>
      </w:r>
      <w:r>
        <w:rPr>
          <w:rFonts w:hint="eastAsia" w:ascii="仿宋_GB2312" w:hAnsi="宋体" w:eastAsia="仿宋_GB2312" w:cs="方正仿宋_GBK"/>
          <w:color w:val="auto"/>
          <w:sz w:val="32"/>
          <w:szCs w:val="32"/>
        </w:rPr>
        <w:t>形式多样</w:t>
      </w:r>
      <w:r>
        <w:rPr>
          <w:rFonts w:ascii="仿宋_GB2312" w:hAnsi="宋体" w:eastAsia="仿宋_GB2312" w:cs="方正仿宋_GBK"/>
          <w:color w:val="auto"/>
          <w:sz w:val="32"/>
          <w:szCs w:val="32"/>
        </w:rPr>
        <w:t>的</w:t>
      </w:r>
      <w:r>
        <w:rPr>
          <w:rFonts w:hint="eastAsia" w:ascii="仿宋_GB2312" w:hAnsi="宋体" w:eastAsia="仿宋_GB2312" w:cs="方正仿宋_GBK"/>
          <w:color w:val="auto"/>
          <w:sz w:val="32"/>
          <w:szCs w:val="32"/>
        </w:rPr>
        <w:t>防震减灾宣传</w:t>
      </w:r>
      <w:r>
        <w:rPr>
          <w:rFonts w:ascii="仿宋_GB2312" w:hAnsi="宋体" w:eastAsia="仿宋_GB2312" w:cs="方正仿宋_GBK"/>
          <w:color w:val="auto"/>
          <w:sz w:val="32"/>
          <w:szCs w:val="32"/>
        </w:rPr>
        <w:t>教育</w:t>
      </w:r>
      <w:r>
        <w:rPr>
          <w:rFonts w:hint="eastAsia" w:ascii="仿宋_GB2312" w:hAnsi="宋体" w:eastAsia="仿宋_GB2312" w:cs="方正仿宋_GBK"/>
          <w:color w:val="auto"/>
          <w:sz w:val="32"/>
          <w:szCs w:val="32"/>
        </w:rPr>
        <w:t>活动，社会公众防震减灾意识和技能不断提高。</w:t>
      </w:r>
    </w:p>
    <w:p>
      <w:pPr>
        <w:pStyle w:val="3"/>
        <w:spacing w:before="0" w:after="0"/>
        <w:ind w:firstLine="640" w:firstLineChars="200"/>
        <w:rPr>
          <w:b w:val="0"/>
          <w:bCs/>
          <w:color w:val="auto"/>
          <w:szCs w:val="32"/>
        </w:rPr>
      </w:pPr>
      <w:bookmarkStart w:id="3" w:name="_Toc16605"/>
      <w:r>
        <w:rPr>
          <w:rFonts w:hint="eastAsia"/>
          <w:b w:val="0"/>
          <w:bCs/>
          <w:color w:val="auto"/>
          <w:szCs w:val="32"/>
        </w:rPr>
        <w:t>（二）“十四五”时期面临的形势</w:t>
      </w:r>
      <w:bookmarkEnd w:id="3"/>
    </w:p>
    <w:p>
      <w:pPr>
        <w:rPr>
          <w:rFonts w:ascii="仿宋_GB2312" w:hAnsi="宋体" w:eastAsia="仿宋_GB2312" w:cs="方正仿宋_GBK"/>
          <w:color w:val="auto"/>
          <w:sz w:val="32"/>
          <w:szCs w:val="32"/>
        </w:rPr>
      </w:pPr>
      <w:r>
        <w:rPr>
          <w:rFonts w:hint="eastAsia" w:ascii="仿宋_GB2312" w:hAnsi="仿宋_GB2312" w:eastAsia="仿宋_GB2312" w:cs="仿宋_GB2312"/>
          <w:color w:val="auto"/>
          <w:sz w:val="32"/>
          <w:szCs w:val="32"/>
        </w:rPr>
        <w:t xml:space="preserve">    以习近平同志为核心的党中央高度重视防震减灾工作。</w:t>
      </w:r>
      <w:r>
        <w:rPr>
          <w:rFonts w:hint="eastAsia" w:ascii="仿宋_GB2312" w:hAnsi="宋体" w:eastAsia="仿宋_GB2312" w:cs="方正仿宋_GBK"/>
          <w:color w:val="auto"/>
          <w:sz w:val="32"/>
          <w:szCs w:val="32"/>
        </w:rPr>
        <w:t>党的十八大以来，习近平总书记关于防灾减灾救灾和提高自然灾害防治能力重要论述以及对防震减灾工作的重要指示批示精神，为防震减灾工作指明了方向、明确了重点，是指导新时代防震减灾事业现代化建设的强大思想武器和行动指南。</w:t>
      </w:r>
    </w:p>
    <w:p>
      <w:pPr>
        <w:ind w:firstLine="640"/>
        <w:rPr>
          <w:rFonts w:ascii="仿宋_GB2312" w:hAnsi="宋体" w:eastAsia="仿宋_GB2312" w:cs="方正仿宋_GBK"/>
          <w:color w:val="auto"/>
          <w:sz w:val="32"/>
          <w:szCs w:val="32"/>
        </w:rPr>
      </w:pPr>
      <w:r>
        <w:rPr>
          <w:rFonts w:hint="eastAsia" w:ascii="仿宋_GB2312" w:hAnsi="宋体" w:eastAsia="仿宋_GB2312" w:cs="方正仿宋_GBK"/>
          <w:color w:val="auto"/>
          <w:sz w:val="32"/>
          <w:szCs w:val="32"/>
        </w:rPr>
        <w:t>随着第一个百年奋斗目标的如期实现，云南同全国一道迈上了全面建设社会主义现代化的新征程，防震减灾面临的机遇和挑战前所未有。</w:t>
      </w:r>
    </w:p>
    <w:p>
      <w:pPr>
        <w:ind w:firstLine="640"/>
        <w:rPr>
          <w:rFonts w:ascii="仿宋_GB2312" w:hAnsi="宋体" w:eastAsia="仿宋_GB2312" w:cs="方正仿宋_GBK"/>
          <w:color w:val="auto"/>
          <w:sz w:val="32"/>
          <w:szCs w:val="32"/>
        </w:rPr>
      </w:pPr>
      <w:r>
        <w:rPr>
          <w:rFonts w:hint="eastAsia" w:ascii="仿宋_GB2312" w:hAnsi="宋体" w:eastAsia="仿宋_GB2312" w:cs="方正仿宋_GBK"/>
          <w:color w:val="auto"/>
          <w:sz w:val="32"/>
          <w:szCs w:val="32"/>
        </w:rPr>
        <w:t>党的人民至上、生命至上的执政理念深入人心，各级党委政府、社会公众对防震减灾工作的关心、支持和关注度不断提高，人民群众对美好生活的地震安全保障需求也不断增强，防震减灾事业将迎来新的发展机遇。同时，社会财富不断增长、新型城镇化进程不断加快、人口分布高度集中，特别是交通、油气、水电等重大基础设施越来越密集，城市规模越来越大，各类地震灾害风险交织关联，各种隐患威胁相互叠加，防震减灾工作面临新的巨大挑战。</w:t>
      </w:r>
    </w:p>
    <w:p>
      <w:pPr>
        <w:pStyle w:val="3"/>
        <w:spacing w:before="0" w:after="0"/>
        <w:ind w:firstLine="640" w:firstLineChars="200"/>
        <w:rPr>
          <w:b w:val="0"/>
          <w:bCs/>
          <w:color w:val="auto"/>
          <w:szCs w:val="32"/>
        </w:rPr>
      </w:pPr>
      <w:bookmarkStart w:id="4" w:name="_Toc16017"/>
      <w:r>
        <w:rPr>
          <w:rFonts w:hint="eastAsia"/>
          <w:b w:val="0"/>
          <w:bCs/>
          <w:color w:val="auto"/>
          <w:szCs w:val="32"/>
        </w:rPr>
        <w:t>（三）“十四五”时期问题与挑战</w:t>
      </w:r>
      <w:bookmarkEnd w:id="4"/>
    </w:p>
    <w:p>
      <w:pPr>
        <w:ind w:firstLine="640" w:firstLineChars="200"/>
        <w:rPr>
          <w:rFonts w:ascii="仿宋_GB2312" w:hAnsi="宋体" w:eastAsia="仿宋_GB2312" w:cs="方正仿宋_GBK"/>
          <w:color w:val="auto"/>
          <w:sz w:val="32"/>
          <w:szCs w:val="32"/>
        </w:rPr>
      </w:pPr>
      <w:r>
        <w:rPr>
          <w:rFonts w:hint="eastAsia" w:ascii="仿宋_GB2312" w:hAnsi="宋体" w:eastAsia="仿宋_GB2312" w:cs="方正仿宋_GBK"/>
          <w:color w:val="auto"/>
          <w:sz w:val="32"/>
          <w:szCs w:val="32"/>
        </w:rPr>
        <w:t>2008年汶川8.0级特大地震深刻改变了包括云南在内的我国西部地区地震活动格局。云南6级、7级地震平静突破有历史记录以来的极限，“十四五”时期震情灾情形势将更加严峻复杂。面对党和人民的新要求、新期望以及日趋严峻的震情、灾情形势，云南防震减灾工作还存在不少短板弱项亟待提升。</w:t>
      </w:r>
    </w:p>
    <w:p>
      <w:pPr>
        <w:ind w:firstLine="640"/>
        <w:rPr>
          <w:rFonts w:ascii="仿宋_GB2312" w:hAnsi="宋体" w:eastAsia="仿宋_GB2312" w:cs="方正仿宋_GBK"/>
          <w:color w:val="auto"/>
          <w:sz w:val="32"/>
          <w:szCs w:val="32"/>
        </w:rPr>
      </w:pPr>
      <w:r>
        <w:rPr>
          <w:rFonts w:hint="eastAsia" w:ascii="楷体" w:hAnsi="楷体" w:eastAsia="楷体" w:cs="楷体"/>
          <w:b/>
          <w:bCs/>
          <w:color w:val="auto"/>
          <w:sz w:val="32"/>
          <w:szCs w:val="32"/>
        </w:rPr>
        <w:t>防震减灾基础能力不足。</w:t>
      </w:r>
      <w:r>
        <w:rPr>
          <w:rFonts w:hint="eastAsia" w:ascii="仿宋_GB2312" w:hAnsi="宋体" w:eastAsia="仿宋_GB2312" w:cs="方正仿宋_GBK"/>
          <w:color w:val="auto"/>
          <w:sz w:val="32"/>
          <w:szCs w:val="32"/>
        </w:rPr>
        <w:t>地震观测系统的运维投入与台网规模不相适应，观测环境不断恶化。地球物理监测台网布局不合理，信息化、网络化、智能化水平低，故障率逐年升高。防震减灾信息化支撑能力不足，信息服务的范围和形式、时效和质量与社会需求有较大差距。地震信息化基础支撑能力难以满足公共服务以及“全灾种、大应急”联动协同新需求。</w:t>
      </w:r>
    </w:p>
    <w:p>
      <w:pPr>
        <w:ind w:firstLine="640"/>
        <w:rPr>
          <w:rFonts w:ascii="仿宋_GB2312" w:hAnsi="宋体" w:eastAsia="仿宋_GB2312" w:cs="方正仿宋_GBK"/>
          <w:color w:val="auto"/>
          <w:sz w:val="32"/>
          <w:szCs w:val="32"/>
        </w:rPr>
      </w:pPr>
      <w:r>
        <w:rPr>
          <w:rFonts w:hint="eastAsia" w:ascii="楷体" w:hAnsi="楷体" w:eastAsia="楷体" w:cs="楷体"/>
          <w:b/>
          <w:bCs/>
          <w:color w:val="auto"/>
          <w:sz w:val="32"/>
          <w:szCs w:val="32"/>
        </w:rPr>
        <w:t>地震灾害风险防治能力不强。</w:t>
      </w:r>
      <w:r>
        <w:rPr>
          <w:rFonts w:hint="eastAsia" w:ascii="仿宋_GB2312" w:hAnsi="宋体" w:eastAsia="仿宋_GB2312" w:cs="方正仿宋_GBK"/>
          <w:color w:val="auto"/>
          <w:sz w:val="32"/>
          <w:szCs w:val="32"/>
        </w:rPr>
        <w:t>云南地处高原，山高谷深，全省91.2%的国土面积处于Ⅶ度以上地震高烈度区，1500万人居住在活动断层控制的盆地区域。目前，隐伏活动断层探测、观测、识别技术滞后，对大震构造认识仍有不少盲点，灾害风险底数不清。大量长距离、大跨度油气管线，高速公路、铁路等现代化基础设施接近或直接处于大震危险源地带，地震灾害风险隐患巨大。</w:t>
      </w:r>
    </w:p>
    <w:p>
      <w:pPr>
        <w:autoSpaceDE w:val="0"/>
        <w:autoSpaceDN w:val="0"/>
        <w:adjustRightInd w:val="0"/>
        <w:ind w:firstLine="643" w:firstLineChars="200"/>
        <w:rPr>
          <w:rFonts w:ascii="仿宋_GB2312" w:hAnsi="宋体" w:eastAsia="仿宋_GB2312" w:cs="方正仿宋_GBK"/>
          <w:color w:val="auto"/>
          <w:sz w:val="32"/>
          <w:szCs w:val="32"/>
        </w:rPr>
      </w:pPr>
      <w:r>
        <w:rPr>
          <w:rFonts w:hint="eastAsia" w:ascii="楷体" w:hAnsi="楷体" w:eastAsia="楷体" w:cs="楷体"/>
          <w:b/>
          <w:bCs/>
          <w:color w:val="auto"/>
          <w:sz w:val="32"/>
          <w:szCs w:val="32"/>
        </w:rPr>
        <w:t>“防大震、救大灾”能力不足。</w:t>
      </w:r>
      <w:r>
        <w:rPr>
          <w:rFonts w:hint="eastAsia" w:ascii="仿宋_GB2312" w:hAnsi="宋体" w:eastAsia="仿宋_GB2312" w:cs="方正仿宋_GBK"/>
          <w:color w:val="auto"/>
          <w:sz w:val="32"/>
          <w:szCs w:val="32"/>
        </w:rPr>
        <w:t>全社会大震巨灾防范意识薄弱，自救互救、应急避险能力不强。大震救援装备和物资储备不足，地震次生衍生灾害防范能力不强。应对大震巨灾的体制机制不够完善，法律法规有待进一步健全。</w:t>
      </w:r>
    </w:p>
    <w:p>
      <w:pPr>
        <w:autoSpaceDE w:val="0"/>
        <w:autoSpaceDN w:val="0"/>
        <w:adjustRightInd w:val="0"/>
        <w:ind w:firstLine="643" w:firstLineChars="200"/>
        <w:rPr>
          <w:rFonts w:ascii="仿宋_GB2312" w:hAnsi="宋体" w:eastAsia="仿宋_GB2312" w:cs="方正仿宋_GBK"/>
          <w:color w:val="auto"/>
          <w:sz w:val="32"/>
          <w:szCs w:val="32"/>
        </w:rPr>
      </w:pPr>
      <w:r>
        <w:rPr>
          <w:rFonts w:hint="eastAsia" w:ascii="楷体" w:hAnsi="楷体" w:eastAsia="楷体" w:cs="楷体"/>
          <w:b/>
          <w:bCs/>
          <w:color w:val="auto"/>
          <w:sz w:val="32"/>
          <w:szCs w:val="32"/>
        </w:rPr>
        <w:t>地震科技支撑与公共服务能力有待加强。</w:t>
      </w:r>
      <w:r>
        <w:rPr>
          <w:rFonts w:hint="eastAsia" w:ascii="仿宋_GB2312" w:hAnsi="宋体" w:eastAsia="仿宋_GB2312" w:cs="方正仿宋_GBK"/>
          <w:color w:val="auto"/>
          <w:sz w:val="32"/>
          <w:szCs w:val="32"/>
        </w:rPr>
        <w:t>对强震孕震过程和地震前兆时空演化特征的认识仍然十分有限，地震预测预报领域核心关键问题仍需持续深入探索。对复杂工程结构的地震动力响应特征和致灾机理需要加强观测与研究。云南防震减灾公共服务产品单一、服务范围狭窄、服务技术落后，不能满足党委政府和社会公众的新需求。</w:t>
      </w:r>
    </w:p>
    <w:p>
      <w:pPr>
        <w:pStyle w:val="2"/>
        <w:spacing w:before="0" w:after="0"/>
        <w:ind w:firstLine="720" w:firstLineChars="200"/>
        <w:rPr>
          <w:rFonts w:ascii="黑体" w:hAnsi="黑体" w:eastAsia="黑体" w:cs="黑体"/>
          <w:b w:val="0"/>
          <w:bCs/>
          <w:color w:val="auto"/>
          <w:sz w:val="36"/>
          <w:szCs w:val="36"/>
        </w:rPr>
      </w:pPr>
      <w:bookmarkStart w:id="5" w:name="_Toc27291"/>
      <w:r>
        <w:rPr>
          <w:rFonts w:hint="eastAsia" w:ascii="黑体" w:hAnsi="黑体" w:eastAsia="黑体" w:cs="黑体"/>
          <w:b w:val="0"/>
          <w:bCs/>
          <w:color w:val="auto"/>
          <w:sz w:val="36"/>
          <w:szCs w:val="36"/>
        </w:rPr>
        <w:t>二、指导思想、基本原则和主要目标</w:t>
      </w:r>
      <w:bookmarkEnd w:id="5"/>
    </w:p>
    <w:p>
      <w:pPr>
        <w:pStyle w:val="3"/>
        <w:spacing w:before="0" w:after="0"/>
        <w:ind w:firstLine="640" w:firstLineChars="200"/>
        <w:rPr>
          <w:b w:val="0"/>
          <w:bCs/>
          <w:color w:val="auto"/>
          <w:szCs w:val="32"/>
        </w:rPr>
      </w:pPr>
      <w:bookmarkStart w:id="6" w:name="_Toc13884"/>
      <w:r>
        <w:rPr>
          <w:rFonts w:hint="eastAsia"/>
          <w:b w:val="0"/>
          <w:bCs/>
          <w:color w:val="auto"/>
          <w:szCs w:val="32"/>
        </w:rPr>
        <w:t>（一）指导思想</w:t>
      </w:r>
      <w:bookmarkEnd w:id="6"/>
    </w:p>
    <w:p>
      <w:pPr>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以习近平新时代中国特色社会主义思想为指导，全面贯彻党的十九大和十九届二中、三中、四中、五中全会精神，深入学习贯彻习近平总书记关于防灾减灾救灾和提高自然灾害防治能力重要论述以及对防震减灾工作重要指示批示精神、</w:t>
      </w:r>
      <w:r>
        <w:rPr>
          <w:rFonts w:hint="eastAsia" w:ascii="仿宋_GB2312" w:eastAsia="仿宋_GB2312" w:cs="仿宋"/>
          <w:color w:val="auto"/>
          <w:kern w:val="0"/>
          <w:sz w:val="32"/>
          <w:szCs w:val="32"/>
        </w:rPr>
        <w:t>视察云南重要讲话精神</w:t>
      </w:r>
      <w:r>
        <w:rPr>
          <w:rFonts w:hint="eastAsia" w:ascii="仿宋_GB2312" w:hAnsi="仿宋_GB2312" w:eastAsia="仿宋_GB2312" w:cs="仿宋_GB2312"/>
          <w:color w:val="auto"/>
          <w:sz w:val="32"/>
          <w:szCs w:val="32"/>
        </w:rPr>
        <w:t>，坚持以人民为中心的发展思想，坚持总体国家安全观，坚持以防为主、防抗救相结合，坚持常态减灾和非常态救灾相统一。进一步夯实监测基础，加强预报预警，摸清风险底数，强化抗震设防，保障应急响应，增强公共服务，创新地震科技，推进防震减灾事业现代化，实现高质量发展，保障云南全面建设社会主义现代化开好局、起好步。</w:t>
      </w:r>
    </w:p>
    <w:p>
      <w:pPr>
        <w:pStyle w:val="3"/>
        <w:spacing w:before="0" w:after="0"/>
        <w:ind w:firstLine="640" w:firstLineChars="200"/>
        <w:rPr>
          <w:b w:val="0"/>
          <w:bCs/>
          <w:color w:val="auto"/>
          <w:szCs w:val="32"/>
        </w:rPr>
      </w:pPr>
      <w:bookmarkStart w:id="7" w:name="_Toc26256"/>
      <w:r>
        <w:rPr>
          <w:rFonts w:hint="eastAsia"/>
          <w:b w:val="0"/>
          <w:bCs/>
          <w:color w:val="auto"/>
          <w:szCs w:val="32"/>
        </w:rPr>
        <w:t>（二）基本原则</w:t>
      </w:r>
      <w:bookmarkEnd w:id="7"/>
    </w:p>
    <w:p>
      <w:pPr>
        <w:ind w:firstLine="643" w:firstLineChars="200"/>
        <w:rPr>
          <w:rFonts w:ascii="仿宋_GB2312" w:eastAsia="仿宋_GB2312"/>
          <w:color w:val="auto"/>
          <w:sz w:val="32"/>
          <w:szCs w:val="32"/>
        </w:rPr>
      </w:pPr>
      <w:r>
        <w:rPr>
          <w:rFonts w:hint="eastAsia" w:ascii="楷体" w:hAnsi="楷体" w:eastAsia="楷体" w:cs="楷体"/>
          <w:b/>
          <w:bCs/>
          <w:color w:val="auto"/>
          <w:kern w:val="0"/>
          <w:sz w:val="32"/>
          <w:szCs w:val="32"/>
        </w:rPr>
        <w:t>1.坚持党的全面领导，确保防震减灾事业现代化建设的正确方向。</w:t>
      </w:r>
      <w:r>
        <w:rPr>
          <w:rFonts w:hint="eastAsia" w:ascii="仿宋_GB2312" w:eastAsia="仿宋_GB2312" w:cs="仿宋"/>
          <w:color w:val="auto"/>
          <w:kern w:val="0"/>
          <w:sz w:val="32"/>
          <w:szCs w:val="32"/>
        </w:rPr>
        <w:t>防震</w:t>
      </w:r>
      <w:r>
        <w:rPr>
          <w:rFonts w:hint="eastAsia" w:ascii="仿宋_GB2312" w:eastAsia="仿宋_GB2312"/>
          <w:color w:val="auto"/>
          <w:sz w:val="32"/>
          <w:szCs w:val="32"/>
        </w:rPr>
        <w:t xml:space="preserve">减灾事业是一项涉及全社会安全的系统工程，必须加强党对防震减灾事业的集中统一领导，充分发挥我国社会主义制度优势，进一步健全完善防震减灾工作体制机制，有效动员全社会积极推进防震减灾事业现代化建设。 </w:t>
      </w:r>
    </w:p>
    <w:p>
      <w:pPr>
        <w:ind w:firstLine="643" w:firstLineChars="200"/>
        <w:rPr>
          <w:rFonts w:ascii="仿宋_GB2312" w:eastAsia="仿宋_GB2312"/>
          <w:color w:val="auto"/>
          <w:sz w:val="32"/>
          <w:szCs w:val="32"/>
        </w:rPr>
      </w:pPr>
      <w:r>
        <w:rPr>
          <w:rFonts w:hint="eastAsia" w:ascii="楷体" w:hAnsi="楷体" w:eastAsia="楷体" w:cs="楷体"/>
          <w:b/>
          <w:bCs/>
          <w:color w:val="auto"/>
          <w:kern w:val="0"/>
          <w:sz w:val="32"/>
          <w:szCs w:val="32"/>
        </w:rPr>
        <w:t>2.坚持以人民为中心的发展思想，切实把人民群众生命安全放在首位。</w:t>
      </w:r>
      <w:r>
        <w:rPr>
          <w:rFonts w:hint="eastAsia" w:ascii="仿宋_GB2312" w:eastAsia="仿宋_GB2312"/>
          <w:color w:val="auto"/>
          <w:sz w:val="32"/>
          <w:szCs w:val="32"/>
        </w:rPr>
        <w:t xml:space="preserve">夯实基层防震减灾基础，提升地震安全服务保障能力，努力提供优质高效的防震减灾公共服务，以服务需求引领防震减灾事业发展，不断增强全民防震减灾意识，切实减轻地震灾害损失。 </w:t>
      </w:r>
    </w:p>
    <w:p>
      <w:pPr>
        <w:ind w:firstLine="643" w:firstLineChars="200"/>
        <w:rPr>
          <w:rFonts w:ascii="仿宋_GB2312" w:eastAsia="仿宋_GB2312"/>
          <w:color w:val="auto"/>
          <w:sz w:val="32"/>
          <w:szCs w:val="32"/>
        </w:rPr>
      </w:pPr>
      <w:r>
        <w:rPr>
          <w:rFonts w:hint="eastAsia" w:ascii="楷体" w:hAnsi="楷体" w:eastAsia="楷体" w:cs="楷体"/>
          <w:b/>
          <w:bCs/>
          <w:color w:val="auto"/>
          <w:kern w:val="0"/>
          <w:sz w:val="32"/>
          <w:szCs w:val="32"/>
        </w:rPr>
        <w:t>3.坚持预防为主，提升地震灾害风险管理能力。</w:t>
      </w:r>
      <w:r>
        <w:rPr>
          <w:rFonts w:hint="eastAsia" w:ascii="仿宋_GB2312" w:eastAsia="仿宋_GB2312" w:cs="仿宋"/>
          <w:color w:val="auto"/>
          <w:kern w:val="0"/>
          <w:sz w:val="32"/>
          <w:szCs w:val="32"/>
        </w:rPr>
        <w:t>树立</w:t>
      </w:r>
      <w:r>
        <w:rPr>
          <w:rFonts w:hint="eastAsia" w:ascii="仿宋_GB2312" w:eastAsia="仿宋_GB2312"/>
          <w:color w:val="auto"/>
          <w:sz w:val="32"/>
          <w:szCs w:val="32"/>
        </w:rPr>
        <w:t xml:space="preserve">地震灾害风险管理和综合减灾理念，科学认识和把握地震风险演变规律，摸清地震灾害风险底数，加强地震灾害风险防治，坚持关口前移，重心下沉，全面提升地震灾害风险综合防范能力，最大限度减轻地震灾害风险。 </w:t>
      </w:r>
    </w:p>
    <w:p>
      <w:pPr>
        <w:ind w:firstLine="643" w:firstLineChars="200"/>
        <w:rPr>
          <w:rFonts w:ascii="仿宋_GB2312" w:eastAsia="仿宋_GB2312"/>
          <w:color w:val="auto"/>
          <w:sz w:val="32"/>
          <w:szCs w:val="32"/>
        </w:rPr>
      </w:pPr>
      <w:r>
        <w:rPr>
          <w:rFonts w:hint="eastAsia" w:ascii="楷体" w:hAnsi="楷体" w:eastAsia="楷体" w:cs="楷体"/>
          <w:b/>
          <w:bCs/>
          <w:color w:val="auto"/>
          <w:kern w:val="0"/>
          <w:sz w:val="32"/>
          <w:szCs w:val="32"/>
        </w:rPr>
        <w:t>4.坚持改革创新，推动防震减灾事业高质量发展。</w:t>
      </w:r>
      <w:r>
        <w:rPr>
          <w:rFonts w:hint="eastAsia" w:ascii="仿宋_GB2312" w:eastAsia="仿宋_GB2312" w:cs="仿宋"/>
          <w:color w:val="auto"/>
          <w:kern w:val="0"/>
          <w:sz w:val="32"/>
          <w:szCs w:val="32"/>
        </w:rPr>
        <w:t>聚</w:t>
      </w:r>
      <w:r>
        <w:rPr>
          <w:rFonts w:hint="eastAsia" w:ascii="仿宋_GB2312" w:eastAsia="仿宋_GB2312"/>
          <w:color w:val="auto"/>
          <w:sz w:val="32"/>
          <w:szCs w:val="32"/>
        </w:rPr>
        <w:t xml:space="preserve">焦云南防震减灾事业现代化关键问题，重点突破制约防震减灾事业现代化的“瓶颈”问题，紧密结合云南经济社会发展实际，创新防震减灾发展思路和举措，突出云南防震减灾特色，推动新时代云南防震减灾事业现代化建设。 </w:t>
      </w:r>
    </w:p>
    <w:p>
      <w:pPr>
        <w:autoSpaceDE w:val="0"/>
        <w:autoSpaceDN w:val="0"/>
        <w:adjustRightInd w:val="0"/>
        <w:ind w:firstLine="643" w:firstLineChars="200"/>
        <w:rPr>
          <w:rFonts w:ascii="仿宋_GB2312" w:eastAsia="仿宋_GB2312"/>
          <w:color w:val="auto"/>
          <w:sz w:val="32"/>
          <w:szCs w:val="32"/>
        </w:rPr>
      </w:pPr>
      <w:r>
        <w:rPr>
          <w:rFonts w:hint="eastAsia" w:ascii="楷体" w:hAnsi="楷体" w:eastAsia="楷体" w:cs="楷体"/>
          <w:b/>
          <w:bCs/>
          <w:color w:val="auto"/>
          <w:kern w:val="0"/>
          <w:sz w:val="32"/>
          <w:szCs w:val="32"/>
        </w:rPr>
        <w:t>5.坚持系统观念，主动融入全省经济社会发展大局和全国防震减灾事业现代化建设全局。</w:t>
      </w:r>
      <w:r>
        <w:rPr>
          <w:rFonts w:hint="eastAsia" w:ascii="仿宋_GB2312" w:eastAsia="仿宋_GB2312" w:cs="仿宋"/>
          <w:color w:val="auto"/>
          <w:kern w:val="0"/>
          <w:sz w:val="32"/>
          <w:szCs w:val="32"/>
        </w:rPr>
        <w:t>统筹安</w:t>
      </w:r>
      <w:r>
        <w:rPr>
          <w:rFonts w:hint="eastAsia" w:ascii="仿宋_GB2312" w:eastAsia="仿宋_GB2312"/>
          <w:color w:val="auto"/>
          <w:sz w:val="32"/>
          <w:szCs w:val="32"/>
        </w:rPr>
        <w:t>全和发展。强化顶层设计，科学谋划事业发展方向，着力固根基、扬优势、补短板、强弱项，攻坚克难，奋力走在全国防震减灾工作前列。</w:t>
      </w:r>
    </w:p>
    <w:p>
      <w:pPr>
        <w:pStyle w:val="3"/>
        <w:spacing w:before="0" w:after="0"/>
        <w:ind w:firstLine="640" w:firstLineChars="200"/>
        <w:rPr>
          <w:b w:val="0"/>
          <w:bCs/>
          <w:color w:val="auto"/>
          <w:szCs w:val="32"/>
        </w:rPr>
      </w:pPr>
      <w:bookmarkStart w:id="8" w:name="_Toc21663"/>
      <w:r>
        <w:rPr>
          <w:rFonts w:hint="eastAsia"/>
          <w:b w:val="0"/>
          <w:bCs/>
          <w:color w:val="auto"/>
          <w:szCs w:val="32"/>
        </w:rPr>
        <w:t>（三）主要目标</w:t>
      </w:r>
      <w:bookmarkEnd w:id="8"/>
    </w:p>
    <w:p>
      <w:pPr>
        <w:autoSpaceDE w:val="0"/>
        <w:autoSpaceDN w:val="0"/>
        <w:adjustRightInd w:val="0"/>
        <w:ind w:firstLine="640" w:firstLineChars="200"/>
        <w:rPr>
          <w:rFonts w:ascii="仿宋_GB2312" w:eastAsia="仿宋_GB2312"/>
          <w:color w:val="auto"/>
          <w:sz w:val="32"/>
          <w:szCs w:val="32"/>
        </w:rPr>
      </w:pPr>
      <w:r>
        <w:rPr>
          <w:rFonts w:hint="eastAsia" w:ascii="仿宋_GB2312" w:eastAsia="仿宋_GB2312"/>
          <w:color w:val="auto"/>
          <w:sz w:val="32"/>
          <w:szCs w:val="32"/>
        </w:rPr>
        <w:t>到2025年，初步形成以监测智能、防治精细、服务高效、科技先进、管理科学为标志的新时代云南省防震减灾事业现代化体系，地震监测预报预警、地震灾害风险防治、防震减灾公共服务和地震应急救援保障能力显著提高，地震预报预警工作取得新突破，地震科技和地震灾害防御水平明显提升，高质量防震减灾公共服务体系基本建成，社会公众防震减灾素质进一步提升，“防大震、减大灾，抗大震、救大灾”服务能力明显增强，保障云南经济社会发展和人民群众生命财产安全更加有力。</w:t>
      </w:r>
    </w:p>
    <w:p>
      <w:pPr>
        <w:autoSpaceDE w:val="0"/>
        <w:autoSpaceDN w:val="0"/>
        <w:adjustRightInd w:val="0"/>
        <w:jc w:val="center"/>
        <w:rPr>
          <w:rFonts w:ascii="楷体" w:hAnsi="楷体" w:eastAsia="楷体" w:cs="楷体"/>
          <w:color w:val="auto"/>
          <w:sz w:val="32"/>
          <w:szCs w:val="32"/>
        </w:rPr>
      </w:pPr>
      <w:r>
        <w:rPr>
          <w:rFonts w:hint="eastAsia" w:ascii="楷体" w:hAnsi="楷体" w:eastAsia="楷体" w:cs="楷体"/>
          <w:color w:val="auto"/>
          <w:sz w:val="32"/>
          <w:szCs w:val="32"/>
        </w:rPr>
        <w:t>“十四五”主要量化指标</w:t>
      </w:r>
    </w:p>
    <w:p>
      <w:pPr>
        <w:autoSpaceDE w:val="0"/>
        <w:autoSpaceDN w:val="0"/>
        <w:adjustRightInd w:val="0"/>
        <w:rPr>
          <w:rFonts w:ascii="楷体" w:hAnsi="楷体" w:eastAsia="楷体" w:cs="楷体"/>
          <w:color w:val="auto"/>
          <w:sz w:val="24"/>
        </w:rPr>
      </w:pPr>
      <w:r>
        <w:rPr>
          <w:rFonts w:hint="eastAsia" w:ascii="楷体" w:hAnsi="楷体" w:eastAsia="楷体" w:cs="楷体"/>
          <w:color w:val="auto"/>
          <w:sz w:val="24"/>
        </w:rPr>
        <w:t>（注：《国家防震减灾“十四五”规划》定稿后，结合云南实际，修订完善）</w:t>
      </w:r>
    </w:p>
    <w:tbl>
      <w:tblPr>
        <w:tblStyle w:val="13"/>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3969"/>
        <w:gridCol w:w="3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Align w:val="center"/>
          </w:tcPr>
          <w:p>
            <w:pPr>
              <w:spacing w:line="560" w:lineRule="exact"/>
              <w:jc w:val="center"/>
              <w:rPr>
                <w:rFonts w:ascii="仿宋_GB2312" w:hAnsi="仿宋" w:eastAsia="仿宋_GB2312"/>
                <w:color w:val="auto"/>
                <w:sz w:val="24"/>
              </w:rPr>
            </w:pPr>
            <w:r>
              <w:rPr>
                <w:rFonts w:hint="eastAsia" w:ascii="仿宋_GB2312" w:hAnsi="仿宋" w:eastAsia="仿宋_GB2312"/>
                <w:color w:val="auto"/>
                <w:sz w:val="24"/>
              </w:rPr>
              <w:t>类别</w:t>
            </w:r>
          </w:p>
        </w:tc>
        <w:tc>
          <w:tcPr>
            <w:tcW w:w="3969" w:type="dxa"/>
            <w:vAlign w:val="center"/>
          </w:tcPr>
          <w:p>
            <w:pPr>
              <w:spacing w:line="560" w:lineRule="exact"/>
              <w:jc w:val="center"/>
              <w:rPr>
                <w:rFonts w:ascii="仿宋_GB2312" w:hAnsi="仿宋" w:eastAsia="仿宋_GB2312"/>
                <w:color w:val="auto"/>
                <w:sz w:val="24"/>
              </w:rPr>
            </w:pPr>
            <w:r>
              <w:rPr>
                <w:rFonts w:hint="eastAsia" w:ascii="仿宋_GB2312" w:hAnsi="仿宋" w:eastAsia="仿宋_GB2312"/>
                <w:color w:val="auto"/>
                <w:sz w:val="24"/>
              </w:rPr>
              <w:t>指标内容</w:t>
            </w:r>
          </w:p>
        </w:tc>
        <w:tc>
          <w:tcPr>
            <w:tcW w:w="3685" w:type="dxa"/>
            <w:vAlign w:val="center"/>
          </w:tcPr>
          <w:p>
            <w:pPr>
              <w:spacing w:line="560" w:lineRule="exact"/>
              <w:jc w:val="center"/>
              <w:rPr>
                <w:rFonts w:ascii="仿宋_GB2312" w:hAnsi="仿宋" w:eastAsia="仿宋_GB2312"/>
                <w:color w:val="auto"/>
                <w:sz w:val="24"/>
              </w:rPr>
            </w:pPr>
            <w:r>
              <w:rPr>
                <w:rFonts w:hint="eastAsia" w:ascii="仿宋_GB2312" w:hAnsi="仿宋" w:eastAsia="仿宋_GB2312"/>
                <w:color w:val="auto"/>
                <w:sz w:val="24"/>
              </w:rPr>
              <w:t>预期值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减灾</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效益</w:t>
            </w: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地震灾害风险指数</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降幅**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地震灾害直接经济损失占GDP比例</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小于**%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地震</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监测</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预报</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预警</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能力</w:t>
            </w: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地震监测能力</w:t>
            </w:r>
          </w:p>
        </w:tc>
        <w:tc>
          <w:tcPr>
            <w:tcW w:w="3685" w:type="dxa"/>
            <w:vAlign w:val="center"/>
          </w:tcPr>
          <w:p>
            <w:pPr>
              <w:spacing w:line="560" w:lineRule="exact"/>
              <w:rPr>
                <w:rFonts w:ascii="仿宋_GB2312" w:hAnsi="仿宋" w:eastAsia="仿宋_GB2312"/>
                <w:color w:val="auto"/>
                <w:sz w:val="20"/>
                <w:szCs w:val="20"/>
              </w:rPr>
            </w:pPr>
            <w:r>
              <w:rPr>
                <w:rFonts w:hint="eastAsia" w:ascii="仿宋_GB2312" w:hAnsi="仿宋" w:eastAsia="仿宋_GB2312"/>
                <w:color w:val="auto"/>
                <w:sz w:val="20"/>
                <w:szCs w:val="20"/>
              </w:rPr>
              <w:t>全省域内地震监测能力达到</w:t>
            </w:r>
            <w:r>
              <w:rPr>
                <w:rFonts w:ascii="仿宋_GB2312" w:hAnsi="仿宋" w:eastAsia="仿宋_GB2312"/>
                <w:color w:val="auto"/>
                <w:sz w:val="20"/>
                <w:szCs w:val="20"/>
              </w:rPr>
              <w:t>1.0</w:t>
            </w:r>
            <w:r>
              <w:rPr>
                <w:rFonts w:hint="eastAsia" w:ascii="仿宋_GB2312" w:hAnsi="仿宋" w:eastAsia="仿宋_GB2312"/>
                <w:color w:val="auto"/>
                <w:sz w:val="20"/>
                <w:szCs w:val="20"/>
              </w:rPr>
              <w:t>级，地震易发多发区域达到</w:t>
            </w:r>
            <w:r>
              <w:rPr>
                <w:rFonts w:ascii="仿宋_GB2312" w:hAnsi="仿宋" w:eastAsia="仿宋_GB2312"/>
                <w:color w:val="auto"/>
                <w:sz w:val="20"/>
                <w:szCs w:val="20"/>
              </w:rPr>
              <w:t>0.5</w:t>
            </w:r>
            <w:r>
              <w:rPr>
                <w:rFonts w:hint="eastAsia" w:ascii="仿宋_GB2312" w:hAnsi="仿宋" w:eastAsia="仿宋_GB2312"/>
                <w:color w:val="auto"/>
                <w:sz w:val="20"/>
                <w:szCs w:val="20"/>
              </w:rPr>
              <w:t>级。</w:t>
            </w:r>
            <w:r>
              <w:rPr>
                <w:rFonts w:ascii="仿宋_GB2312" w:hAnsi="仿宋" w:eastAsia="仿宋_GB2312"/>
                <w:color w:val="auto"/>
                <w:sz w:val="20"/>
                <w:szCs w:val="20"/>
              </w:rPr>
              <w:t>建成覆</w:t>
            </w:r>
            <w:r>
              <w:rPr>
                <w:rFonts w:hint="eastAsia" w:ascii="仿宋_GB2312" w:hAnsi="仿宋" w:eastAsia="仿宋_GB2312"/>
                <w:color w:val="auto"/>
                <w:sz w:val="20"/>
                <w:szCs w:val="20"/>
              </w:rPr>
              <w:t>盖云南境内所有乡镇，平均台站间距小于10</w:t>
            </w:r>
            <w:r>
              <w:rPr>
                <w:rFonts w:ascii="仿宋_GB2312" w:hAnsi="仿宋" w:eastAsia="仿宋_GB2312"/>
                <w:color w:val="auto"/>
                <w:sz w:val="20"/>
                <w:szCs w:val="20"/>
              </w:rPr>
              <w:t>千米的地震</w:t>
            </w:r>
            <w:r>
              <w:rPr>
                <w:rFonts w:hint="eastAsia" w:ascii="仿宋_GB2312" w:hAnsi="仿宋" w:eastAsia="仿宋_GB2312"/>
                <w:color w:val="auto"/>
                <w:sz w:val="20"/>
                <w:szCs w:val="20"/>
              </w:rPr>
              <w:t>烈度速报与预警骨干台网。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地震基本参数速报时效</w:t>
            </w:r>
          </w:p>
        </w:tc>
        <w:tc>
          <w:tcPr>
            <w:tcW w:w="3685" w:type="dxa"/>
            <w:vAlign w:val="center"/>
          </w:tcPr>
          <w:p>
            <w:pPr>
              <w:spacing w:line="560" w:lineRule="exact"/>
              <w:rPr>
                <w:rFonts w:ascii="仿宋_GB2312" w:hAnsi="仿宋" w:eastAsia="仿宋_GB2312"/>
                <w:color w:val="auto"/>
                <w:sz w:val="20"/>
                <w:szCs w:val="20"/>
              </w:rPr>
            </w:pPr>
            <w:r>
              <w:rPr>
                <w:rFonts w:hint="eastAsia" w:ascii="仿宋_GB2312" w:hAnsi="仿宋" w:eastAsia="仿宋_GB2312"/>
                <w:color w:val="auto"/>
                <w:sz w:val="20"/>
                <w:szCs w:val="20"/>
              </w:rPr>
              <w:t>震后</w:t>
            </w:r>
            <w:r>
              <w:rPr>
                <w:rFonts w:ascii="仿宋_GB2312" w:hAnsi="仿宋" w:eastAsia="仿宋_GB2312"/>
                <w:color w:val="auto"/>
                <w:sz w:val="20"/>
                <w:szCs w:val="20"/>
              </w:rPr>
              <w:t>1分</w:t>
            </w:r>
            <w:r>
              <w:rPr>
                <w:rFonts w:hint="eastAsia" w:ascii="仿宋_GB2312" w:hAnsi="仿宋" w:eastAsia="仿宋_GB2312"/>
                <w:color w:val="auto"/>
                <w:sz w:val="20"/>
                <w:szCs w:val="20"/>
              </w:rPr>
              <w:t>钟左右实现全省</w:t>
            </w:r>
            <w:r>
              <w:rPr>
                <w:rFonts w:ascii="仿宋_GB2312" w:hAnsi="仿宋" w:eastAsia="仿宋_GB2312"/>
                <w:color w:val="auto"/>
                <w:sz w:val="20"/>
                <w:szCs w:val="20"/>
              </w:rPr>
              <w:t>2.8</w:t>
            </w:r>
            <w:r>
              <w:rPr>
                <w:rFonts w:hint="eastAsia" w:ascii="仿宋_GB2312" w:hAnsi="仿宋" w:eastAsia="仿宋_GB2312"/>
                <w:color w:val="auto"/>
                <w:sz w:val="20"/>
                <w:szCs w:val="20"/>
              </w:rPr>
              <w:t>级以上地震基本参数自动速报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地震烈度速报时效</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5分钟完成地震烈度初报</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15分钟完成地震烈度速报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地震预警信息发布时效</w:t>
            </w:r>
          </w:p>
        </w:tc>
        <w:tc>
          <w:tcPr>
            <w:tcW w:w="3685" w:type="dxa"/>
            <w:vAlign w:val="center"/>
          </w:tcPr>
          <w:p>
            <w:pPr>
              <w:spacing w:line="560" w:lineRule="exact"/>
              <w:rPr>
                <w:rFonts w:ascii="仿宋_GB2312" w:hAnsi="仿宋" w:eastAsia="仿宋_GB2312"/>
                <w:color w:val="auto"/>
                <w:sz w:val="20"/>
                <w:szCs w:val="20"/>
              </w:rPr>
            </w:pPr>
            <w:r>
              <w:rPr>
                <w:rFonts w:hint="eastAsia" w:ascii="仿宋_GB2312" w:hAnsi="仿宋" w:eastAsia="仿宋_GB2312"/>
                <w:color w:val="auto"/>
                <w:sz w:val="20"/>
                <w:szCs w:val="20"/>
              </w:rPr>
              <w:t>灾害性地震发生后</w:t>
            </w:r>
            <w:r>
              <w:rPr>
                <w:rFonts w:ascii="仿宋_GB2312" w:hAnsi="仿宋" w:eastAsia="仿宋_GB2312"/>
                <w:color w:val="auto"/>
                <w:sz w:val="20"/>
                <w:szCs w:val="20"/>
              </w:rPr>
              <w:t>10秒</w:t>
            </w:r>
            <w:r>
              <w:rPr>
                <w:rFonts w:hint="eastAsia" w:ascii="仿宋_GB2312" w:hAnsi="仿宋" w:eastAsia="仿宋_GB2312"/>
                <w:color w:val="auto"/>
                <w:sz w:val="20"/>
                <w:szCs w:val="20"/>
              </w:rPr>
              <w:t>内为重点监视防御区提供地震预警信息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地震预警公众覆盖率</w:t>
            </w:r>
          </w:p>
        </w:tc>
        <w:tc>
          <w:tcPr>
            <w:tcW w:w="3685" w:type="dxa"/>
            <w:vAlign w:val="center"/>
          </w:tcPr>
          <w:p>
            <w:pPr>
              <w:spacing w:line="560" w:lineRule="exact"/>
              <w:rPr>
                <w:rFonts w:ascii="仿宋_GB2312" w:hAnsi="仿宋" w:eastAsia="仿宋_GB2312"/>
                <w:color w:val="auto"/>
                <w:sz w:val="20"/>
                <w:szCs w:val="20"/>
              </w:rPr>
            </w:pPr>
            <w:r>
              <w:rPr>
                <w:rFonts w:hint="eastAsia" w:ascii="仿宋_GB2312" w:hAnsi="仿宋" w:eastAsia="仿宋_GB2312"/>
                <w:color w:val="auto"/>
                <w:sz w:val="20"/>
                <w:szCs w:val="20"/>
              </w:rPr>
              <w:t>灾害性地震发生后</w:t>
            </w:r>
            <w:r>
              <w:rPr>
                <w:rFonts w:ascii="仿宋_GB2312" w:hAnsi="仿宋" w:eastAsia="仿宋_GB2312"/>
                <w:color w:val="auto"/>
                <w:sz w:val="20"/>
                <w:szCs w:val="20"/>
              </w:rPr>
              <w:t>10秒内发布预警信息，</w:t>
            </w:r>
            <w:r>
              <w:rPr>
                <w:rFonts w:hint="eastAsia" w:ascii="仿宋_GB2312" w:hAnsi="仿宋" w:eastAsia="仿宋_GB2312"/>
                <w:color w:val="auto"/>
                <w:sz w:val="20"/>
                <w:szCs w:val="20"/>
              </w:rPr>
              <w:t>重点地区公众覆盖率不低于</w:t>
            </w:r>
            <w:r>
              <w:rPr>
                <w:rFonts w:ascii="仿宋_GB2312" w:hAnsi="仿宋" w:eastAsia="仿宋_GB2312"/>
                <w:color w:val="auto"/>
                <w:sz w:val="20"/>
                <w:szCs w:val="20"/>
              </w:rPr>
              <w:t xml:space="preserve"> 80%，其他地区不低于 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地震预报准确率</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地震重点监视防御区覆盖同时期地震灾害损失的70%以上；年度地震重点危险区R值评分0.4左右；长中短临地震预报逐级指导，震情信息服务能力不断提升，力争做出具有减灾实效的短临预报。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地震</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灾害</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风险</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防治</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能力</w:t>
            </w: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地震活动断层探察完成量</w:t>
            </w:r>
          </w:p>
        </w:tc>
        <w:tc>
          <w:tcPr>
            <w:tcW w:w="3685" w:type="dxa"/>
            <w:vAlign w:val="center"/>
          </w:tcPr>
          <w:p>
            <w:pPr>
              <w:spacing w:line="560" w:lineRule="exact"/>
              <w:rPr>
                <w:rFonts w:ascii="仿宋_GB2312" w:hAnsi="仿宋" w:eastAsia="仿宋_GB2312"/>
                <w:color w:val="auto"/>
                <w:sz w:val="20"/>
                <w:szCs w:val="20"/>
              </w:rPr>
            </w:pPr>
            <w:r>
              <w:rPr>
                <w:rFonts w:hint="eastAsia" w:ascii="仿宋_GB2312" w:hAnsi="仿宋" w:eastAsia="仿宋_GB2312"/>
                <w:color w:val="auto"/>
                <w:sz w:val="20"/>
                <w:szCs w:val="20"/>
              </w:rPr>
              <w:t>完成**条活动断层填图，**个城市活动断层探察；1:100万大陆地震灾害风险区划图覆盖面积30%。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风险调查和隐患排查完成量</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**（面积或数量）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地震易发区房屋加固改造完成量</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城市**（面积或数量）</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农村**（面积或数量）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地震应急救援能力</w:t>
            </w: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地震应急响应保障水平</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95分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地震应急预案修订完成率</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公共</w:t>
            </w:r>
          </w:p>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服务</w:t>
            </w: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行业服务满意度</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80分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公众服务满意度</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80分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vAlign w:val="center"/>
          </w:tcPr>
          <w:p>
            <w:pPr>
              <w:spacing w:line="560" w:lineRule="exact"/>
              <w:jc w:val="center"/>
              <w:rPr>
                <w:rFonts w:ascii="仿宋_GB2312" w:hAnsi="仿宋" w:eastAsia="仿宋_GB2312"/>
                <w:color w:val="auto"/>
                <w:sz w:val="20"/>
                <w:szCs w:val="20"/>
              </w:rPr>
            </w:pPr>
          </w:p>
        </w:tc>
        <w:tc>
          <w:tcPr>
            <w:tcW w:w="3969" w:type="dxa"/>
            <w:vAlign w:val="center"/>
          </w:tcPr>
          <w:p>
            <w:pPr>
              <w:spacing w:line="560" w:lineRule="exact"/>
              <w:jc w:val="left"/>
              <w:rPr>
                <w:rFonts w:ascii="仿宋_GB2312" w:hAnsi="仿宋" w:eastAsia="仿宋_GB2312"/>
                <w:color w:val="auto"/>
                <w:sz w:val="20"/>
                <w:szCs w:val="20"/>
              </w:rPr>
            </w:pPr>
            <w:r>
              <w:rPr>
                <w:rFonts w:hint="eastAsia" w:ascii="仿宋_GB2312" w:hAnsi="仿宋" w:eastAsia="仿宋_GB2312"/>
                <w:color w:val="auto"/>
                <w:sz w:val="20"/>
                <w:szCs w:val="20"/>
              </w:rPr>
              <w:t>公民具备防震减灾科学素养的比例</w:t>
            </w:r>
          </w:p>
        </w:tc>
        <w:tc>
          <w:tcPr>
            <w:tcW w:w="3685" w:type="dxa"/>
            <w:vAlign w:val="center"/>
          </w:tcPr>
          <w:p>
            <w:pPr>
              <w:spacing w:line="560" w:lineRule="exact"/>
              <w:jc w:val="center"/>
              <w:rPr>
                <w:rFonts w:ascii="仿宋_GB2312" w:hAnsi="仿宋" w:eastAsia="仿宋_GB2312"/>
                <w:color w:val="auto"/>
                <w:sz w:val="20"/>
                <w:szCs w:val="20"/>
              </w:rPr>
            </w:pPr>
            <w:r>
              <w:rPr>
                <w:rFonts w:hint="eastAsia" w:ascii="仿宋_GB2312" w:hAnsi="仿宋" w:eastAsia="仿宋_GB2312"/>
                <w:color w:val="auto"/>
                <w:sz w:val="20"/>
                <w:szCs w:val="20"/>
              </w:rPr>
              <w:t>15%</w:t>
            </w:r>
          </w:p>
        </w:tc>
      </w:tr>
    </w:tbl>
    <w:p>
      <w:pPr>
        <w:pStyle w:val="2"/>
        <w:spacing w:before="0" w:after="0"/>
        <w:ind w:firstLine="720" w:firstLineChars="200"/>
        <w:rPr>
          <w:rFonts w:ascii="黑体" w:hAnsi="黑体" w:eastAsia="黑体" w:cs="黑体"/>
          <w:b w:val="0"/>
          <w:bCs/>
          <w:color w:val="auto"/>
          <w:sz w:val="36"/>
          <w:szCs w:val="36"/>
        </w:rPr>
      </w:pPr>
      <w:bookmarkStart w:id="9" w:name="_Toc9019"/>
      <w:r>
        <w:rPr>
          <w:rFonts w:hint="eastAsia" w:ascii="黑体" w:hAnsi="黑体" w:eastAsia="黑体" w:cs="黑体"/>
          <w:b w:val="0"/>
          <w:bCs/>
          <w:color w:val="auto"/>
          <w:sz w:val="36"/>
          <w:szCs w:val="36"/>
        </w:rPr>
        <w:t>三、主要任务</w:t>
      </w:r>
      <w:bookmarkEnd w:id="9"/>
    </w:p>
    <w:p>
      <w:pPr>
        <w:pStyle w:val="3"/>
        <w:spacing w:before="0" w:after="0"/>
        <w:ind w:firstLine="640" w:firstLineChars="200"/>
        <w:rPr>
          <w:b w:val="0"/>
          <w:bCs/>
          <w:color w:val="auto"/>
          <w:szCs w:val="32"/>
        </w:rPr>
      </w:pPr>
      <w:bookmarkStart w:id="10" w:name="_Toc27449"/>
      <w:r>
        <w:rPr>
          <w:rFonts w:hint="eastAsia"/>
          <w:b w:val="0"/>
          <w:bCs/>
          <w:color w:val="auto"/>
          <w:szCs w:val="32"/>
        </w:rPr>
        <w:t>（一）提升地震监测预报预警能力</w:t>
      </w:r>
      <w:bookmarkEnd w:id="10"/>
    </w:p>
    <w:p>
      <w:pPr>
        <w:ind w:firstLine="643" w:firstLineChars="200"/>
        <w:rPr>
          <w:rFonts w:ascii="仿宋_GB2312" w:eastAsia="仿宋_GB2312"/>
          <w:color w:val="auto"/>
          <w:sz w:val="32"/>
          <w:szCs w:val="32"/>
        </w:rPr>
      </w:pPr>
      <w:r>
        <w:rPr>
          <w:rFonts w:hint="eastAsia" w:ascii="楷体" w:hAnsi="楷体" w:eastAsia="楷体" w:cs="楷体"/>
          <w:b/>
          <w:bCs/>
          <w:color w:val="auto"/>
          <w:sz w:val="32"/>
          <w:szCs w:val="32"/>
        </w:rPr>
        <w:t>夯实地震监测基础。</w:t>
      </w:r>
      <w:r>
        <w:rPr>
          <w:rFonts w:hint="eastAsia" w:ascii="仿宋_GB2312" w:eastAsia="仿宋_GB2312"/>
          <w:color w:val="auto"/>
          <w:sz w:val="32"/>
          <w:szCs w:val="32"/>
        </w:rPr>
        <w:t>注重云南全域地震监测均衡发展与重点区域加密观测相结合，优化全省地震观测站网和观测学科布局。根据中国地震局部署，实施地震台（站）网改扩建工程，建成信息化支撑、智能化运维、资料实时共享的全省现代化综合立体地震监测体系。实施地震台站改革，建立健全监测站网运维保障及质量监管体系，推动地震台站业务转型升级。</w:t>
      </w:r>
    </w:p>
    <w:p>
      <w:pPr>
        <w:ind w:firstLine="643" w:firstLineChars="200"/>
        <w:rPr>
          <w:rFonts w:ascii="仿宋_GB2312" w:eastAsia="仿宋_GB2312"/>
          <w:color w:val="auto"/>
          <w:sz w:val="32"/>
          <w:szCs w:val="32"/>
        </w:rPr>
      </w:pPr>
      <w:r>
        <w:rPr>
          <w:rFonts w:hint="eastAsia" w:ascii="楷体" w:hAnsi="楷体" w:eastAsia="楷体" w:cs="楷体"/>
          <w:b/>
          <w:bCs/>
          <w:color w:val="auto"/>
          <w:sz w:val="32"/>
          <w:szCs w:val="32"/>
        </w:rPr>
        <w:t>提升地震预报研究水平。</w:t>
      </w:r>
      <w:r>
        <w:rPr>
          <w:rFonts w:hint="eastAsia" w:ascii="仿宋_GB2312" w:hAnsi="宋体" w:eastAsia="仿宋_GB2312" w:cs="方正仿宋_GBK"/>
          <w:color w:val="auto"/>
          <w:sz w:val="32"/>
          <w:szCs w:val="32"/>
        </w:rPr>
        <w:t>优化地震长、中、短、临预报业务，健全完善</w:t>
      </w:r>
      <w:r>
        <w:rPr>
          <w:rFonts w:hint="eastAsia" w:ascii="仿宋_GB2312" w:eastAsia="仿宋_GB2312"/>
          <w:color w:val="auto"/>
          <w:sz w:val="32"/>
          <w:szCs w:val="32"/>
        </w:rPr>
        <w:t>地震趋势预测、危险区判定和短临预报指标体系，探索建立基于预测指标体系的地震综合概率预测业务能力。加强重点危险区震情跟踪，进一步完善震情会商机制和地震会商技术系统。构建并完善地震预测评价体系，力争做到中期预报准确率不断提高，短临预报有所突破。</w:t>
      </w:r>
    </w:p>
    <w:p>
      <w:pPr>
        <w:autoSpaceDE w:val="0"/>
        <w:autoSpaceDN w:val="0"/>
        <w:adjustRightInd w:val="0"/>
        <w:ind w:firstLine="643" w:firstLineChars="200"/>
        <w:rPr>
          <w:rFonts w:ascii="仿宋_GB2312" w:eastAsia="仿宋_GB2312"/>
          <w:color w:val="auto"/>
          <w:sz w:val="32"/>
          <w:szCs w:val="32"/>
        </w:rPr>
      </w:pPr>
      <w:r>
        <w:rPr>
          <w:rFonts w:hint="eastAsia" w:ascii="楷体" w:hAnsi="楷体" w:eastAsia="楷体" w:cs="楷体"/>
          <w:b/>
          <w:bCs/>
          <w:color w:val="auto"/>
          <w:sz w:val="32"/>
          <w:szCs w:val="32"/>
        </w:rPr>
        <w:t>精准发布预警信息。</w:t>
      </w:r>
      <w:r>
        <w:rPr>
          <w:rFonts w:hint="eastAsia" w:ascii="仿宋_GB2312" w:hAnsi="宋体" w:eastAsia="仿宋_GB2312" w:cs="方正仿宋_GBK"/>
          <w:color w:val="auto"/>
          <w:sz w:val="32"/>
          <w:szCs w:val="32"/>
        </w:rPr>
        <w:t>建成云南地震烈度速报与预警系统，实</w:t>
      </w:r>
      <w:r>
        <w:rPr>
          <w:rFonts w:hint="eastAsia" w:ascii="仿宋_GB2312" w:eastAsia="仿宋_GB2312"/>
          <w:color w:val="auto"/>
          <w:sz w:val="32"/>
          <w:szCs w:val="32"/>
        </w:rPr>
        <w:t>现震后秒级地震预警信息发布能力、分钟级地震烈度速报能力，形成部门联合、上下衔接、管理规范的地震预警信息发布体系。</w:t>
      </w:r>
    </w:p>
    <w:p>
      <w:pPr>
        <w:pStyle w:val="3"/>
        <w:spacing w:before="0" w:after="0"/>
        <w:ind w:firstLine="640" w:firstLineChars="200"/>
        <w:rPr>
          <w:b w:val="0"/>
          <w:bCs/>
          <w:color w:val="auto"/>
          <w:szCs w:val="32"/>
        </w:rPr>
      </w:pPr>
      <w:bookmarkStart w:id="11" w:name="_Toc15672"/>
      <w:r>
        <w:rPr>
          <w:rFonts w:hint="eastAsia"/>
          <w:b w:val="0"/>
          <w:bCs/>
          <w:color w:val="auto"/>
          <w:szCs w:val="32"/>
        </w:rPr>
        <w:t>（二）提升地震灾害风险防治能力</w:t>
      </w:r>
      <w:bookmarkEnd w:id="11"/>
    </w:p>
    <w:p>
      <w:pPr>
        <w:autoSpaceDE w:val="0"/>
        <w:autoSpaceDN w:val="0"/>
        <w:adjustRightInd w:val="0"/>
        <w:ind w:firstLine="643" w:firstLineChars="200"/>
        <w:rPr>
          <w:rFonts w:ascii="仿宋_GB2312" w:eastAsia="仿宋_GB2312" w:cs="方正仿宋_GBK"/>
          <w:color w:val="auto"/>
          <w:kern w:val="0"/>
          <w:sz w:val="32"/>
          <w:szCs w:val="32"/>
        </w:rPr>
      </w:pPr>
      <w:r>
        <w:rPr>
          <w:rFonts w:hint="eastAsia" w:ascii="楷体" w:hAnsi="楷体" w:eastAsia="楷体" w:cs="楷体"/>
          <w:b/>
          <w:bCs/>
          <w:color w:val="auto"/>
          <w:sz w:val="32"/>
          <w:szCs w:val="32"/>
        </w:rPr>
        <w:t>摸清风险底数。</w:t>
      </w:r>
      <w:r>
        <w:rPr>
          <w:rFonts w:hint="eastAsia" w:ascii="仿宋_GB2312" w:hAnsi="宋体" w:eastAsia="仿宋_GB2312" w:cs="方正仿宋_GBK"/>
          <w:color w:val="auto"/>
          <w:sz w:val="32"/>
          <w:szCs w:val="32"/>
        </w:rPr>
        <w:t>积极争取国家倾斜性支持，实施地震灾害风险普查和</w:t>
      </w:r>
      <w:r>
        <w:rPr>
          <w:rFonts w:hint="eastAsia" w:ascii="仿宋_GB2312" w:eastAsia="仿宋_GB2312" w:cs="方正仿宋_GBK"/>
          <w:color w:val="auto"/>
          <w:kern w:val="0"/>
          <w:sz w:val="32"/>
          <w:szCs w:val="32"/>
        </w:rPr>
        <w:t>重点隐患排查，掌握地震灾害风险隐患底数。建立地震灾害风险与减灾能力数据库。开展地震灾害风险识别，编制地震灾害风险区划图和防治区划图。</w:t>
      </w:r>
    </w:p>
    <w:p>
      <w:pPr>
        <w:autoSpaceDE w:val="0"/>
        <w:autoSpaceDN w:val="0"/>
        <w:adjustRightInd w:val="0"/>
        <w:ind w:firstLine="643" w:firstLineChars="200"/>
        <w:rPr>
          <w:rFonts w:ascii="仿宋_GB2312" w:eastAsia="仿宋_GB2312" w:cs="方正仿宋_GBK"/>
          <w:color w:val="auto"/>
          <w:kern w:val="0"/>
          <w:sz w:val="32"/>
          <w:szCs w:val="32"/>
        </w:rPr>
      </w:pPr>
      <w:r>
        <w:rPr>
          <w:rFonts w:hint="eastAsia" w:ascii="楷体" w:hAnsi="楷体" w:eastAsia="楷体" w:cs="楷体"/>
          <w:b/>
          <w:bCs/>
          <w:color w:val="auto"/>
          <w:sz w:val="32"/>
          <w:szCs w:val="32"/>
        </w:rPr>
        <w:t>加强抗震设防。</w:t>
      </w:r>
      <w:r>
        <w:rPr>
          <w:rFonts w:hint="eastAsia" w:ascii="仿宋_GB2312" w:eastAsia="仿宋_GB2312" w:cs="方正仿宋_GBK"/>
          <w:color w:val="auto"/>
          <w:kern w:val="0"/>
          <w:sz w:val="32"/>
          <w:szCs w:val="32"/>
        </w:rPr>
        <w:t>进一步落实建设工程抗震设防要求审核</w:t>
      </w:r>
      <w:r>
        <w:rPr>
          <w:rFonts w:ascii="仿宋_GB2312" w:eastAsia="仿宋_GB2312" w:cs="方正仿宋_GBK"/>
          <w:color w:val="auto"/>
          <w:kern w:val="0"/>
          <w:sz w:val="32"/>
          <w:szCs w:val="32"/>
        </w:rPr>
        <w:t xml:space="preserve"> “</w:t>
      </w:r>
      <w:r>
        <w:rPr>
          <w:rFonts w:hint="eastAsia" w:ascii="仿宋_GB2312" w:eastAsia="仿宋_GB2312" w:cs="方正仿宋_GBK"/>
          <w:color w:val="auto"/>
          <w:kern w:val="0"/>
          <w:sz w:val="32"/>
          <w:szCs w:val="32"/>
        </w:rPr>
        <w:t>放管服</w:t>
      </w:r>
      <w:r>
        <w:rPr>
          <w:rFonts w:ascii="仿宋_GB2312" w:eastAsia="仿宋_GB2312" w:cs="方正仿宋_GBK"/>
          <w:color w:val="auto"/>
          <w:kern w:val="0"/>
          <w:sz w:val="32"/>
          <w:szCs w:val="32"/>
        </w:rPr>
        <w:t>”</w:t>
      </w:r>
      <w:r>
        <w:rPr>
          <w:rFonts w:hint="eastAsia" w:ascii="仿宋_GB2312" w:eastAsia="仿宋_GB2312" w:cs="方正仿宋_GBK"/>
          <w:color w:val="auto"/>
          <w:kern w:val="0"/>
          <w:sz w:val="32"/>
          <w:szCs w:val="32"/>
        </w:rPr>
        <w:t xml:space="preserve"> 改革要求，有效管控各类建设工程地震灾害风险。以地震灾害风险调查和重点隐患排查为基础，在全省抗震设防烈度7度及以上地区、重点监视防御区及年度重点危险区，实施地震易发区房屋设施加固工程。建设重大结构工程地震反应观测系统。促进减隔震新技术新材料应用。推进区域地震安全性评价。</w:t>
      </w:r>
    </w:p>
    <w:p>
      <w:pPr>
        <w:autoSpaceDE w:val="0"/>
        <w:autoSpaceDN w:val="0"/>
        <w:adjustRightInd w:val="0"/>
        <w:ind w:firstLine="640" w:firstLineChars="200"/>
        <w:rPr>
          <w:rFonts w:ascii="仿宋_GB2312" w:eastAsia="仿宋_GB2312" w:cs="方正仿宋_GBK"/>
          <w:color w:val="auto"/>
          <w:sz w:val="32"/>
          <w:szCs w:val="32"/>
        </w:rPr>
      </w:pPr>
      <w:r>
        <w:rPr>
          <w:rFonts w:hint="eastAsia" w:ascii="仿宋_GB2312" w:eastAsia="仿宋_GB2312" w:cs="方正仿宋_GBK"/>
          <w:color w:val="auto"/>
          <w:sz w:val="32"/>
          <w:szCs w:val="32"/>
        </w:rPr>
        <w:t>继续推进建立地震灾害风险分担和转移机制，探索建立地震巨灾保险制度建设。</w:t>
      </w:r>
    </w:p>
    <w:p>
      <w:pPr>
        <w:pStyle w:val="3"/>
        <w:spacing w:before="0" w:after="0"/>
        <w:ind w:firstLine="640" w:firstLineChars="200"/>
        <w:rPr>
          <w:b w:val="0"/>
          <w:bCs/>
          <w:color w:val="auto"/>
        </w:rPr>
      </w:pPr>
      <w:bookmarkStart w:id="12" w:name="_Toc14596"/>
      <w:r>
        <w:rPr>
          <w:rFonts w:hint="eastAsia"/>
          <w:b w:val="0"/>
          <w:bCs/>
          <w:color w:val="auto"/>
        </w:rPr>
        <w:t>（三）提升防震减灾公共服务能力</w:t>
      </w:r>
      <w:bookmarkEnd w:id="12"/>
    </w:p>
    <w:p>
      <w:pPr>
        <w:autoSpaceDE w:val="0"/>
        <w:autoSpaceDN w:val="0"/>
        <w:adjustRightInd w:val="0"/>
        <w:ind w:firstLine="643" w:firstLineChars="200"/>
        <w:jc w:val="left"/>
        <w:rPr>
          <w:rFonts w:ascii="仿宋_GB2312" w:eastAsia="仿宋_GB2312" w:cs="方正仿宋_GBK"/>
          <w:color w:val="auto"/>
          <w:sz w:val="32"/>
          <w:szCs w:val="32"/>
        </w:rPr>
      </w:pPr>
      <w:r>
        <w:rPr>
          <w:rFonts w:hint="eastAsia" w:ascii="楷体" w:hAnsi="楷体" w:eastAsia="楷体" w:cs="楷体"/>
          <w:b/>
          <w:bCs/>
          <w:color w:val="auto"/>
          <w:sz w:val="32"/>
          <w:szCs w:val="32"/>
        </w:rPr>
        <w:t>构建服务体系。</w:t>
      </w:r>
      <w:r>
        <w:rPr>
          <w:rFonts w:hint="eastAsia" w:ascii="仿宋_GB2312" w:hAnsi="宋体" w:eastAsia="仿宋_GB2312" w:cs="方正仿宋_GBK"/>
          <w:color w:val="auto"/>
          <w:sz w:val="32"/>
          <w:szCs w:val="32"/>
        </w:rPr>
        <w:t>进一步理顺和完善省、州（市）、县（区）、乡（镇）、街道（社区）防震减灾公共服务体系。</w:t>
      </w:r>
      <w:r>
        <w:rPr>
          <w:rFonts w:hint="eastAsia" w:ascii="仿宋_GB2312" w:eastAsia="仿宋_GB2312" w:cs="方正仿宋_GBK"/>
          <w:color w:val="auto"/>
          <w:sz w:val="32"/>
          <w:szCs w:val="32"/>
        </w:rPr>
        <w:t>加强部门协作，鼓励社会参与，形成防震减灾公共服务合力；建设防震减灾公共服务平台，完善防震减灾公共服务技术系统。</w:t>
      </w:r>
    </w:p>
    <w:p>
      <w:pPr>
        <w:autoSpaceDE w:val="0"/>
        <w:autoSpaceDN w:val="0"/>
        <w:adjustRightInd w:val="0"/>
        <w:ind w:firstLine="643" w:firstLineChars="200"/>
        <w:rPr>
          <w:rFonts w:ascii="仿宋_GB2312" w:eastAsia="仿宋_GB2312"/>
          <w:color w:val="auto"/>
          <w:sz w:val="32"/>
          <w:szCs w:val="32"/>
        </w:rPr>
      </w:pPr>
      <w:r>
        <w:rPr>
          <w:rFonts w:hint="eastAsia" w:ascii="楷体" w:hAnsi="楷体" w:eastAsia="楷体" w:cs="楷体"/>
          <w:b/>
          <w:bCs/>
          <w:color w:val="auto"/>
          <w:sz w:val="32"/>
          <w:szCs w:val="32"/>
        </w:rPr>
        <w:t>增强服务供给。</w:t>
      </w:r>
      <w:r>
        <w:rPr>
          <w:rFonts w:hint="eastAsia" w:ascii="仿宋_GB2312" w:eastAsia="仿宋_GB2312" w:cs="方正仿宋_GBK"/>
          <w:color w:val="auto"/>
          <w:sz w:val="32"/>
          <w:szCs w:val="32"/>
        </w:rPr>
        <w:t>不断丰富公共服务产品、拓宽公共服务领域、改进公共服务方式、提升公共服务水平。</w:t>
      </w:r>
      <w:r>
        <w:rPr>
          <w:rFonts w:hint="eastAsia" w:ascii="仿宋_GB2312" w:hAnsi="宋体" w:eastAsia="仿宋_GB2312" w:cs="方正仿宋_GBK"/>
          <w:color w:val="auto"/>
          <w:sz w:val="32"/>
          <w:szCs w:val="32"/>
        </w:rPr>
        <w:t>以目标为导向，以需求为牵引，依托现代信息技术，努力实现防震减灾公共服务的智能化、精准化、常态化。</w:t>
      </w:r>
      <w:r>
        <w:rPr>
          <w:rFonts w:hint="eastAsia" w:ascii="仿宋_GB2312" w:eastAsia="仿宋_GB2312"/>
          <w:color w:val="auto"/>
          <w:sz w:val="32"/>
          <w:szCs w:val="32"/>
        </w:rPr>
        <w:t>充分利用预警信息发布系统和应急广播、电视、互联网、手机APP等平台，建设立体化传播网络和个性化接收终端，实现防震减灾公共服务均等化。拓展地震预警行业应用，为高铁动车、大型桥梁、水库大坝、油气管线、危化企业等行业用户提供预警信息，拓展信息服务范围和能力。</w:t>
      </w:r>
    </w:p>
    <w:p>
      <w:pPr>
        <w:autoSpaceDE w:val="0"/>
        <w:autoSpaceDN w:val="0"/>
        <w:adjustRightInd w:val="0"/>
        <w:ind w:firstLine="643" w:firstLineChars="200"/>
        <w:jc w:val="left"/>
        <w:rPr>
          <w:rFonts w:ascii="仿宋_GB2312" w:eastAsia="仿宋_GB2312" w:cs="方正仿宋_GBK"/>
          <w:color w:val="auto"/>
          <w:sz w:val="32"/>
          <w:szCs w:val="32"/>
        </w:rPr>
      </w:pPr>
      <w:r>
        <w:rPr>
          <w:rFonts w:hint="eastAsia" w:ascii="楷体" w:hAnsi="楷体" w:eastAsia="楷体" w:cs="楷体"/>
          <w:b/>
          <w:bCs/>
          <w:color w:val="auto"/>
          <w:sz w:val="32"/>
          <w:szCs w:val="32"/>
        </w:rPr>
        <w:t>拓展服务范围。</w:t>
      </w:r>
      <w:r>
        <w:rPr>
          <w:rFonts w:hint="eastAsia" w:ascii="仿宋_GB2312" w:eastAsia="仿宋_GB2312" w:cs="方正仿宋_GBK"/>
          <w:color w:val="auto"/>
          <w:sz w:val="32"/>
          <w:szCs w:val="32"/>
        </w:rPr>
        <w:t>发挥云南面向南亚、东南亚辐射中心区位优势，加强防震减灾公共服务国际合作，向南亚、东南亚国家开展地震监测预警、地震灾害风险防治等联合研究和技术服务。举办防震减灾援外培训班，配合国家总体外交工作。</w:t>
      </w:r>
    </w:p>
    <w:p>
      <w:pPr>
        <w:pStyle w:val="3"/>
        <w:spacing w:before="0" w:after="0"/>
        <w:ind w:firstLine="640" w:firstLineChars="200"/>
        <w:rPr>
          <w:b w:val="0"/>
          <w:bCs/>
          <w:color w:val="auto"/>
        </w:rPr>
      </w:pPr>
      <w:bookmarkStart w:id="13" w:name="_Toc24889"/>
      <w:r>
        <w:rPr>
          <w:rFonts w:hint="eastAsia"/>
          <w:b w:val="0"/>
          <w:bCs/>
          <w:color w:val="auto"/>
        </w:rPr>
        <w:t>（四）提升地震应急服务能力</w:t>
      </w:r>
      <w:bookmarkEnd w:id="13"/>
    </w:p>
    <w:p>
      <w:pPr>
        <w:autoSpaceDE w:val="0"/>
        <w:autoSpaceDN w:val="0"/>
        <w:adjustRightInd w:val="0"/>
        <w:ind w:firstLine="643" w:firstLineChars="200"/>
        <w:rPr>
          <w:rFonts w:ascii="仿宋_GB2312" w:eastAsia="仿宋_GB2312" w:cs="方正仿宋_GBK"/>
          <w:color w:val="auto"/>
          <w:sz w:val="32"/>
          <w:szCs w:val="32"/>
        </w:rPr>
      </w:pPr>
      <w:r>
        <w:rPr>
          <w:rFonts w:hint="eastAsia" w:ascii="楷体" w:hAnsi="楷体" w:eastAsia="楷体" w:cs="楷体"/>
          <w:b/>
          <w:bCs/>
          <w:color w:val="auto"/>
          <w:sz w:val="32"/>
          <w:szCs w:val="32"/>
        </w:rPr>
        <w:t>完善体系建设。</w:t>
      </w:r>
      <w:r>
        <w:rPr>
          <w:rFonts w:hint="eastAsia" w:ascii="仿宋_GB2312" w:hAnsi="宋体" w:eastAsia="仿宋_GB2312" w:cs="方正仿宋_GBK"/>
          <w:color w:val="auto"/>
          <w:sz w:val="32"/>
          <w:szCs w:val="32"/>
        </w:rPr>
        <w:t>提高</w:t>
      </w:r>
      <w:r>
        <w:rPr>
          <w:rFonts w:hint="eastAsia" w:ascii="仿宋_GB2312" w:eastAsia="仿宋_GB2312"/>
          <w:color w:val="auto"/>
          <w:sz w:val="32"/>
          <w:szCs w:val="32"/>
        </w:rPr>
        <w:t>“防大震、减大灾，抗大震、救大灾”</w:t>
      </w:r>
      <w:r>
        <w:rPr>
          <w:rFonts w:hint="eastAsia" w:ascii="仿宋_GB2312" w:hAnsi="宋体" w:eastAsia="仿宋_GB2312" w:cs="方正仿宋_GBK"/>
          <w:color w:val="auto"/>
          <w:sz w:val="32"/>
          <w:szCs w:val="32"/>
        </w:rPr>
        <w:t>应急处置能力，健全省、州（市）、县（市）</w:t>
      </w:r>
      <w:r>
        <w:rPr>
          <w:rFonts w:hint="eastAsia" w:ascii="仿宋_GB2312" w:eastAsia="仿宋_GB2312" w:cs="方正仿宋_GBK"/>
          <w:color w:val="auto"/>
          <w:sz w:val="32"/>
          <w:szCs w:val="32"/>
        </w:rPr>
        <w:t>三级地震应急预案体系，完善统一指挥、响应迅速的应急指挥体系。重点提升重要城市和滇中城市群地震应急处置能力。加强地震灾害紧急救援训练基地建设与升级改造，提升地震应急救援培训能力。推进地震专业救援队伍标准化建设，开展救援能力分级测评。提升基层基础应急能力，开展示范社区建设，实现</w:t>
      </w:r>
      <w:r>
        <w:rPr>
          <w:rFonts w:ascii="仿宋_GB2312" w:eastAsia="仿宋_GB2312" w:cs="方正仿宋_GBK"/>
          <w:color w:val="auto"/>
          <w:sz w:val="32"/>
          <w:szCs w:val="32"/>
        </w:rPr>
        <w:t>95%</w:t>
      </w:r>
      <w:r>
        <w:rPr>
          <w:rFonts w:hint="eastAsia" w:ascii="仿宋_GB2312" w:eastAsia="仿宋_GB2312" w:cs="方正仿宋_GBK"/>
          <w:color w:val="auto"/>
          <w:sz w:val="32"/>
          <w:szCs w:val="32"/>
        </w:rPr>
        <w:t>县级以上政府开展年度应急演练。规范和引导社会应急力量参与地震救援。</w:t>
      </w:r>
    </w:p>
    <w:p>
      <w:pPr>
        <w:ind w:firstLine="643" w:firstLineChars="200"/>
        <w:rPr>
          <w:rFonts w:ascii="仿宋_GB2312" w:hAnsi="楷体" w:eastAsia="仿宋_GB2312"/>
          <w:color w:val="auto"/>
          <w:sz w:val="32"/>
          <w:szCs w:val="32"/>
        </w:rPr>
      </w:pPr>
      <w:r>
        <w:rPr>
          <w:rFonts w:hint="eastAsia" w:ascii="楷体" w:hAnsi="楷体" w:eastAsia="楷体" w:cs="楷体"/>
          <w:b/>
          <w:bCs/>
          <w:color w:val="auto"/>
          <w:sz w:val="32"/>
          <w:szCs w:val="32"/>
        </w:rPr>
        <w:t>保障应急响应。</w:t>
      </w:r>
      <w:r>
        <w:rPr>
          <w:rFonts w:hint="eastAsia" w:ascii="仿宋_GB2312" w:hAnsi="宋体" w:eastAsia="仿宋_GB2312" w:cs="方正仿宋_GBK"/>
          <w:color w:val="auto"/>
          <w:sz w:val="32"/>
          <w:szCs w:val="32"/>
        </w:rPr>
        <w:t>构建地震应急信息统一服务平台，将地</w:t>
      </w:r>
      <w:r>
        <w:rPr>
          <w:rFonts w:hint="eastAsia" w:ascii="仿宋_GB2312" w:eastAsia="仿宋_GB2312" w:cs="方正仿宋_GBK"/>
          <w:color w:val="auto"/>
          <w:sz w:val="32"/>
          <w:szCs w:val="32"/>
        </w:rPr>
        <w:t>震应急响应辅助决策信息和应急处置流程等可视化呈现。加强余震监测和震后趋势预测，防范次生衍生灾害。提高地震灾害快速评估的信息化水平。规范地震现场应急处置工作，推进地震现场应急队伍信息化、标准化建设。基于地震烈度速报结果，开展地震现场调查和灾害损失评估，编制地震烈度图。开展年度重点危险区地震灾害损失预评估，建立地震紧急救援和灾后重建技术保障机制。强化大震应急物资储备能力。</w:t>
      </w:r>
      <w:r>
        <w:rPr>
          <w:rFonts w:hint="eastAsia" w:ascii="仿宋_GB2312" w:hAnsi="楷体" w:eastAsia="仿宋_GB2312"/>
          <w:color w:val="auto"/>
          <w:sz w:val="32"/>
          <w:szCs w:val="32"/>
        </w:rPr>
        <w:t>建设地震灾情快速获取与评估系统和全流程灾情信息汇集、快报和综合展示平台，实现一体化全流程的灾情信息实时获取、汇集、分析、研判、处理及综合展示能力，提升云南大震巨灾应急科技服务水平。</w:t>
      </w:r>
    </w:p>
    <w:p>
      <w:pPr>
        <w:pStyle w:val="3"/>
        <w:spacing w:before="0" w:after="0"/>
        <w:ind w:firstLine="640" w:firstLineChars="200"/>
        <w:rPr>
          <w:b w:val="0"/>
          <w:bCs/>
          <w:color w:val="auto"/>
        </w:rPr>
      </w:pPr>
      <w:bookmarkStart w:id="14" w:name="_Toc765"/>
      <w:r>
        <w:rPr>
          <w:rFonts w:hint="eastAsia"/>
          <w:b w:val="0"/>
          <w:bCs/>
          <w:color w:val="auto"/>
        </w:rPr>
        <w:t>（五）增强地震科技支撑</w:t>
      </w:r>
      <w:bookmarkEnd w:id="14"/>
    </w:p>
    <w:p>
      <w:pPr>
        <w:ind w:firstLine="643" w:firstLineChars="200"/>
        <w:rPr>
          <w:rFonts w:ascii="仿宋_GB2312" w:hAnsi="楷体" w:eastAsia="仿宋_GB2312"/>
          <w:color w:val="auto"/>
          <w:sz w:val="32"/>
          <w:szCs w:val="32"/>
        </w:rPr>
      </w:pPr>
      <w:r>
        <w:rPr>
          <w:rFonts w:hint="eastAsia" w:ascii="楷体" w:hAnsi="楷体" w:eastAsia="楷体" w:cs="楷体"/>
          <w:b/>
          <w:bCs/>
          <w:color w:val="auto"/>
          <w:sz w:val="32"/>
          <w:szCs w:val="32"/>
        </w:rPr>
        <w:t>大数据驱动地震科技应用。</w:t>
      </w:r>
      <w:r>
        <w:rPr>
          <w:rFonts w:hint="eastAsia" w:ascii="仿宋_GB2312" w:hAnsi="楷体" w:eastAsia="仿宋_GB2312"/>
          <w:color w:val="auto"/>
          <w:sz w:val="32"/>
          <w:szCs w:val="32"/>
        </w:rPr>
        <w:t>整合现有和历史数据资料，充分利用预警和测震台网等海量地震观测数据，基于云计算、人工智能和高性能计算等技术初步实现准实时、自动产出地震观测报告、震源机制解和地震烈度等参数，挖掘地震短临预报有效信息。开展地震预警与烈度速报、地震数据可视化等关键技术公关。利用密集台阵技术和地震学方法进一步提升微小地震监测、研究能力，初步建成具有云南区域特色的“透明地壳”和“解剖地震”研究团队。</w:t>
      </w:r>
    </w:p>
    <w:p>
      <w:pPr>
        <w:ind w:firstLine="643" w:firstLineChars="200"/>
        <w:rPr>
          <w:rFonts w:ascii="仿宋_GB2312" w:hAnsi="楷体" w:eastAsia="仿宋_GB2312"/>
          <w:color w:val="auto"/>
          <w:sz w:val="32"/>
          <w:szCs w:val="32"/>
        </w:rPr>
      </w:pPr>
      <w:r>
        <w:rPr>
          <w:rFonts w:hint="eastAsia" w:ascii="楷体" w:hAnsi="楷体" w:eastAsia="楷体" w:cs="楷体"/>
          <w:b/>
          <w:bCs/>
          <w:color w:val="auto"/>
          <w:sz w:val="32"/>
          <w:szCs w:val="32"/>
        </w:rPr>
        <w:t>搭建地震科技成果的实验和转化平台。</w:t>
      </w:r>
      <w:r>
        <w:rPr>
          <w:rFonts w:hint="eastAsia" w:ascii="仿宋_GB2312" w:hAnsi="楷体" w:eastAsia="仿宋_GB2312"/>
          <w:color w:val="auto"/>
          <w:sz w:val="32"/>
          <w:szCs w:val="32"/>
        </w:rPr>
        <w:t>依托中国地震科学实验场和宾川主动源等地震科技平台，深化和知名高校、科研院所的交流合作，促进地震前沿科技和理论成果在云南落地检验与创新发展，培养和锻炼一批科技骨干力量。推进云南及周边国家毗邻区的重要跨国断裂研究，加强跨国地震活动监测和活动机理等研究，主动融入、服务云南面向南亚、东南亚辐射中心重大工程。</w:t>
      </w:r>
    </w:p>
    <w:p>
      <w:pPr>
        <w:pStyle w:val="3"/>
        <w:spacing w:before="0" w:after="0"/>
        <w:ind w:firstLine="640" w:firstLineChars="200"/>
        <w:rPr>
          <w:b w:val="0"/>
          <w:bCs/>
          <w:color w:val="auto"/>
        </w:rPr>
      </w:pPr>
      <w:bookmarkStart w:id="15" w:name="_Toc18167"/>
      <w:r>
        <w:rPr>
          <w:rFonts w:hint="eastAsia"/>
          <w:b w:val="0"/>
          <w:bCs/>
          <w:color w:val="auto"/>
        </w:rPr>
        <w:t>（六）推进防震减灾信息化</w:t>
      </w:r>
      <w:bookmarkEnd w:id="15"/>
    </w:p>
    <w:p>
      <w:pPr>
        <w:pStyle w:val="17"/>
        <w:ind w:firstLine="643"/>
        <w:rPr>
          <w:rFonts w:ascii="仿宋_GB2312" w:eastAsia="仿宋_GB2312" w:cs="方正仿宋_GBK"/>
          <w:color w:val="auto"/>
          <w:sz w:val="32"/>
          <w:szCs w:val="32"/>
        </w:rPr>
      </w:pPr>
      <w:r>
        <w:rPr>
          <w:rFonts w:hint="eastAsia" w:ascii="楷体" w:hAnsi="楷体" w:eastAsia="楷体" w:cs="楷体"/>
          <w:b/>
          <w:bCs/>
          <w:color w:val="auto"/>
          <w:sz w:val="32"/>
          <w:szCs w:val="32"/>
        </w:rPr>
        <w:t>强化基础支撑能力。</w:t>
      </w:r>
      <w:r>
        <w:rPr>
          <w:rFonts w:hint="eastAsia" w:ascii="仿宋_GB2312" w:eastAsia="仿宋_GB2312" w:cs="方正仿宋_GBK"/>
          <w:color w:val="auto"/>
          <w:sz w:val="32"/>
          <w:szCs w:val="32"/>
        </w:rPr>
        <w:t>以传输能力和接入能力为重点，提升地震行业网性能，推进省市县和地震台站信息节点扁平化。增强存储计算能力，优化业务流程，整合数据资源，推进台站现代化，形成“孕震异常-台站监测-自动传输-汇集存储”自动化、智能化，建设全省全量的地震大数据资源平台。</w:t>
      </w:r>
    </w:p>
    <w:p>
      <w:pPr>
        <w:pStyle w:val="17"/>
        <w:ind w:firstLine="643"/>
        <w:rPr>
          <w:rFonts w:ascii="仿宋_GB2312" w:eastAsia="仿宋_GB2312" w:cs="方正仿宋_GBK"/>
          <w:color w:val="auto"/>
          <w:sz w:val="32"/>
          <w:szCs w:val="32"/>
        </w:rPr>
      </w:pPr>
      <w:r>
        <w:rPr>
          <w:rFonts w:hint="eastAsia" w:ascii="楷体" w:hAnsi="楷体" w:eastAsia="楷体" w:cs="楷体"/>
          <w:b/>
          <w:bCs/>
          <w:color w:val="auto"/>
          <w:sz w:val="32"/>
          <w:szCs w:val="32"/>
        </w:rPr>
        <w:t>完善核心业务平台。</w:t>
      </w:r>
      <w:r>
        <w:rPr>
          <w:rFonts w:hint="eastAsia" w:ascii="仿宋_GB2312" w:eastAsia="仿宋_GB2312" w:cs="方正仿宋_GBK"/>
          <w:color w:val="auto"/>
          <w:sz w:val="32"/>
          <w:szCs w:val="32"/>
        </w:rPr>
        <w:t>按照行业标准和云南实际，推进云南防震减灾信息建设。强化省级防震减灾信息服务专业系统和技术平台，建设大理地震数据灾备中心，统筹建设一批州市级分中心，实现全省监测预报预警等信息实时分析、成果显示、状态监控、数据共享、综合调度，支撑地震监测、预报预警、应急响应、风险防治、公共服务等业务系统运行。</w:t>
      </w:r>
    </w:p>
    <w:p>
      <w:pPr>
        <w:pStyle w:val="17"/>
        <w:ind w:firstLine="643"/>
        <w:rPr>
          <w:rFonts w:ascii="仿宋_GB2312" w:eastAsia="仿宋_GB2312" w:cs="方正仿宋_GBK"/>
          <w:color w:val="auto"/>
          <w:sz w:val="32"/>
          <w:szCs w:val="32"/>
        </w:rPr>
      </w:pPr>
      <w:r>
        <w:rPr>
          <w:rFonts w:hint="eastAsia" w:ascii="楷体" w:hAnsi="楷体" w:eastAsia="楷体" w:cs="楷体"/>
          <w:b/>
          <w:bCs/>
          <w:color w:val="auto"/>
          <w:sz w:val="32"/>
          <w:szCs w:val="32"/>
        </w:rPr>
        <w:t>对接一体化服务体系。</w:t>
      </w:r>
      <w:r>
        <w:rPr>
          <w:rFonts w:hint="eastAsia" w:ascii="仿宋_GB2312" w:eastAsia="仿宋_GB2312" w:cs="方正仿宋_GBK"/>
          <w:color w:val="auto"/>
          <w:sz w:val="32"/>
          <w:szCs w:val="32"/>
        </w:rPr>
        <w:t>通过多网融合推进与应急管理部、中国地震局、省委省政府以及相关单位的对接，保障大震巨灾应急指挥决策信息的高效互通；对接震灾高风险行业，提供专项信息服务；通过公共传媒平台和社会公众移动终端，提供预警信息快速直通车服务。</w:t>
      </w:r>
    </w:p>
    <w:p>
      <w:pPr>
        <w:pStyle w:val="3"/>
        <w:spacing w:before="0" w:after="0"/>
        <w:ind w:firstLine="640" w:firstLineChars="200"/>
        <w:rPr>
          <w:b w:val="0"/>
          <w:bCs/>
          <w:color w:val="auto"/>
        </w:rPr>
      </w:pPr>
      <w:bookmarkStart w:id="16" w:name="_Toc21991"/>
      <w:r>
        <w:rPr>
          <w:b w:val="0"/>
          <w:bCs/>
          <w:color w:val="auto"/>
        </w:rPr>
        <w:t>（七）加强地震人才支撑</w:t>
      </w:r>
      <w:bookmarkEnd w:id="16"/>
    </w:p>
    <w:p>
      <w:pPr>
        <w:pStyle w:val="17"/>
        <w:ind w:firstLine="640"/>
        <w:rPr>
          <w:rFonts w:ascii="仿宋_GB2312" w:eastAsia="仿宋_GB2312" w:cs="方正仿宋_GBK"/>
          <w:color w:val="auto"/>
          <w:sz w:val="32"/>
          <w:szCs w:val="32"/>
        </w:rPr>
      </w:pPr>
      <w:r>
        <w:rPr>
          <w:rFonts w:hint="eastAsia" w:ascii="仿宋_GB2312" w:eastAsia="仿宋_GB2312" w:cs="方正仿宋_GBK"/>
          <w:color w:val="auto"/>
          <w:sz w:val="32"/>
          <w:szCs w:val="32"/>
        </w:rPr>
        <w:t>实施“地震科技英才计划”和“全员素质提升计划”。落实《关于加快地震人才发展的实施方案（2020-2035年）》。依托重大科研项目、重大工程和重大建设项目培养急需紧缺的高层次人才。加大科技创新团队建设力度。组建科技人才体系，遴选云南地震“领军人才”“骨干人才”“青年人才”和“创新团队”。落实干部教育培训规划，统筹开展全省地震系统人才培训，锤炼思想政治素质，提高业务和行政管理能力。</w:t>
      </w:r>
    </w:p>
    <w:p>
      <w:pPr>
        <w:pStyle w:val="3"/>
        <w:spacing w:before="0" w:after="0"/>
        <w:ind w:firstLine="640" w:firstLineChars="200"/>
        <w:rPr>
          <w:b w:val="0"/>
          <w:bCs/>
          <w:color w:val="auto"/>
        </w:rPr>
      </w:pPr>
      <w:bookmarkStart w:id="17" w:name="_Toc21614"/>
      <w:r>
        <w:rPr>
          <w:rFonts w:hint="eastAsia"/>
          <w:b w:val="0"/>
          <w:bCs/>
          <w:color w:val="auto"/>
        </w:rPr>
        <w:t>（八）加强防震减灾法治建设</w:t>
      </w:r>
      <w:bookmarkEnd w:id="17"/>
    </w:p>
    <w:p>
      <w:pPr>
        <w:autoSpaceDE w:val="0"/>
        <w:autoSpaceDN w:val="0"/>
        <w:adjustRightInd w:val="0"/>
        <w:ind w:firstLine="640" w:firstLineChars="200"/>
        <w:rPr>
          <w:rFonts w:ascii="楷体" w:hAnsi="楷体" w:eastAsia="楷体"/>
          <w:color w:val="auto"/>
          <w:sz w:val="32"/>
          <w:szCs w:val="32"/>
        </w:rPr>
      </w:pPr>
      <w:r>
        <w:rPr>
          <w:rFonts w:hint="eastAsia" w:ascii="仿宋_GB2312" w:eastAsia="仿宋_GB2312" w:cs="方正仿宋_GBK"/>
          <w:color w:val="auto"/>
          <w:sz w:val="32"/>
          <w:szCs w:val="32"/>
        </w:rPr>
        <w:t>开展防震减灾条例、地震安全性评价、地震监测管理、地震巨灾保险制度等地方法规规章的制修订，开展法律法规规章实施情况评估。建立地震预警信息发布等防震减灾业务和服务标准。依法加强地震监测设施和地震观测环境保护。全面实行行政执法“三项制度”，运用“互联网+监管”手段，提高执法监督效率。组织开展防震减灾法等普法活动，提高社会各界防震减灾法治意识，提升防震减灾法治能力。</w:t>
      </w:r>
    </w:p>
    <w:p>
      <w:pPr>
        <w:pStyle w:val="2"/>
        <w:spacing w:before="0" w:after="0"/>
        <w:ind w:firstLine="720" w:firstLineChars="200"/>
        <w:rPr>
          <w:rFonts w:ascii="黑体" w:hAnsi="黑体" w:eastAsia="黑体" w:cs="黑体"/>
          <w:b w:val="0"/>
          <w:bCs/>
          <w:color w:val="auto"/>
          <w:sz w:val="36"/>
          <w:szCs w:val="36"/>
        </w:rPr>
      </w:pPr>
      <w:bookmarkStart w:id="18" w:name="_Toc25352"/>
      <w:r>
        <w:rPr>
          <w:rFonts w:hint="eastAsia" w:ascii="黑体" w:hAnsi="黑体" w:eastAsia="黑体" w:cs="黑体"/>
          <w:b w:val="0"/>
          <w:bCs/>
          <w:color w:val="auto"/>
          <w:sz w:val="36"/>
          <w:szCs w:val="36"/>
        </w:rPr>
        <w:t>四、重点项目</w:t>
      </w:r>
      <w:bookmarkEnd w:id="18"/>
    </w:p>
    <w:p>
      <w:pPr>
        <w:pStyle w:val="3"/>
        <w:spacing w:before="0" w:after="0"/>
        <w:ind w:firstLine="640" w:firstLineChars="200"/>
        <w:rPr>
          <w:b w:val="0"/>
          <w:bCs/>
          <w:color w:val="auto"/>
        </w:rPr>
      </w:pPr>
      <w:bookmarkStart w:id="19" w:name="_Toc13337"/>
      <w:r>
        <w:rPr>
          <w:rFonts w:hint="eastAsia"/>
          <w:b w:val="0"/>
          <w:bCs/>
          <w:color w:val="auto"/>
        </w:rPr>
        <w:t>（一）防震减灾智能化工程</w:t>
      </w:r>
      <w:bookmarkEnd w:id="19"/>
    </w:p>
    <w:p>
      <w:pPr>
        <w:pStyle w:val="17"/>
        <w:ind w:firstLine="640"/>
        <w:rPr>
          <w:rFonts w:ascii="仿宋_GB2312" w:eastAsia="仿宋_GB2312" w:cs="方正仿宋_GBK"/>
          <w:color w:val="auto"/>
          <w:sz w:val="32"/>
          <w:szCs w:val="32"/>
        </w:rPr>
      </w:pPr>
      <w:r>
        <w:rPr>
          <w:rFonts w:hint="eastAsia" w:ascii="仿宋_GB2312" w:eastAsia="仿宋_GB2312" w:cs="方正仿宋_GBK"/>
          <w:color w:val="auto"/>
          <w:sz w:val="32"/>
          <w:szCs w:val="32"/>
        </w:rPr>
        <w:t>建设全省全量的地震大数据资源平台,形成“孕震异常-台站监测-自动传输-汇集存储”自动化、智能化。完善核心业务平台，强化省级防震减灾信息服务专业系统和技术平台，建设大理地震数据灾备中心，统筹建设一批州市级分中心,支撑核心业务运行与公共服务产品生成，保障安全可靠、动态持续的智慧服务。实施防震减灾社会服务互联互通对接工程，架通服务政府、行业和社会公众的信息桥梁。</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360" w:lineRule="auto"/>
              <w:jc w:val="center"/>
              <w:rPr>
                <w:rFonts w:ascii="仿宋_GB2312" w:eastAsia="微软雅黑" w:cs="方正仿宋_GBK"/>
                <w:color w:val="auto"/>
                <w:sz w:val="32"/>
                <w:szCs w:val="32"/>
              </w:rPr>
            </w:pPr>
            <w:r>
              <w:rPr>
                <w:rFonts w:hint="eastAsia" w:ascii="黑体" w:hAnsi="黑体" w:eastAsia="黑体" w:cs="黑体"/>
                <w:color w:val="auto"/>
                <w:sz w:val="24"/>
              </w:rPr>
              <w:t>专栏1  防震减灾智能化工程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建设全省地震大数据资源平台。</w:t>
            </w:r>
            <w:r>
              <w:rPr>
                <w:rFonts w:hint="eastAsia" w:ascii="仿宋_GB2312" w:eastAsia="仿宋_GB2312" w:cs="方正仿宋_GBK"/>
                <w:color w:val="auto"/>
                <w:sz w:val="24"/>
              </w:rPr>
              <w:t>自动汇集存储各类地震监测数据，为地震业务系统智能化运行提供数据支撑。</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强化省级防震减灾信息服务专业系统和技术平台。</w:t>
            </w:r>
            <w:r>
              <w:rPr>
                <w:rFonts w:hint="eastAsia" w:ascii="仿宋_GB2312" w:eastAsia="仿宋_GB2312" w:cs="方正仿宋_GBK"/>
                <w:color w:val="auto"/>
                <w:sz w:val="24"/>
              </w:rPr>
              <w:t>整合防震减灾核心业务系统，集中分析处理地震大数据资源，形成系列化地震公共服务产品。</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实施防震减灾社会服务互联互通对接工程。</w:t>
            </w:r>
            <w:r>
              <w:rPr>
                <w:rFonts w:hint="eastAsia" w:ascii="仿宋_GB2312" w:eastAsia="仿宋_GB2312" w:cs="方正仿宋_GBK"/>
                <w:color w:val="auto"/>
                <w:sz w:val="24"/>
              </w:rPr>
              <w:t>推进全省防震减灾业务体系和公共服务体系跨行业融合，多种方式为政府、行业和公众提供服务。</w:t>
            </w:r>
          </w:p>
          <w:p>
            <w:pPr>
              <w:autoSpaceDE w:val="0"/>
              <w:autoSpaceDN w:val="0"/>
              <w:adjustRightInd w:val="0"/>
              <w:spacing w:line="360" w:lineRule="auto"/>
              <w:ind w:firstLine="480" w:firstLineChars="200"/>
              <w:rPr>
                <w:rFonts w:ascii="仿宋_GB2312" w:eastAsia="仿宋_GB2312" w:cs="方正仿宋_GBK"/>
                <w:b/>
                <w:bCs/>
                <w:color w:val="auto"/>
                <w:sz w:val="24"/>
              </w:rPr>
            </w:pPr>
            <w:r>
              <w:rPr>
                <w:rFonts w:hint="eastAsia" w:ascii="仿宋" w:hAnsi="仿宋" w:eastAsia="仿宋" w:cs="仿宋"/>
                <w:color w:val="auto"/>
                <w:sz w:val="24"/>
              </w:rPr>
              <w:t>●</w:t>
            </w:r>
            <w:r>
              <w:rPr>
                <w:rFonts w:hint="eastAsia" w:ascii="楷体" w:hAnsi="楷体" w:eastAsia="楷体" w:cs="楷体"/>
                <w:color w:val="auto"/>
                <w:sz w:val="24"/>
              </w:rPr>
              <w:t>建设大理地震数据灾备中心。</w:t>
            </w:r>
            <w:r>
              <w:rPr>
                <w:rFonts w:hint="eastAsia" w:ascii="仿宋_GB2312" w:eastAsia="仿宋_GB2312" w:cs="方正仿宋_GBK"/>
                <w:color w:val="auto"/>
                <w:sz w:val="24"/>
              </w:rPr>
              <w:t>以中国地震科学实验场大理中心为依托，建设全省地震大数据资源备份中心。</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统筹建设一批州市级中心。</w:t>
            </w:r>
            <w:r>
              <w:rPr>
                <w:rFonts w:hint="eastAsia" w:ascii="仿宋_GB2312" w:eastAsia="仿宋_GB2312" w:cs="方正仿宋_GBK"/>
                <w:color w:val="auto"/>
                <w:sz w:val="24"/>
              </w:rPr>
              <w:t>在具备条件的州市级地震机构，统筹资源，建设州市级防震减灾信息中心，发挥区域骨干平台作用。</w:t>
            </w:r>
          </w:p>
        </w:tc>
      </w:tr>
    </w:tbl>
    <w:p>
      <w:pPr>
        <w:pStyle w:val="3"/>
        <w:spacing w:before="0" w:after="0" w:line="660" w:lineRule="exact"/>
        <w:ind w:firstLine="640" w:firstLineChars="200"/>
        <w:rPr>
          <w:b w:val="0"/>
          <w:bCs/>
          <w:color w:val="auto"/>
        </w:rPr>
      </w:pPr>
      <w:bookmarkStart w:id="20" w:name="_Toc14329"/>
      <w:r>
        <w:rPr>
          <w:rFonts w:hint="eastAsia"/>
          <w:b w:val="0"/>
          <w:bCs/>
          <w:color w:val="auto"/>
        </w:rPr>
        <w:t>（二）地震监测站网升级工程</w:t>
      </w:r>
      <w:bookmarkEnd w:id="20"/>
    </w:p>
    <w:p>
      <w:pPr>
        <w:autoSpaceDE w:val="0"/>
        <w:autoSpaceDN w:val="0"/>
        <w:adjustRightInd w:val="0"/>
        <w:spacing w:line="660" w:lineRule="exact"/>
        <w:ind w:firstLine="640" w:firstLineChars="200"/>
        <w:rPr>
          <w:rFonts w:ascii="仿宋_GB2312" w:eastAsia="仿宋_GB2312" w:cs="方正仿宋_GBK"/>
          <w:color w:val="auto"/>
          <w:sz w:val="32"/>
          <w:szCs w:val="32"/>
        </w:rPr>
      </w:pPr>
      <w:r>
        <w:rPr>
          <w:rFonts w:hint="eastAsia" w:ascii="仿宋_GB2312" w:eastAsia="仿宋_GB2312" w:cs="方正仿宋_GBK"/>
          <w:color w:val="auto"/>
          <w:sz w:val="32"/>
          <w:szCs w:val="32"/>
        </w:rPr>
        <w:t>优化云南地震监测站网布局，迁建临沧地震监测中心站，强化石屏等重点台站建设。建设河口、瑞丽、福贡等沿边地区地震监测台站，提升边境地区地震监测能力，服务“一带一路”和面向南亚、东南亚辐射中心建设。建设云南地震监测预报业务分析保障系统，强化地震监测预报预警核心业务处理系统能力。形成布局科学、技术先进、功能完备、流程集约、协同高效的地震监测台（站）网体系，实现地震观测的自动化、技术装备的现代化、业务应用的智能化。</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eastAsia="微软雅黑" w:cs="方正仿宋_GBK"/>
                <w:color w:val="auto"/>
                <w:sz w:val="32"/>
                <w:szCs w:val="32"/>
              </w:rPr>
            </w:pPr>
            <w:r>
              <w:rPr>
                <w:rFonts w:hint="eastAsia" w:ascii="黑体" w:hAnsi="黑体" w:eastAsia="黑体" w:cs="黑体"/>
                <w:color w:val="auto"/>
                <w:sz w:val="24"/>
              </w:rPr>
              <w:t>专栏2 地震监测站网升级工程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优化云南地震监测站网布局。</w:t>
            </w:r>
            <w:r>
              <w:rPr>
                <w:rFonts w:hint="eastAsia" w:ascii="仿宋_GB2312" w:eastAsia="仿宋_GB2312" w:cs="方正仿宋_GBK"/>
                <w:color w:val="auto"/>
                <w:sz w:val="24"/>
              </w:rPr>
              <w:t>统筹实施省、市、县三级地震台（站）网改扩建，迁建临沧地震监测中心站，改扩建石屏等重点台站，拓展昆明基准地震台监测范围，新建小江断裂地球物理场观测点，实现全省地震台（站）网集约化、智能化升级转型。</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边境区域地震监测能力提升工程。</w:t>
            </w:r>
            <w:r>
              <w:rPr>
                <w:rFonts w:hint="eastAsia" w:ascii="仿宋_GB2312" w:eastAsia="仿宋_GB2312" w:cs="方正仿宋_GBK"/>
                <w:color w:val="auto"/>
                <w:sz w:val="24"/>
              </w:rPr>
              <w:t>建设瑞丽、河口、福贡等中缅、中老、中越边境区域地震监测台站，服务“一带一路”和面向南亚、东南亚辐射中心建设。（附图1 拟建台站分布图）</w:t>
            </w:r>
          </w:p>
          <w:p>
            <w:pPr>
              <w:autoSpaceDE w:val="0"/>
              <w:autoSpaceDN w:val="0"/>
              <w:adjustRightInd w:val="0"/>
              <w:spacing w:line="360" w:lineRule="auto"/>
              <w:ind w:firstLine="480" w:firstLineChars="200"/>
              <w:rPr>
                <w:rFonts w:ascii="仿宋_GB2312" w:cs="方正仿宋_GBK"/>
                <w:color w:val="auto"/>
                <w:sz w:val="32"/>
                <w:szCs w:val="32"/>
              </w:rPr>
            </w:pPr>
            <w:r>
              <w:rPr>
                <w:rFonts w:hint="eastAsia" w:ascii="仿宋" w:hAnsi="仿宋" w:eastAsia="仿宋" w:cs="仿宋"/>
                <w:color w:val="auto"/>
                <w:sz w:val="24"/>
              </w:rPr>
              <w:t>●</w:t>
            </w:r>
            <w:r>
              <w:rPr>
                <w:rFonts w:hint="eastAsia" w:ascii="楷体" w:hAnsi="楷体" w:eastAsia="楷体" w:cs="楷体"/>
                <w:color w:val="auto"/>
                <w:sz w:val="24"/>
              </w:rPr>
              <w:t>地震监测预报预警核心业务系统扩建工程。</w:t>
            </w:r>
            <w:r>
              <w:rPr>
                <w:rFonts w:hint="eastAsia" w:ascii="仿宋_GB2312" w:eastAsia="仿宋_GB2312" w:cs="方正仿宋_GBK"/>
                <w:color w:val="auto"/>
                <w:sz w:val="24"/>
              </w:rPr>
              <w:t>对接全国地震台（站）网改扩建工程，包括：建设云南地震监测站网系统、震情业务分析台网系统、地震监测信息服务系统。改扩建若干个固定监测站。扩建地震预报、预警、速报、编目等业务处理系统。新建运行监控和业务测试平台。新建业务评估系统与统一调度管理系统。实施台站观测环境改造。</w:t>
            </w:r>
          </w:p>
        </w:tc>
      </w:tr>
    </w:tbl>
    <w:p>
      <w:pPr>
        <w:pStyle w:val="3"/>
        <w:spacing w:before="0" w:after="0"/>
        <w:ind w:firstLine="640" w:firstLineChars="200"/>
        <w:rPr>
          <w:b w:val="0"/>
          <w:bCs/>
          <w:color w:val="auto"/>
        </w:rPr>
      </w:pPr>
      <w:bookmarkStart w:id="21" w:name="_Toc15893"/>
      <w:r>
        <w:rPr>
          <w:rFonts w:hint="eastAsia"/>
          <w:b w:val="0"/>
          <w:bCs/>
          <w:color w:val="auto"/>
        </w:rPr>
        <w:t>（三）地震灾害风险调查和重点隐患排查示范工程</w:t>
      </w:r>
      <w:bookmarkEnd w:id="21"/>
    </w:p>
    <w:p>
      <w:pPr>
        <w:ind w:firstLine="640" w:firstLineChars="200"/>
        <w:rPr>
          <w:rFonts w:ascii="仿宋_GB2312" w:eastAsia="仿宋_GB2312" w:cs="方正仿宋_GBK"/>
          <w:b/>
          <w:color w:val="auto"/>
          <w:sz w:val="32"/>
          <w:szCs w:val="32"/>
        </w:rPr>
      </w:pPr>
      <w:r>
        <w:rPr>
          <w:rFonts w:hint="eastAsia" w:ascii="仿宋_GB2312" w:eastAsia="仿宋_GB2312" w:cs="方正仿宋_GBK"/>
          <w:color w:val="auto"/>
          <w:sz w:val="32"/>
          <w:szCs w:val="32"/>
        </w:rPr>
        <w:t>实施全国自然灾害综合风险普查。在全省普查的基础上，结合云南实际，重点在面向南亚、东南亚辐射中心的重大基础设施密集区、滇中新区、人口稠密区等，包括昆明、大理、德宏、红河、普洱等地区，开展地震灾害重点隐患排查和风险区划，建设风险底数数据库。在高风险地区逐步实现地震风险实时监测与预警全覆盖。</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360" w:lineRule="auto"/>
              <w:jc w:val="center"/>
              <w:rPr>
                <w:rFonts w:ascii="仿宋_GB2312" w:eastAsia="微软雅黑" w:cs="方正仿宋_GBK"/>
                <w:color w:val="auto"/>
                <w:sz w:val="32"/>
                <w:szCs w:val="32"/>
              </w:rPr>
            </w:pPr>
            <w:r>
              <w:rPr>
                <w:rFonts w:hint="eastAsia" w:ascii="黑体" w:hAnsi="黑体" w:eastAsia="黑体" w:cs="黑体"/>
                <w:color w:val="auto"/>
                <w:sz w:val="24"/>
              </w:rPr>
              <w:t>专栏3 地震灾害风险调查和重点隐患排查示范工程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重点区域地震安全性评价。</w:t>
            </w:r>
            <w:r>
              <w:rPr>
                <w:rFonts w:hint="eastAsia" w:ascii="仿宋_GB2312" w:eastAsia="仿宋_GB2312" w:cs="方正仿宋_GBK"/>
                <w:color w:val="auto"/>
                <w:sz w:val="24"/>
              </w:rPr>
              <w:t>在实施全国自然灾害综合风险普查的基础上，重点对德宏、红河、普洱等边境自贸区，昆明等滇中新区开展区域地震安全性评价。（附图2 拟开展区域地震安全性评价的边境自贸区分布图，附图3 拟开展区域地震安全性评价的滇中新区主要城市分布图)</w:t>
            </w:r>
          </w:p>
          <w:p>
            <w:pPr>
              <w:autoSpaceDE w:val="0"/>
              <w:autoSpaceDN w:val="0"/>
              <w:adjustRightInd w:val="0"/>
              <w:spacing w:line="360" w:lineRule="auto"/>
              <w:ind w:firstLine="480" w:firstLineChars="200"/>
              <w:rPr>
                <w:rFonts w:ascii="仿宋_GB2312" w:eastAsia="仿宋_GB2312" w:cs="方正仿宋_GBK"/>
                <w:color w:val="auto"/>
                <w:sz w:val="32"/>
                <w:szCs w:val="32"/>
              </w:rPr>
            </w:pPr>
            <w:r>
              <w:rPr>
                <w:rFonts w:hint="eastAsia" w:ascii="仿宋" w:hAnsi="仿宋" w:eastAsia="仿宋" w:cs="仿宋"/>
                <w:color w:val="auto"/>
                <w:sz w:val="24"/>
              </w:rPr>
              <w:t>●</w:t>
            </w:r>
            <w:r>
              <w:rPr>
                <w:rFonts w:hint="eastAsia" w:ascii="楷体" w:hAnsi="楷体" w:eastAsia="楷体" w:cs="楷体"/>
                <w:color w:val="auto"/>
                <w:sz w:val="24"/>
              </w:rPr>
              <w:t>重要基础设施地震灾害风险防治。</w:t>
            </w:r>
            <w:r>
              <w:rPr>
                <w:rFonts w:hint="eastAsia" w:ascii="仿宋_GB2312" w:eastAsia="仿宋_GB2312" w:cs="方正仿宋_GBK"/>
                <w:color w:val="auto"/>
                <w:sz w:val="24"/>
              </w:rPr>
              <w:t>围绕建水-普洱-版纳等成品油管道建设工程、昆明-楚雄-大理等高速铁路等建设工程开展地震安全性评价，提供科学合理的抗震设防要求以及地震地质灾害防治要求，确保建设工程地震安全。（附图4 拟开展地震安全性评价的油气管道分布图，附图5 拟开展地震安全性评价的高速铁路分布图，附图6 拟开展地震安全性评价的高速公路分布图）</w:t>
            </w:r>
          </w:p>
        </w:tc>
      </w:tr>
    </w:tbl>
    <w:p>
      <w:pPr>
        <w:pStyle w:val="3"/>
        <w:spacing w:before="0" w:after="0"/>
        <w:ind w:firstLine="640" w:firstLineChars="200"/>
        <w:rPr>
          <w:b w:val="0"/>
          <w:bCs/>
          <w:color w:val="auto"/>
        </w:rPr>
      </w:pPr>
      <w:bookmarkStart w:id="22" w:name="_Toc20922"/>
      <w:r>
        <w:rPr>
          <w:rFonts w:hint="eastAsia"/>
          <w:b w:val="0"/>
          <w:bCs/>
          <w:color w:val="auto"/>
        </w:rPr>
        <w:t>（四）中国地震科学实验场云南场区建设工程</w:t>
      </w:r>
      <w:bookmarkEnd w:id="22"/>
    </w:p>
    <w:p>
      <w:pPr>
        <w:ind w:firstLine="640" w:firstLineChars="200"/>
        <w:rPr>
          <w:rFonts w:ascii="仿宋_GB2312" w:eastAsia="仿宋_GB2312" w:cs="方正仿宋_GBK"/>
          <w:b/>
          <w:color w:val="auto"/>
          <w:sz w:val="32"/>
          <w:szCs w:val="32"/>
        </w:rPr>
      </w:pPr>
      <w:r>
        <w:rPr>
          <w:rFonts w:hint="eastAsia" w:ascii="仿宋_GB2312" w:eastAsia="仿宋_GB2312" w:cs="方正仿宋_GBK"/>
          <w:color w:val="auto"/>
          <w:sz w:val="32"/>
          <w:szCs w:val="32"/>
        </w:rPr>
        <w:t>实施中国地震科学实验场国家重大科技基础设施工程，在川滇菱形块体边界带，滇西北、滇南重危区，滇东北、滇西能源开发重点区，建设多学科、高时空分辨率的科学实验观测网，建设重大工程结构响应监测仿真和地震安全诊断系统、地震科学数据共享与应用服务系统、分布式野外保障系统。实施云南场区市县新时代群测群防能力提升工程。以期加深对大陆强震孕育发生环境和孕震过程的认识，总结大陆强震短临异常特征和地震科学规律，探索大陆强震的致灾机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_GB2312" w:eastAsia="微软雅黑" w:cs="方正仿宋_GBK"/>
                <w:color w:val="auto"/>
                <w:sz w:val="32"/>
                <w:szCs w:val="32"/>
              </w:rPr>
            </w:pPr>
            <w:r>
              <w:rPr>
                <w:rFonts w:hint="eastAsia" w:ascii="黑体" w:hAnsi="黑体" w:eastAsia="黑体" w:cs="黑体"/>
                <w:color w:val="auto"/>
                <w:sz w:val="24"/>
              </w:rPr>
              <w:t>专栏4  中国地震科学实验场云南场区建设工程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4" w:space="0"/>
              <w:left w:val="single" w:color="auto" w:sz="4" w:space="0"/>
              <w:bottom w:val="single" w:color="auto" w:sz="4" w:space="0"/>
              <w:right w:val="single" w:color="auto" w:sz="4" w:space="0"/>
            </w:tcBorders>
          </w:tcPr>
          <w:p>
            <w:pPr>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多学科高时空分辨率的科学实验观测网。</w:t>
            </w:r>
            <w:r>
              <w:rPr>
                <w:rFonts w:hint="eastAsia" w:ascii="仿宋_GB2312" w:eastAsia="仿宋_GB2312" w:cs="方正仿宋_GBK"/>
                <w:color w:val="auto"/>
                <w:sz w:val="24"/>
              </w:rPr>
              <w:t>依托中国地震科学实验场国家重大科技基础设施建设工程，在云南“一带四区”建成一个科学观测网。即在云南菱形块体西边界的红河断裂带和东边界带的小江断裂带，滇西北重危区、滇南重危区、滇东北能源开采/开发重点区、小滇西地热利用重点区，建成涵盖地质、大地测量、地球物理、地球化学、地震工程等多学科、高时空分辨率的科学观测网。（附图7 中国地震科学实验场云南地区重点研究区）</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科学实验场云南场区“三系统”工程。</w:t>
            </w:r>
            <w:r>
              <w:rPr>
                <w:rFonts w:hint="eastAsia" w:ascii="仿宋_GB2312" w:eastAsia="仿宋_GB2312" w:cs="方正仿宋_GBK"/>
                <w:color w:val="auto"/>
                <w:sz w:val="24"/>
              </w:rPr>
              <w:t>依托中国地震科学实验场国家重大科技基础设施建设工程，在云南“一带四区”建成选定城市与重大工程地震韧性实验与模拟系统；开放的地震科学数据共享与应用服务系统；含昆明、大理2个科学实验基地，昭通、丽江、腾冲、通海、临沧、楚雄6个实验中心站的分布式野外保障系统。</w:t>
            </w:r>
          </w:p>
          <w:p>
            <w:pPr>
              <w:autoSpaceDE w:val="0"/>
              <w:autoSpaceDN w:val="0"/>
              <w:adjustRightInd w:val="0"/>
              <w:spacing w:line="360" w:lineRule="auto"/>
              <w:ind w:firstLine="480" w:firstLineChars="200"/>
              <w:rPr>
                <w:rFonts w:ascii="仿宋_GB2312" w:eastAsia="仿宋_GB2312" w:cs="方正仿宋_GBK"/>
                <w:color w:val="auto"/>
                <w:sz w:val="32"/>
                <w:szCs w:val="32"/>
              </w:rPr>
            </w:pPr>
            <w:r>
              <w:rPr>
                <w:rFonts w:hint="eastAsia" w:ascii="仿宋" w:hAnsi="仿宋" w:eastAsia="仿宋" w:cs="仿宋"/>
                <w:color w:val="auto"/>
                <w:sz w:val="24"/>
              </w:rPr>
              <w:t>●</w:t>
            </w:r>
            <w:r>
              <w:rPr>
                <w:rFonts w:hint="eastAsia" w:ascii="楷体" w:hAnsi="楷体" w:eastAsia="楷体" w:cs="楷体"/>
                <w:color w:val="auto"/>
                <w:sz w:val="24"/>
              </w:rPr>
              <w:t>云南场区市县新时代群测群防能力提升工程。</w:t>
            </w:r>
            <w:r>
              <w:rPr>
                <w:rFonts w:hint="eastAsia" w:ascii="仿宋_GB2312" w:eastAsia="仿宋_GB2312" w:cs="方正仿宋_GBK"/>
                <w:color w:val="auto"/>
                <w:sz w:val="24"/>
              </w:rPr>
              <w:t>统筹推进中国地震科学实验场云南相关市县地震机构观测环境和保障条件工程,全面提升对地震科学实验场各观测实验系统的支撑和条件保障能力。</w:t>
            </w:r>
          </w:p>
        </w:tc>
      </w:tr>
    </w:tbl>
    <w:p>
      <w:pPr>
        <w:pStyle w:val="3"/>
        <w:spacing w:before="0" w:after="0"/>
        <w:ind w:firstLine="640" w:firstLineChars="200"/>
        <w:rPr>
          <w:b w:val="0"/>
          <w:bCs/>
          <w:color w:val="auto"/>
        </w:rPr>
      </w:pPr>
      <w:bookmarkStart w:id="23" w:name="_Toc21329"/>
      <w:r>
        <w:rPr>
          <w:rFonts w:hint="eastAsia"/>
          <w:b w:val="0"/>
          <w:bCs/>
          <w:color w:val="auto"/>
        </w:rPr>
        <w:t>（五）防震减灾公共服务能力提升工程</w:t>
      </w:r>
      <w:bookmarkEnd w:id="23"/>
    </w:p>
    <w:p>
      <w:pPr>
        <w:ind w:firstLine="640" w:firstLineChars="200"/>
        <w:rPr>
          <w:rFonts w:ascii="仿宋_GB2312" w:eastAsia="仿宋_GB2312" w:cs="方正仿宋_GBK"/>
          <w:color w:val="auto"/>
          <w:sz w:val="32"/>
          <w:szCs w:val="32"/>
          <w:lang w:bidi="ar"/>
        </w:rPr>
      </w:pPr>
      <w:r>
        <w:rPr>
          <w:rFonts w:hint="eastAsia" w:ascii="仿宋_GB2312" w:eastAsia="仿宋_GB2312" w:cs="方正仿宋_GBK"/>
          <w:color w:val="auto"/>
          <w:sz w:val="32"/>
          <w:szCs w:val="32"/>
          <w:lang w:bidi="ar"/>
        </w:rPr>
        <w:t>基于大数据、云计算、物联网技术，依托国家地震烈度速报与预警工程建设成果和信息资源，构建面向党委政府震前综合防御、震后应急响应、灾后恢复重建的全链条防震减灾决策服务体系；面向交通、通讯、能源等重点或特殊领域的多元化防震减灾专业服务体系；面向社会公众的科普宣传基础设施建设、科普作品研发与宣传培训等防震减灾公共服务体系；面向重要活动、重大战略、国防安全等特殊需求，提供地震背景、应急处置措施、舆情监控等专项服务。建设决策服务、公众服务、专业服务、专项服务四类公共服务产品链，建成防震减灾公共服务平台，实现防震减灾公共服务的集约化、便捷化、智能化。</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autoSpaceDE w:val="0"/>
              <w:autoSpaceDN w:val="0"/>
              <w:adjustRightInd w:val="0"/>
              <w:spacing w:line="360" w:lineRule="auto"/>
              <w:jc w:val="center"/>
              <w:rPr>
                <w:rFonts w:ascii="仿宋_GB2312" w:eastAsia="微软雅黑" w:cs="方正仿宋_GBK"/>
                <w:color w:val="auto"/>
                <w:sz w:val="32"/>
                <w:szCs w:val="32"/>
              </w:rPr>
            </w:pPr>
            <w:r>
              <w:rPr>
                <w:rFonts w:hint="eastAsia" w:ascii="黑体" w:hAnsi="黑体" w:eastAsia="黑体" w:cs="黑体"/>
                <w:color w:val="auto"/>
                <w:sz w:val="24"/>
              </w:rPr>
              <w:t>专栏5  防震减灾公共服务能力提升工程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国家地震烈度速报与预警工程云南子项目公共服务系列产品研发及应用推广工程。</w:t>
            </w:r>
            <w:r>
              <w:rPr>
                <w:rFonts w:hint="eastAsia" w:ascii="仿宋_GB2312" w:eastAsia="仿宋_GB2312" w:cs="方正仿宋_GBK"/>
                <w:color w:val="auto"/>
                <w:sz w:val="24"/>
              </w:rPr>
              <w:t>利用预警和测震台网等地震观测数据，基于云计算、人工智能和高性能计算等技术初步实现自动产出预警信息、地震观测报告、地震烈度分布、震源机制解等产品。开展地震预警与烈度速报、地震数据可视化等关键技术攻关。建立地震、应急、通信等部门横向联合，国家、省、州（市）地震部门纵向衔接，管理规范的地震预警信息发布体系。利用预警信息发布系统和应急广播、电视、互联网、手机等手段，推送地震预警信息，实现震后秒级地震预警信息发布能力和分钟级地震烈度速报能力。</w:t>
            </w:r>
          </w:p>
          <w:p>
            <w:pPr>
              <w:autoSpaceDE w:val="0"/>
              <w:autoSpaceDN w:val="0"/>
              <w:adjustRightInd w:val="0"/>
              <w:spacing w:line="360" w:lineRule="auto"/>
              <w:ind w:firstLine="480" w:firstLineChars="200"/>
              <w:rPr>
                <w:rFonts w:ascii="仿宋_GB2312" w:eastAsia="仿宋_GB2312" w:cs="方正仿宋_GBK"/>
                <w:color w:val="auto"/>
                <w:sz w:val="24"/>
              </w:rPr>
            </w:pPr>
            <w:r>
              <w:rPr>
                <w:rFonts w:hint="eastAsia" w:ascii="仿宋" w:hAnsi="仿宋" w:eastAsia="仿宋" w:cs="仿宋"/>
                <w:color w:val="auto"/>
                <w:sz w:val="24"/>
              </w:rPr>
              <w:t>●</w:t>
            </w:r>
            <w:r>
              <w:rPr>
                <w:rFonts w:hint="eastAsia" w:ascii="楷体" w:hAnsi="楷体" w:eastAsia="楷体" w:cs="楷体"/>
                <w:color w:val="auto"/>
                <w:sz w:val="24"/>
              </w:rPr>
              <w:t>防震减灾科普宣传基础设施建设。</w:t>
            </w:r>
            <w:r>
              <w:rPr>
                <w:rFonts w:hint="eastAsia" w:ascii="仿宋_GB2312" w:eastAsia="仿宋_GB2312" w:cs="方正仿宋_GBK"/>
                <w:color w:val="auto"/>
                <w:sz w:val="24"/>
              </w:rPr>
              <w:t>加强防震减灾专业科普场馆建设，完善提升已有防震减灾专业科普馆的软硬件条件；推进防震减灾科普进入综合科技场馆、主题公园等公共场所，为社会公众提供体验式的科普服务；研发具备云南地震灾害特征及地域民俗文化特色的数字科普馆和科普作品。</w:t>
            </w:r>
          </w:p>
          <w:p>
            <w:pPr>
              <w:autoSpaceDE w:val="0"/>
              <w:autoSpaceDN w:val="0"/>
              <w:adjustRightInd w:val="0"/>
              <w:spacing w:line="360" w:lineRule="auto"/>
              <w:ind w:firstLine="480" w:firstLineChars="200"/>
              <w:rPr>
                <w:rFonts w:ascii="仿宋_GB2312" w:eastAsia="仿宋_GB2312" w:cs="方正仿宋_GBK"/>
                <w:b/>
                <w:bCs/>
                <w:color w:val="auto"/>
                <w:sz w:val="32"/>
                <w:szCs w:val="32"/>
              </w:rPr>
            </w:pPr>
            <w:r>
              <w:rPr>
                <w:rFonts w:hint="eastAsia" w:ascii="仿宋" w:hAnsi="仿宋" w:eastAsia="仿宋" w:cs="仿宋"/>
                <w:color w:val="auto"/>
                <w:sz w:val="24"/>
              </w:rPr>
              <w:t>●</w:t>
            </w:r>
            <w:r>
              <w:rPr>
                <w:rFonts w:hint="eastAsia" w:ascii="楷体" w:hAnsi="楷体" w:eastAsia="楷体" w:cs="楷体"/>
                <w:color w:val="auto"/>
                <w:sz w:val="24"/>
              </w:rPr>
              <w:t>全民防震减灾意识与素质提升工程。</w:t>
            </w:r>
            <w:r>
              <w:rPr>
                <w:rFonts w:hint="eastAsia" w:ascii="仿宋_GB2312" w:eastAsia="仿宋_GB2312" w:cs="方正仿宋_GBK"/>
                <w:color w:val="auto"/>
                <w:sz w:val="24"/>
              </w:rPr>
              <w:t>加强防震减灾科普示范学校创建；加强防震减灾科普人员教育培训，实现省级示范学校科普辅导员全覆盖；推进综合减灾示范社区创建，增建100个省级示范社区。</w:t>
            </w:r>
          </w:p>
        </w:tc>
      </w:tr>
    </w:tbl>
    <w:p>
      <w:pPr>
        <w:ind w:firstLine="420" w:firstLineChars="200"/>
        <w:rPr>
          <w:color w:val="auto"/>
        </w:rPr>
      </w:pPr>
    </w:p>
    <w:p>
      <w:pPr>
        <w:pStyle w:val="2"/>
        <w:spacing w:before="0" w:after="0"/>
        <w:ind w:firstLine="720" w:firstLineChars="200"/>
        <w:rPr>
          <w:rFonts w:ascii="黑体" w:hAnsi="黑体" w:eastAsia="黑体" w:cs="黑体"/>
          <w:b w:val="0"/>
          <w:bCs/>
          <w:color w:val="auto"/>
          <w:sz w:val="36"/>
          <w:szCs w:val="36"/>
        </w:rPr>
      </w:pPr>
      <w:bookmarkStart w:id="24" w:name="_Toc19883"/>
      <w:r>
        <w:rPr>
          <w:rFonts w:hint="eastAsia" w:ascii="黑体" w:hAnsi="黑体" w:eastAsia="黑体" w:cs="黑体"/>
          <w:b w:val="0"/>
          <w:bCs/>
          <w:color w:val="auto"/>
          <w:sz w:val="36"/>
          <w:szCs w:val="36"/>
        </w:rPr>
        <w:t>五、保障措施</w:t>
      </w:r>
      <w:bookmarkEnd w:id="24"/>
    </w:p>
    <w:p>
      <w:pPr>
        <w:pStyle w:val="3"/>
        <w:spacing w:before="0" w:after="0"/>
        <w:ind w:firstLine="640" w:firstLineChars="200"/>
        <w:rPr>
          <w:b w:val="0"/>
          <w:bCs/>
          <w:color w:val="auto"/>
        </w:rPr>
      </w:pPr>
      <w:bookmarkStart w:id="25" w:name="_Toc815"/>
      <w:r>
        <w:rPr>
          <w:rFonts w:hint="eastAsia"/>
          <w:b w:val="0"/>
          <w:bCs/>
          <w:color w:val="auto"/>
        </w:rPr>
        <w:t>（一）加强组织领导</w:t>
      </w:r>
      <w:bookmarkEnd w:id="25"/>
    </w:p>
    <w:p>
      <w:pPr>
        <w:ind w:firstLine="640" w:firstLineChars="200"/>
        <w:rPr>
          <w:rFonts w:ascii="仿宋_GB2312" w:hAnsi="楷体" w:eastAsia="仿宋_GB2312"/>
          <w:color w:val="auto"/>
          <w:sz w:val="32"/>
          <w:szCs w:val="32"/>
        </w:rPr>
      </w:pPr>
      <w:r>
        <w:rPr>
          <w:rFonts w:hint="eastAsia" w:ascii="仿宋_GB2312" w:eastAsia="仿宋_GB2312"/>
          <w:color w:val="auto"/>
          <w:sz w:val="32"/>
          <w:szCs w:val="32"/>
        </w:rPr>
        <w:t>坚</w:t>
      </w:r>
      <w:r>
        <w:rPr>
          <w:rFonts w:hint="eastAsia" w:ascii="仿宋_GB2312" w:hAnsi="楷体" w:eastAsia="仿宋_GB2312"/>
          <w:color w:val="auto"/>
          <w:sz w:val="32"/>
          <w:szCs w:val="32"/>
        </w:rPr>
        <w:t>持党对防震减灾工作的全面领导。各级政府要切实落实主体责任，加强各级规划的纵向衔接并组织实施。健全目标导向管理机制，发挥防震减灾相关行业、部门的积极性和创造性。明确规划指标，落实主要任务和重点项目，细化措施，确保规划目标如期完成。</w:t>
      </w:r>
    </w:p>
    <w:p>
      <w:pPr>
        <w:pStyle w:val="3"/>
        <w:spacing w:before="0" w:after="0"/>
        <w:ind w:firstLine="640" w:firstLineChars="200"/>
        <w:rPr>
          <w:b w:val="0"/>
          <w:bCs/>
          <w:color w:val="auto"/>
        </w:rPr>
      </w:pPr>
      <w:bookmarkStart w:id="26" w:name="_Toc20255"/>
      <w:r>
        <w:rPr>
          <w:rFonts w:hint="eastAsia"/>
          <w:b w:val="0"/>
          <w:bCs/>
          <w:color w:val="auto"/>
        </w:rPr>
        <w:t>（二）健全投入机制</w:t>
      </w:r>
      <w:bookmarkEnd w:id="26"/>
    </w:p>
    <w:p>
      <w:pPr>
        <w:ind w:firstLine="640" w:firstLineChars="200"/>
        <w:rPr>
          <w:rFonts w:ascii="仿宋_GB2312" w:hAnsi="楷体" w:eastAsia="仿宋_GB2312"/>
          <w:color w:val="auto"/>
          <w:sz w:val="32"/>
          <w:szCs w:val="32"/>
        </w:rPr>
      </w:pPr>
      <w:r>
        <w:rPr>
          <w:rFonts w:hint="eastAsia" w:ascii="仿宋_GB2312" w:eastAsia="仿宋_GB2312"/>
          <w:color w:val="auto"/>
          <w:sz w:val="32"/>
          <w:szCs w:val="32"/>
        </w:rPr>
        <w:t>坚</w:t>
      </w:r>
      <w:r>
        <w:rPr>
          <w:rFonts w:hint="eastAsia" w:ascii="仿宋_GB2312" w:hAnsi="楷体" w:eastAsia="仿宋_GB2312"/>
          <w:color w:val="auto"/>
          <w:sz w:val="32"/>
          <w:szCs w:val="32"/>
        </w:rPr>
        <w:t>持和完善双重计划财务体制，完善防震减灾领域的省级与市县财政事权和支出责任划分，建立相适应的财政资金投入机制。拓宽资金投入渠道，建立以政府投入为主、社会投入为辅的多元化资金投入体系，继续推动地震灾害保险制度。健全完善资金管理与监督机制。</w:t>
      </w:r>
    </w:p>
    <w:p>
      <w:pPr>
        <w:pStyle w:val="3"/>
        <w:spacing w:before="0" w:after="0"/>
        <w:ind w:firstLine="640" w:firstLineChars="200"/>
        <w:rPr>
          <w:b w:val="0"/>
          <w:bCs/>
          <w:color w:val="auto"/>
        </w:rPr>
      </w:pPr>
      <w:bookmarkStart w:id="27" w:name="_Toc22341"/>
      <w:r>
        <w:rPr>
          <w:rFonts w:hint="eastAsia"/>
          <w:b w:val="0"/>
          <w:bCs/>
          <w:color w:val="auto"/>
        </w:rPr>
        <w:t>（三）统筹协调发展</w:t>
      </w:r>
      <w:bookmarkEnd w:id="27"/>
    </w:p>
    <w:p>
      <w:pPr>
        <w:ind w:firstLine="640" w:firstLineChars="200"/>
        <w:rPr>
          <w:rFonts w:ascii="仿宋_GB2312" w:hAnsi="楷体" w:eastAsia="仿宋_GB2312"/>
          <w:color w:val="auto"/>
          <w:sz w:val="32"/>
          <w:szCs w:val="32"/>
        </w:rPr>
      </w:pPr>
      <w:r>
        <w:rPr>
          <w:rFonts w:hint="eastAsia" w:ascii="仿宋_GB2312" w:eastAsia="仿宋_GB2312"/>
          <w:color w:val="auto"/>
          <w:sz w:val="32"/>
          <w:szCs w:val="32"/>
        </w:rPr>
        <w:t>强</w:t>
      </w:r>
      <w:r>
        <w:rPr>
          <w:rFonts w:hint="eastAsia" w:ascii="仿宋_GB2312" w:hAnsi="楷体" w:eastAsia="仿宋_GB2312"/>
          <w:color w:val="auto"/>
          <w:sz w:val="32"/>
          <w:szCs w:val="32"/>
        </w:rPr>
        <w:t>化行业内外统筹协调发展机制。做好本规划与发改、应急等部门相关行业规划的横向衔接，确保全省规划总体目标一致，各有侧重、协调互补。建立防震减灾相关行业信息共享与合作机制，实现行业间优势互补、协调发展。全面深化改革，统筹推进灾害风险防治、基本业务、科技创新、社会治理等领域协同发展，激发事业发展活力。</w:t>
      </w:r>
    </w:p>
    <w:p>
      <w:pPr>
        <w:pStyle w:val="3"/>
        <w:spacing w:before="0" w:after="0"/>
        <w:ind w:firstLine="640" w:firstLineChars="200"/>
        <w:rPr>
          <w:b w:val="0"/>
          <w:bCs/>
          <w:color w:val="auto"/>
        </w:rPr>
      </w:pPr>
      <w:bookmarkStart w:id="28" w:name="_Toc9886"/>
      <w:r>
        <w:rPr>
          <w:rFonts w:hint="eastAsia"/>
          <w:b w:val="0"/>
          <w:bCs/>
          <w:color w:val="auto"/>
        </w:rPr>
        <w:t>（四）提供人才保障</w:t>
      </w:r>
      <w:bookmarkEnd w:id="28"/>
    </w:p>
    <w:p>
      <w:pPr>
        <w:ind w:firstLine="640" w:firstLineChars="200"/>
        <w:rPr>
          <w:rFonts w:ascii="仿宋_GB2312" w:hAnsi="楷体" w:eastAsia="仿宋_GB2312"/>
          <w:color w:val="auto"/>
          <w:sz w:val="32"/>
          <w:szCs w:val="32"/>
        </w:rPr>
      </w:pPr>
      <w:r>
        <w:rPr>
          <w:rFonts w:hint="eastAsia" w:ascii="仿宋_GB2312" w:eastAsia="仿宋_GB2312"/>
          <w:color w:val="auto"/>
          <w:sz w:val="32"/>
          <w:szCs w:val="32"/>
        </w:rPr>
        <w:t>践</w:t>
      </w:r>
      <w:r>
        <w:rPr>
          <w:rFonts w:hint="eastAsia" w:ascii="仿宋_GB2312" w:hAnsi="楷体" w:eastAsia="仿宋_GB2312"/>
          <w:color w:val="auto"/>
          <w:sz w:val="32"/>
          <w:szCs w:val="32"/>
        </w:rPr>
        <w:t>行“对党忠诚、纪律严明、赴汤蹈火、竭诚为民”重要训词精神，加强人才队伍建设。加大科技创新团队建设，培养和引进高层次人才。</w:t>
      </w:r>
      <w:r>
        <w:rPr>
          <w:rFonts w:hint="eastAsia" w:ascii="仿宋_GB2312" w:hAnsi="Helvetica" w:eastAsia="仿宋_GB2312" w:cs="Helvetica"/>
          <w:color w:val="auto"/>
          <w:sz w:val="32"/>
          <w:szCs w:val="32"/>
          <w:shd w:val="clear" w:color="auto" w:fill="FFFFFF"/>
        </w:rPr>
        <w:t>建立全省地震系统人才数据库和全局优秀年轻干部储备库</w:t>
      </w:r>
      <w:r>
        <w:rPr>
          <w:rFonts w:hint="eastAsia" w:ascii="仿宋_GB2312" w:hAnsi="楷体" w:eastAsia="仿宋_GB2312"/>
          <w:color w:val="auto"/>
          <w:sz w:val="32"/>
          <w:szCs w:val="32"/>
        </w:rPr>
        <w:t>，构建优秀人才梯队。建立人才专项基金，健全科技成果转化激励机制，激发科研人员干事创业积极性。</w:t>
      </w:r>
    </w:p>
    <w:p>
      <w:pPr>
        <w:pStyle w:val="3"/>
        <w:spacing w:before="0" w:after="0"/>
        <w:ind w:firstLine="640" w:firstLineChars="200"/>
        <w:rPr>
          <w:b w:val="0"/>
          <w:bCs/>
          <w:color w:val="auto"/>
        </w:rPr>
      </w:pPr>
      <w:bookmarkStart w:id="29" w:name="_Toc15910"/>
      <w:r>
        <w:rPr>
          <w:rFonts w:hint="eastAsia"/>
          <w:b w:val="0"/>
          <w:bCs/>
          <w:color w:val="auto"/>
        </w:rPr>
        <w:t>（五）开展检查评估</w:t>
      </w:r>
      <w:bookmarkEnd w:id="29"/>
    </w:p>
    <w:p>
      <w:pPr>
        <w:ind w:firstLine="640" w:firstLineChars="200"/>
        <w:rPr>
          <w:rFonts w:ascii="仿宋_GB2312" w:hAnsi="楷体" w:eastAsia="仿宋_GB2312"/>
          <w:color w:val="auto"/>
          <w:sz w:val="32"/>
          <w:szCs w:val="32"/>
        </w:rPr>
      </w:pPr>
      <w:r>
        <w:rPr>
          <w:rFonts w:hint="eastAsia" w:ascii="仿宋_GB2312" w:eastAsia="仿宋_GB2312"/>
          <w:color w:val="auto"/>
          <w:sz w:val="32"/>
          <w:szCs w:val="32"/>
        </w:rPr>
        <w:t>建</w:t>
      </w:r>
      <w:r>
        <w:rPr>
          <w:rFonts w:hint="eastAsia" w:ascii="仿宋_GB2312" w:hAnsi="楷体" w:eastAsia="仿宋_GB2312"/>
          <w:color w:val="auto"/>
          <w:sz w:val="32"/>
          <w:szCs w:val="32"/>
        </w:rPr>
        <w:t>立健全检查评估制度，开展规划实施跟踪考核。制定科学的规划实施体系和评价标准，组织开展规划实施中期评估和后评价工作，加强执行情况的监督检查和评估结果的应用，推动规划目标任务的全面实现。</w:t>
      </w: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附图1</w:t>
      </w:r>
    </w:p>
    <w:p>
      <w:pPr>
        <w:rPr>
          <w:color w:val="auto"/>
        </w:rPr>
      </w:pPr>
      <w:r>
        <w:rPr>
          <w:rFonts w:hint="eastAsia"/>
          <w:color w:val="auto"/>
        </w:rPr>
        <w:drawing>
          <wp:inline distT="0" distB="0" distL="0" distR="0">
            <wp:extent cx="5107305" cy="5598160"/>
            <wp:effectExtent l="0" t="0" r="0" b="2540"/>
            <wp:docPr id="11" name="图片 11" descr="C:\Users\hfg\Desktop\1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hfg\Desktop\1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07305" cy="5598160"/>
                    </a:xfrm>
                    <a:prstGeom prst="rect">
                      <a:avLst/>
                    </a:prstGeom>
                    <a:noFill/>
                    <a:ln>
                      <a:noFill/>
                    </a:ln>
                  </pic:spPr>
                </pic:pic>
              </a:graphicData>
            </a:graphic>
          </wp:inline>
        </w:drawing>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附图2</w:t>
      </w:r>
      <w:r>
        <w:rPr>
          <w:rFonts w:ascii="仿宋_GB2312" w:hAnsi="楷体" w:eastAsia="仿宋_GB2312"/>
          <w:color w:val="auto"/>
          <w:sz w:val="32"/>
          <w:szCs w:val="32"/>
        </w:rPr>
        <w:t xml:space="preserve"> </w:t>
      </w:r>
    </w:p>
    <w:p>
      <w:pPr>
        <w:rPr>
          <w:color w:val="auto"/>
        </w:rPr>
      </w:pPr>
      <w:r>
        <w:rPr>
          <w:color w:val="auto"/>
        </w:rPr>
        <w:drawing>
          <wp:inline distT="0" distB="0" distL="0" distR="0">
            <wp:extent cx="5160645" cy="5558790"/>
            <wp:effectExtent l="0" t="0" r="1905" b="3810"/>
            <wp:docPr id="4" name="图片 4" descr="C:\Users\hfg\Desktop\2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hfg\Desktop\2改.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60645" cy="5558790"/>
                    </a:xfrm>
                    <a:prstGeom prst="rect">
                      <a:avLst/>
                    </a:prstGeom>
                    <a:noFill/>
                    <a:ln>
                      <a:noFill/>
                    </a:ln>
                  </pic:spPr>
                </pic:pic>
              </a:graphicData>
            </a:graphic>
          </wp:inline>
        </w:drawing>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附图3</w:t>
      </w:r>
      <w:r>
        <w:rPr>
          <w:rFonts w:ascii="仿宋_GB2312" w:hAnsi="楷体" w:eastAsia="仿宋_GB2312"/>
          <w:color w:val="auto"/>
          <w:sz w:val="32"/>
          <w:szCs w:val="32"/>
        </w:rPr>
        <w:t xml:space="preserve"> </w:t>
      </w:r>
    </w:p>
    <w:p>
      <w:pPr>
        <w:rPr>
          <w:color w:val="auto"/>
        </w:rPr>
      </w:pPr>
      <w:r>
        <w:rPr>
          <w:rFonts w:hint="eastAsia"/>
          <w:color w:val="auto"/>
        </w:rPr>
        <w:drawing>
          <wp:inline distT="0" distB="0" distL="0" distR="0">
            <wp:extent cx="5160645" cy="5558790"/>
            <wp:effectExtent l="0" t="0" r="1905" b="3810"/>
            <wp:docPr id="5" name="图片 5" descr="C:\Users\hfg\Desktop\3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hfg\Desktop\3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60645" cy="5558790"/>
                    </a:xfrm>
                    <a:prstGeom prst="rect">
                      <a:avLst/>
                    </a:prstGeom>
                    <a:noFill/>
                    <a:ln>
                      <a:noFill/>
                    </a:ln>
                  </pic:spPr>
                </pic:pic>
              </a:graphicData>
            </a:graphic>
          </wp:inline>
        </w:drawing>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 xml:space="preserve">附图4 </w:t>
      </w:r>
    </w:p>
    <w:p>
      <w:pPr>
        <w:rPr>
          <w:color w:val="auto"/>
        </w:rPr>
      </w:pPr>
    </w:p>
    <w:p>
      <w:pPr>
        <w:rPr>
          <w:color w:val="auto"/>
        </w:rPr>
      </w:pPr>
      <w:r>
        <w:drawing>
          <wp:inline distT="0" distB="0" distL="0" distR="0">
            <wp:extent cx="5267325" cy="4029075"/>
            <wp:effectExtent l="0" t="0" r="9525" b="9525"/>
            <wp:docPr id="3" name="图片 3" descr="C:\Users\hfg\Desktop\4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hfg\Desktop\4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4029075"/>
                    </a:xfrm>
                    <a:prstGeom prst="rect">
                      <a:avLst/>
                    </a:prstGeom>
                    <a:noFill/>
                    <a:ln>
                      <a:noFill/>
                    </a:ln>
                  </pic:spPr>
                </pic:pic>
              </a:graphicData>
            </a:graphic>
          </wp:inline>
        </w:drawing>
      </w:r>
    </w:p>
    <w:p>
      <w:pPr>
        <w:rPr>
          <w:rFonts w:ascii="仿宋_GB2312" w:eastAsia="仿宋_GB2312"/>
          <w:color w:val="auto"/>
          <w:sz w:val="24"/>
          <w:szCs w:val="28"/>
        </w:rPr>
      </w:pPr>
      <w:r>
        <w:rPr>
          <w:rFonts w:hint="eastAsia" w:ascii="仿宋_GB2312" w:eastAsia="仿宋_GB2312"/>
          <w:color w:val="auto"/>
          <w:sz w:val="24"/>
          <w:szCs w:val="28"/>
        </w:rPr>
        <w:t>（注：本图来源于《云南省人民政府关于印发云南省国民经济和社会发展第十四个五年规划和二</w:t>
      </w:r>
      <w:r>
        <w:rPr>
          <w:rFonts w:hint="eastAsia" w:ascii="宋体" w:hAnsi="宋体" w:cs="宋体"/>
          <w:color w:val="auto"/>
          <w:sz w:val="24"/>
          <w:szCs w:val="28"/>
        </w:rPr>
        <w:t>〇</w:t>
      </w:r>
      <w:r>
        <w:rPr>
          <w:rFonts w:hint="eastAsia" w:ascii="仿宋_GB2312" w:hAnsi="仿宋_GB2312" w:eastAsia="仿宋_GB2312" w:cs="仿宋_GB2312"/>
          <w:color w:val="auto"/>
          <w:sz w:val="24"/>
          <w:szCs w:val="28"/>
        </w:rPr>
        <w:t>三五年远景目标纲要的通知》）</w:t>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 xml:space="preserve">附图5 </w:t>
      </w:r>
    </w:p>
    <w:p>
      <w:pPr>
        <w:rPr>
          <w:color w:val="auto"/>
        </w:rPr>
      </w:pPr>
      <w:r>
        <w:rPr>
          <w:rFonts w:hint="eastAsia"/>
        </w:rPr>
        <w:drawing>
          <wp:inline distT="0" distB="0" distL="0" distR="0">
            <wp:extent cx="5276850" cy="4000500"/>
            <wp:effectExtent l="0" t="0" r="0" b="0"/>
            <wp:docPr id="8" name="图片 8" descr="C:\Users\hfg\Desktop\5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fg\Desktop\5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4000500"/>
                    </a:xfrm>
                    <a:prstGeom prst="rect">
                      <a:avLst/>
                    </a:prstGeom>
                    <a:noFill/>
                    <a:ln>
                      <a:noFill/>
                    </a:ln>
                  </pic:spPr>
                </pic:pic>
              </a:graphicData>
            </a:graphic>
          </wp:inline>
        </w:drawing>
      </w:r>
    </w:p>
    <w:p>
      <w:pPr>
        <w:rPr>
          <w:rFonts w:ascii="仿宋_GB2312" w:eastAsia="仿宋_GB2312"/>
          <w:color w:val="auto"/>
          <w:sz w:val="24"/>
          <w:szCs w:val="28"/>
        </w:rPr>
      </w:pPr>
      <w:r>
        <w:rPr>
          <w:rFonts w:hint="eastAsia" w:ascii="仿宋_GB2312" w:eastAsia="仿宋_GB2312"/>
          <w:color w:val="auto"/>
          <w:sz w:val="24"/>
          <w:szCs w:val="28"/>
        </w:rPr>
        <w:t>（注：本图来源于《云南省人民政府关于印发云南省国民经济和社会发展第十四个五年规划和二〇三五年远景目标纲要的通知》）</w:t>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附图6</w:t>
      </w:r>
      <w:r>
        <w:rPr>
          <w:rFonts w:ascii="仿宋_GB2312" w:hAnsi="楷体" w:eastAsia="仿宋_GB2312"/>
          <w:color w:val="auto"/>
          <w:sz w:val="32"/>
          <w:szCs w:val="32"/>
        </w:rPr>
        <w:t xml:space="preserve"> </w:t>
      </w:r>
    </w:p>
    <w:p>
      <w:pPr>
        <w:rPr>
          <w:color w:val="auto"/>
        </w:rPr>
      </w:pPr>
      <w:r>
        <w:drawing>
          <wp:inline distT="0" distB="0" distL="0" distR="0">
            <wp:extent cx="5267325" cy="3819525"/>
            <wp:effectExtent l="0" t="0" r="9525" b="9525"/>
            <wp:docPr id="9" name="图片 9" descr="C:\Users\hfg\Desktop\6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fg\Desktop\6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3819525"/>
                    </a:xfrm>
                    <a:prstGeom prst="rect">
                      <a:avLst/>
                    </a:prstGeom>
                    <a:noFill/>
                    <a:ln>
                      <a:noFill/>
                    </a:ln>
                  </pic:spPr>
                </pic:pic>
              </a:graphicData>
            </a:graphic>
          </wp:inline>
        </w:drawing>
      </w:r>
    </w:p>
    <w:p>
      <w:pPr>
        <w:rPr>
          <w:rFonts w:ascii="仿宋_GB2312" w:eastAsia="仿宋_GB2312"/>
          <w:color w:val="auto"/>
          <w:sz w:val="24"/>
          <w:szCs w:val="28"/>
        </w:rPr>
      </w:pPr>
      <w:r>
        <w:rPr>
          <w:rFonts w:hint="eastAsia" w:ascii="仿宋_GB2312" w:eastAsia="仿宋_GB2312"/>
          <w:color w:val="auto"/>
          <w:sz w:val="24"/>
          <w:szCs w:val="28"/>
        </w:rPr>
        <w:t>（注：本图来源于《云南省人民政府关于印发云南省国民经济和社会发展第十四个五年规划和二〇三五年远景目标纲要的通知》）</w:t>
      </w:r>
    </w:p>
    <w:p>
      <w:pPr>
        <w:widowControl/>
        <w:jc w:val="left"/>
        <w:rPr>
          <w:color w:val="auto"/>
        </w:rPr>
      </w:pPr>
      <w:r>
        <w:rPr>
          <w:color w:val="auto"/>
        </w:rPr>
        <w:br w:type="page"/>
      </w:r>
    </w:p>
    <w:p>
      <w:pPr>
        <w:ind w:firstLine="640"/>
        <w:rPr>
          <w:rFonts w:ascii="仿宋_GB2312" w:hAnsi="楷体" w:eastAsia="仿宋_GB2312"/>
          <w:color w:val="auto"/>
          <w:sz w:val="32"/>
          <w:szCs w:val="32"/>
        </w:rPr>
      </w:pPr>
      <w:r>
        <w:rPr>
          <w:rFonts w:hint="eastAsia" w:ascii="仿宋_GB2312" w:hAnsi="楷体" w:eastAsia="仿宋_GB2312"/>
          <w:color w:val="auto"/>
          <w:sz w:val="32"/>
          <w:szCs w:val="32"/>
        </w:rPr>
        <w:t>附图7</w:t>
      </w:r>
    </w:p>
    <w:p>
      <w:pPr>
        <w:rPr>
          <w:color w:val="auto"/>
        </w:rPr>
      </w:pPr>
      <w:r>
        <w:rPr>
          <w:rFonts w:hint="eastAsia"/>
          <w:color w:val="auto"/>
        </w:rPr>
        <w:drawing>
          <wp:inline distT="0" distB="0" distL="114300" distR="114300">
            <wp:extent cx="5144770" cy="5532120"/>
            <wp:effectExtent l="0" t="0" r="6350" b="0"/>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12"/>
                    <a:stretch>
                      <a:fillRect/>
                    </a:stretch>
                  </pic:blipFill>
                  <pic:spPr>
                    <a:xfrm>
                      <a:off x="0" y="0"/>
                      <a:ext cx="5144770" cy="5532120"/>
                    </a:xfrm>
                    <a:prstGeom prst="rect">
                      <a:avLst/>
                    </a:prstGeom>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F0312C"/>
    <w:multiLevelType w:val="multilevel"/>
    <w:tmpl w:val="33F0312C"/>
    <w:lvl w:ilvl="0" w:tentative="0">
      <w:start w:val="1"/>
      <w:numFmt w:val="decimal"/>
      <w:suff w:val="space"/>
      <w:lvlText w:val="第%1章"/>
      <w:lvlJc w:val="center"/>
      <w:pPr>
        <w:ind w:left="0" w:firstLine="0"/>
      </w:pPr>
      <w:rPr>
        <w:b/>
        <w:i w:val="0"/>
        <w:caps w:val="0"/>
        <w:strike w:val="0"/>
        <w:dstrike w:val="0"/>
        <w:vanish w:val="0"/>
        <w:color w:val="auto"/>
        <w:sz w:val="40"/>
        <w:u w:val="none"/>
        <w:vertAlign w:val="baseline"/>
      </w:rPr>
    </w:lvl>
    <w:lvl w:ilvl="1" w:tentative="0">
      <w:start w:val="1"/>
      <w:numFmt w:val="decimal"/>
      <w:suff w:val="space"/>
      <w:lvlText w:val="%1.%2"/>
      <w:lvlJc w:val="left"/>
      <w:pPr>
        <w:ind w:left="0" w:firstLine="0"/>
      </w:pPr>
      <w:rPr>
        <w:rFonts w:ascii="Times New Roman" w:hAnsi="Times New Roman" w:cs="Times New Roman"/>
        <w:b/>
        <w:i w:val="0"/>
        <w:caps w:val="0"/>
        <w:strike w:val="0"/>
        <w:dstrike w:val="0"/>
        <w:vanish w:val="0"/>
        <w:color w:val="auto"/>
        <w:sz w:val="32"/>
        <w:u w:val="none"/>
        <w:vertAlign w:val="baseline"/>
      </w:rPr>
    </w:lvl>
    <w:lvl w:ilvl="2" w:tentative="0">
      <w:start w:val="1"/>
      <w:numFmt w:val="decimal"/>
      <w:pStyle w:val="4"/>
      <w:suff w:val="space"/>
      <w:lvlText w:val="%1.%2.%3"/>
      <w:lvlJc w:val="left"/>
      <w:pPr>
        <w:ind w:left="0" w:firstLine="0"/>
      </w:pPr>
      <w:rPr>
        <w:rFonts w:ascii="Times New Roman" w:hAnsi="Times New Roman" w:cs="Times New Roman"/>
        <w:b/>
        <w:i w:val="0"/>
        <w:caps w:val="0"/>
        <w:strike w:val="0"/>
        <w:dstrike w:val="0"/>
        <w:vanish w:val="0"/>
        <w:color w:val="auto"/>
        <w:sz w:val="30"/>
        <w:u w:val="none"/>
        <w:vertAlign w:val="baseline"/>
      </w:rPr>
    </w:lvl>
    <w:lvl w:ilvl="3" w:tentative="0">
      <w:start w:val="1"/>
      <w:numFmt w:val="decimal"/>
      <w:suff w:val="space"/>
      <w:lvlText w:val="%1.%2.%3.%4"/>
      <w:lvlJc w:val="left"/>
      <w:pPr>
        <w:ind w:left="0" w:firstLine="0"/>
      </w:pPr>
      <w:rPr>
        <w:rFonts w:ascii="Times New Roman" w:hAnsi="Times New Roman" w:cs="Times New Roman"/>
        <w:b/>
        <w:i w:val="0"/>
        <w:caps w:val="0"/>
        <w:strike w:val="0"/>
        <w:dstrike w:val="0"/>
        <w:vanish w:val="0"/>
        <w:color w:val="auto"/>
        <w:sz w:val="28"/>
        <w:u w:val="none"/>
        <w:vertAlign w:val="baseline"/>
      </w:rPr>
    </w:lvl>
    <w:lvl w:ilvl="4" w:tentative="0">
      <w:start w:val="1"/>
      <w:numFmt w:val="decimal"/>
      <w:suff w:val="space"/>
      <w:lvlText w:val="%1.%2.%3.%4.%5"/>
      <w:lvlJc w:val="left"/>
      <w:pPr>
        <w:ind w:left="0" w:firstLine="0"/>
      </w:pPr>
      <w:rPr>
        <w:rFonts w:ascii="Times New Roman" w:hAnsi="Times New Roman" w:cs="Times New Roman"/>
        <w:b/>
        <w:i w:val="0"/>
        <w:caps w:val="0"/>
        <w:strike w:val="0"/>
        <w:dstrike w:val="0"/>
        <w:vanish w:val="0"/>
        <w:color w:val="auto"/>
        <w:sz w:val="24"/>
        <w:u w:val="none"/>
        <w:vertAlign w:val="baseline"/>
      </w:rPr>
    </w:lvl>
    <w:lvl w:ilvl="5" w:tentative="0">
      <w:start w:val="1"/>
      <w:numFmt w:val="decimal"/>
      <w:suff w:val="space"/>
      <w:lvlText w:val="%1.%2.%3.%4.%5.%6"/>
      <w:lvlJc w:val="left"/>
      <w:pPr>
        <w:ind w:left="0" w:firstLine="0"/>
      </w:pPr>
      <w:rPr>
        <w:rFonts w:ascii="Times New Roman" w:hAnsi="Times New Roman" w:cs="Times New Roman"/>
        <w:b/>
        <w:i w:val="0"/>
        <w:caps w:val="0"/>
        <w:strike w:val="0"/>
        <w:dstrike w:val="0"/>
        <w:vanish w:val="0"/>
        <w:color w:val="auto"/>
        <w:sz w:val="24"/>
        <w:u w:val="none"/>
        <w:vertAlign w:val="baseline"/>
      </w:rPr>
    </w:lvl>
    <w:lvl w:ilvl="6" w:tentative="0">
      <w:start w:val="1"/>
      <w:numFmt w:val="decimal"/>
      <w:suff w:val="nothing"/>
      <w:lvlText w:val="（%7）"/>
      <w:lvlJc w:val="left"/>
      <w:pPr>
        <w:ind w:left="-96" w:firstLine="238"/>
      </w:pPr>
      <w:rPr>
        <w:b w:val="0"/>
        <w:i w:val="0"/>
        <w:caps w:val="0"/>
        <w:strike w:val="0"/>
        <w:dstrike w:val="0"/>
        <w:vanish w:val="0"/>
        <w:color w:val="auto"/>
        <w:sz w:val="24"/>
        <w:u w:val="none"/>
        <w:vertAlign w:val="baseline"/>
      </w:rPr>
    </w:lvl>
    <w:lvl w:ilvl="7" w:tentative="0">
      <w:start w:val="1"/>
      <w:numFmt w:val="decimal"/>
      <w:suff w:val="nothing"/>
      <w:lvlText w:val="%8）"/>
      <w:lvlJc w:val="left"/>
      <w:pPr>
        <w:ind w:left="0" w:firstLine="357"/>
      </w:pPr>
      <w:rPr>
        <w:b w:val="0"/>
        <w:i w:val="0"/>
        <w:caps w:val="0"/>
        <w:strike w:val="0"/>
        <w:dstrike w:val="0"/>
        <w:vanish w:val="0"/>
        <w:color w:val="auto"/>
        <w:sz w:val="24"/>
        <w:u w:val="none"/>
        <w:vertAlign w:val="baseline"/>
      </w:rPr>
    </w:lvl>
    <w:lvl w:ilvl="8" w:tentative="0">
      <w:start w:val="1"/>
      <w:numFmt w:val="decimalEnclosedCircle"/>
      <w:suff w:val="space"/>
      <w:lvlText w:val="%9"/>
      <w:lvlJc w:val="left"/>
      <w:pPr>
        <w:ind w:left="0" w:firstLine="357"/>
      </w:pPr>
      <w:rPr>
        <w:b w:val="0"/>
        <w:i w:val="0"/>
        <w:caps w:val="0"/>
        <w:strike w:val="0"/>
        <w:dstrike w:val="0"/>
        <w:vanish w:val="0"/>
        <w:color w:val="auto"/>
        <w:sz w:val="24"/>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B99"/>
    <w:rsid w:val="002B3212"/>
    <w:rsid w:val="003B2504"/>
    <w:rsid w:val="00531B99"/>
    <w:rsid w:val="0061556E"/>
    <w:rsid w:val="00670814"/>
    <w:rsid w:val="00772375"/>
    <w:rsid w:val="007F60E8"/>
    <w:rsid w:val="008015B3"/>
    <w:rsid w:val="00807E09"/>
    <w:rsid w:val="00C13743"/>
    <w:rsid w:val="040858D9"/>
    <w:rsid w:val="04651F8E"/>
    <w:rsid w:val="063F2CC6"/>
    <w:rsid w:val="071B7FF6"/>
    <w:rsid w:val="07656CAA"/>
    <w:rsid w:val="0A060686"/>
    <w:rsid w:val="0B8956FA"/>
    <w:rsid w:val="0D2F49BF"/>
    <w:rsid w:val="108228D4"/>
    <w:rsid w:val="11412CFE"/>
    <w:rsid w:val="1458498D"/>
    <w:rsid w:val="16192FAD"/>
    <w:rsid w:val="16F21A45"/>
    <w:rsid w:val="1B482642"/>
    <w:rsid w:val="1BBF4010"/>
    <w:rsid w:val="1C016BD2"/>
    <w:rsid w:val="1C49791F"/>
    <w:rsid w:val="1C955D52"/>
    <w:rsid w:val="20471144"/>
    <w:rsid w:val="238B5C66"/>
    <w:rsid w:val="24B40B0D"/>
    <w:rsid w:val="26EF7DAE"/>
    <w:rsid w:val="29933CC6"/>
    <w:rsid w:val="299C0107"/>
    <w:rsid w:val="2A421CE1"/>
    <w:rsid w:val="2F581965"/>
    <w:rsid w:val="334A0EA7"/>
    <w:rsid w:val="3516289B"/>
    <w:rsid w:val="36875C3A"/>
    <w:rsid w:val="37145902"/>
    <w:rsid w:val="39664777"/>
    <w:rsid w:val="3A572E62"/>
    <w:rsid w:val="3AF06C77"/>
    <w:rsid w:val="3DA95322"/>
    <w:rsid w:val="3F3601DB"/>
    <w:rsid w:val="405D180F"/>
    <w:rsid w:val="40EF2F62"/>
    <w:rsid w:val="4169239A"/>
    <w:rsid w:val="45F642E0"/>
    <w:rsid w:val="49252D44"/>
    <w:rsid w:val="4A6A5DA7"/>
    <w:rsid w:val="4F05148C"/>
    <w:rsid w:val="51680869"/>
    <w:rsid w:val="591D2A21"/>
    <w:rsid w:val="5B5E36F5"/>
    <w:rsid w:val="5C650FCC"/>
    <w:rsid w:val="5D904C2D"/>
    <w:rsid w:val="61F33B1A"/>
    <w:rsid w:val="625F3844"/>
    <w:rsid w:val="63D97EA2"/>
    <w:rsid w:val="64A7134E"/>
    <w:rsid w:val="69D34EF6"/>
    <w:rsid w:val="72235426"/>
    <w:rsid w:val="723D5AEE"/>
    <w:rsid w:val="73E076FB"/>
    <w:rsid w:val="757247EC"/>
    <w:rsid w:val="768927A4"/>
    <w:rsid w:val="78796A00"/>
    <w:rsid w:val="7B0F44AC"/>
    <w:rsid w:val="7BF200BB"/>
    <w:rsid w:val="7C0D5622"/>
    <w:rsid w:val="7E64359E"/>
    <w:rsid w:val="7EEA18D1"/>
    <w:rsid w:val="7F4A6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name="toc 1"/>
    <w:lsdException w:qFormat="1" w:uiPriority="39" w:name="toc 2"/>
    <w:lsdException w:qFormat="1" w:uiPriority="39"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9"/>
    <w:pPr>
      <w:keepNext/>
      <w:keepLines/>
      <w:spacing w:before="260" w:after="260" w:line="413" w:lineRule="auto"/>
      <w:outlineLvl w:val="1"/>
    </w:pPr>
    <w:rPr>
      <w:rFonts w:ascii="Arial" w:hAnsi="Arial" w:eastAsia="黑体"/>
      <w:b/>
      <w:sz w:val="32"/>
    </w:rPr>
  </w:style>
  <w:style w:type="paragraph" w:styleId="4">
    <w:name w:val="heading 3"/>
    <w:next w:val="5"/>
    <w:link w:val="16"/>
    <w:unhideWhenUsed/>
    <w:qFormat/>
    <w:uiPriority w:val="9"/>
    <w:pPr>
      <w:keepNext/>
      <w:widowControl w:val="0"/>
      <w:numPr>
        <w:ilvl w:val="2"/>
        <w:numId w:val="1"/>
      </w:numPr>
      <w:adjustRightInd w:val="0"/>
      <w:snapToGrid w:val="0"/>
      <w:spacing w:before="120" w:after="120" w:line="300" w:lineRule="auto"/>
      <w:outlineLvl w:val="2"/>
    </w:pPr>
    <w:rPr>
      <w:rFonts w:ascii="Times New Roman" w:hAnsi="Times New Roman" w:eastAsia="宋体" w:cs="Times New Roman"/>
      <w:b/>
      <w:bCs/>
      <w:snapToGrid w:val="0"/>
      <w:sz w:val="30"/>
      <w:szCs w:val="32"/>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5">
    <w:name w:val="正文样式"/>
    <w:unhideWhenUsed/>
    <w:qFormat/>
    <w:uiPriority w:val="0"/>
    <w:pPr>
      <w:widowControl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styleId="6">
    <w:name w:val="annotation text"/>
    <w:basedOn w:val="1"/>
    <w:unhideWhenUsed/>
    <w:qFormat/>
    <w:uiPriority w:val="99"/>
    <w:pPr>
      <w:jc w:val="left"/>
    </w:pPr>
  </w:style>
  <w:style w:type="paragraph" w:styleId="7">
    <w:name w:val="toc 3"/>
    <w:basedOn w:val="1"/>
    <w:next w:val="1"/>
    <w:semiHidden/>
    <w:unhideWhenUsed/>
    <w:qFormat/>
    <w:uiPriority w:val="39"/>
    <w:pPr>
      <w:ind w:left="840" w:leftChars="400"/>
    </w:pPr>
  </w:style>
  <w:style w:type="paragraph" w:styleId="8">
    <w:name w:val="Balloon Text"/>
    <w:basedOn w:val="1"/>
    <w:link w:val="19"/>
    <w:qFormat/>
    <w:uiPriority w:val="0"/>
    <w:rPr>
      <w:sz w:val="18"/>
      <w:szCs w:val="18"/>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semiHidden/>
    <w:unhideWhenUsed/>
    <w:qFormat/>
    <w:uiPriority w:val="39"/>
  </w:style>
  <w:style w:type="paragraph" w:styleId="12">
    <w:name w:val="toc 2"/>
    <w:basedOn w:val="1"/>
    <w:next w:val="1"/>
    <w:semiHidden/>
    <w:unhideWhenUsed/>
    <w:qFormat/>
    <w:uiPriority w:val="39"/>
    <w:pPr>
      <w:ind w:left="420" w:leftChars="200"/>
    </w:p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3 Char"/>
    <w:link w:val="4"/>
    <w:qFormat/>
    <w:uiPriority w:val="9"/>
    <w:rPr>
      <w:rFonts w:ascii="Times New Roman" w:hAnsi="Times New Roman" w:eastAsia="宋体" w:cs="Times New Roman"/>
      <w:b/>
      <w:bCs/>
      <w:snapToGrid w:val="0"/>
      <w:sz w:val="30"/>
      <w:szCs w:val="32"/>
      <w:lang w:val="en-US" w:eastAsia="zh-CN" w:bidi="ar-SA"/>
    </w:rPr>
  </w:style>
  <w:style w:type="paragraph" w:styleId="17">
    <w:name w:val="List Paragraph"/>
    <w:basedOn w:val="1"/>
    <w:qFormat/>
    <w:uiPriority w:val="34"/>
    <w:pPr>
      <w:ind w:firstLine="420" w:firstLineChars="200"/>
    </w:pPr>
  </w:style>
  <w:style w:type="character" w:customStyle="1" w:styleId="18">
    <w:name w:val="标题 2 Char"/>
    <w:link w:val="3"/>
    <w:qFormat/>
    <w:uiPriority w:val="0"/>
    <w:rPr>
      <w:rFonts w:ascii="Arial" w:hAnsi="Arial" w:eastAsia="黑体"/>
      <w:b/>
      <w:sz w:val="32"/>
    </w:rPr>
  </w:style>
  <w:style w:type="character" w:customStyle="1" w:styleId="19">
    <w:name w:val="批注框文本 Char"/>
    <w:basedOn w:val="15"/>
    <w:link w:val="8"/>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2025</Words>
  <Characters>11547</Characters>
  <Lines>96</Lines>
  <Paragraphs>27</Paragraphs>
  <TotalTime>1</TotalTime>
  <ScaleCrop>false</ScaleCrop>
  <LinksUpToDate>false</LinksUpToDate>
  <CharactersWithSpaces>13545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2021-04-01T12:55:00Z</dcterms:created>
  <dc:creator>Administrator</dc:creator>
  <cp:lastModifiedBy>灬耼祛</cp:lastModifiedBy>
  <cp:lastPrinted>2021-04-14T10:20:00Z</cp:lastPrinted>
  <dcterms:modified xsi:type="dcterms:W3CDTF">2021-09-13T06:51:35Z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DBCFB1E67FFC48B5A47D798BD0E6B9EF</vt:lpwstr>
  </property>
</Properties>
</file>