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eastAsia="方正小标宋_GBK"/>
          <w:sz w:val="44"/>
          <w:szCs w:val="44"/>
          <w:lang w:eastAsia="zh-CN"/>
        </w:rPr>
      </w:pPr>
      <w:bookmarkStart w:id="0" w:name="_GoBack"/>
      <w:r>
        <w:rPr>
          <w:rFonts w:hint="eastAsia" w:ascii="方正小标宋_GBK" w:eastAsia="方正小标宋_GBK"/>
          <w:sz w:val="44"/>
          <w:szCs w:val="44"/>
          <w:lang w:eastAsia="zh-CN"/>
        </w:rPr>
        <w:t>玉溪市江川区星云湖管理局2020年政府信息公开工作年度报告</w:t>
      </w:r>
    </w:p>
    <w:bookmarkEnd w:id="0"/>
    <w:p>
      <w:pPr>
        <w:widowControl w:val="0"/>
        <w:spacing w:line="400" w:lineRule="exact"/>
        <w:rPr>
          <w:rFonts w:eastAsia="方正仿宋_GBK"/>
          <w:sz w:val="32"/>
          <w:szCs w:val="32"/>
          <w:lang w:eastAsia="zh-CN"/>
        </w:rPr>
      </w:pP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一、总体情况</w:t>
      </w:r>
    </w:p>
    <w:p>
      <w:pPr>
        <w:widowControl w:val="0"/>
        <w:spacing w:line="590" w:lineRule="exact"/>
        <w:ind w:firstLine="640" w:firstLineChars="200"/>
        <w:rPr>
          <w:rFonts w:hint="eastAsia" w:ascii="仿宋_GB2312" w:eastAsia="仿宋_GB2312" w:cs="仿宋_GB2312"/>
          <w:sz w:val="31"/>
          <w:szCs w:val="31"/>
        </w:rPr>
      </w:pPr>
      <w:r>
        <w:rPr>
          <w:rFonts w:hint="eastAsia" w:eastAsia="方正仿宋_GBK"/>
          <w:sz w:val="32"/>
          <w:szCs w:val="32"/>
          <w:lang w:eastAsia="zh-CN"/>
        </w:rPr>
        <w:t>根据《中华人民共和国政府信息公开条例》(国务院令第711号，以下简称《条例》)和《国务院办公厅政府信息与政务公开办公室关于政府信息公开工作年度报告有关事项的通知》（国办公开办函〔2019〕60号）要求，现公布区星云湖管理局2020年度政府信息公开工作年度报告。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如对本报告有任何疑问，请与玉溪市江川区星云湖管理局联系（地址：大街街道星云路西段；邮编：</w:t>
      </w:r>
      <w:r>
        <w:rPr>
          <w:rFonts w:hint="eastAsia" w:eastAsia="方正仿宋_GBK"/>
          <w:sz w:val="32"/>
          <w:szCs w:val="32"/>
          <w:lang w:val="en-US" w:eastAsia="zh-CN"/>
        </w:rPr>
        <w:t>652600</w:t>
      </w:r>
      <w:r>
        <w:rPr>
          <w:rFonts w:hint="eastAsia" w:eastAsia="方正仿宋_GBK"/>
          <w:sz w:val="32"/>
          <w:szCs w:val="32"/>
          <w:lang w:eastAsia="zh-CN"/>
        </w:rPr>
        <w:t>；电话：</w:t>
      </w:r>
      <w:r>
        <w:rPr>
          <w:rFonts w:hint="eastAsia" w:eastAsia="方正仿宋_GBK"/>
          <w:sz w:val="32"/>
          <w:szCs w:val="32"/>
          <w:lang w:val="en-US" w:eastAsia="zh-CN"/>
        </w:rPr>
        <w:t>0877-8010505；</w:t>
      </w:r>
      <w:r>
        <w:rPr>
          <w:rFonts w:hint="eastAsia" w:ascii="仿宋_GB2312" w:eastAsia="仿宋_GB2312" w:cs="仿宋_GB2312"/>
          <w:sz w:val="31"/>
          <w:szCs w:val="31"/>
        </w:rPr>
        <w:t>电子邮件：</w:t>
      </w:r>
      <w:r>
        <w:fldChar w:fldCharType="begin"/>
      </w:r>
      <w:r>
        <w:instrText xml:space="preserve"> HYPERLINK "mailto:jcxyhglj@163.com。" </w:instrText>
      </w:r>
      <w:r>
        <w:fldChar w:fldCharType="separate"/>
      </w:r>
      <w:r>
        <w:rPr>
          <w:rStyle w:val="9"/>
          <w:rFonts w:hint="eastAsia" w:ascii="仿宋_GB2312" w:eastAsia="仿宋_GB2312" w:cs="仿宋_GB2312"/>
          <w:color w:val="0000FF"/>
          <w:sz w:val="31"/>
          <w:szCs w:val="31"/>
          <w:u w:val="single"/>
        </w:rPr>
        <w:t>jcxyhglj@163.com。</w:t>
      </w:r>
      <w:r>
        <w:fldChar w:fldCharType="end"/>
      </w:r>
      <w:r>
        <w:rPr>
          <w:rFonts w:hint="eastAsia" w:eastAsia="方正仿宋_GBK"/>
          <w:sz w:val="32"/>
          <w:szCs w:val="32"/>
          <w:lang w:eastAsia="zh-CN"/>
        </w:rPr>
        <w:t>）。</w:t>
      </w:r>
    </w:p>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6"/>
        <w:tblW w:w="5000" w:type="pct"/>
        <w:jc w:val="center"/>
        <w:tblLayout w:type="autofit"/>
        <w:tblCellMar>
          <w:top w:w="0" w:type="dxa"/>
          <w:left w:w="108" w:type="dxa"/>
          <w:bottom w:w="0" w:type="dxa"/>
          <w:right w:w="108" w:type="dxa"/>
        </w:tblCellMar>
      </w:tblPr>
      <w:tblGrid>
        <w:gridCol w:w="3465"/>
        <w:gridCol w:w="2087"/>
        <w:gridCol w:w="5"/>
        <w:gridCol w:w="1410"/>
        <w:gridCol w:w="2093"/>
      </w:tblGrid>
      <w:tr>
        <w:tblPrEx>
          <w:tblCellMar>
            <w:top w:w="0" w:type="dxa"/>
            <w:left w:w="108" w:type="dxa"/>
            <w:bottom w:w="0" w:type="dxa"/>
            <w:right w:w="108" w:type="dxa"/>
          </w:tblCellMar>
        </w:tblPrEx>
        <w:trPr>
          <w:trHeight w:val="49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CellMar>
            <w:top w:w="0" w:type="dxa"/>
            <w:left w:w="108" w:type="dxa"/>
            <w:bottom w:w="0" w:type="dxa"/>
            <w:right w:w="108" w:type="dxa"/>
          </w:tblCellMar>
        </w:tblPrEx>
        <w:trPr>
          <w:trHeight w:val="882"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CellMar>
            <w:top w:w="0" w:type="dxa"/>
            <w:left w:w="108" w:type="dxa"/>
            <w:bottom w:w="0" w:type="dxa"/>
            <w:right w:w="108" w:type="dxa"/>
          </w:tblCellMar>
        </w:tblPrEx>
        <w:trPr>
          <w:trHeight w:val="523"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ascii="宋体" w:hAnsi="宋体" w:cs="宋体"/>
                <w:color w:val="000000"/>
                <w:kern w:val="0"/>
                <w:sz w:val="20"/>
              </w:rPr>
              <w:t xml:space="preserve">  </w:t>
            </w:r>
            <w:r>
              <w:rPr>
                <w:rFonts w:hint="eastAsia" w:ascii="宋体" w:hAnsi="宋体" w:cs="宋体"/>
                <w:color w:val="000000"/>
                <w:kern w:val="0"/>
                <w:sz w:val="20"/>
                <w:lang w:val="en-US" w:eastAsia="zh-CN"/>
              </w:rPr>
              <w:t>0</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hint="eastAsia" w:ascii="宋体" w:eastAsia="宋体"/>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71"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1152"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ascii="宋体" w:hAnsi="宋体" w:cs="宋体"/>
                <w:color w:val="000000"/>
                <w:kern w:val="0"/>
                <w:sz w:val="20"/>
              </w:rPr>
              <w:t xml:space="preserve">  </w:t>
            </w:r>
            <w:r>
              <w:rPr>
                <w:rFonts w:hint="eastAsia" w:ascii="宋体" w:hAnsi="宋体" w:cs="宋体"/>
                <w:color w:val="000000"/>
                <w:kern w:val="0"/>
                <w:sz w:val="20"/>
                <w:lang w:val="en-US" w:eastAsia="zh-CN"/>
              </w:rPr>
              <w:t>0</w:t>
            </w:r>
          </w:p>
        </w:tc>
        <w:tc>
          <w:tcPr>
            <w:tcW w:w="781" w:type="pct"/>
            <w:gridSpan w:val="2"/>
            <w:tcBorders>
              <w:top w:val="nil"/>
              <w:left w:val="nil"/>
              <w:bottom w:val="single" w:color="auto" w:sz="4" w:space="0"/>
              <w:right w:val="single" w:color="auto" w:sz="4" w:space="0"/>
            </w:tcBorders>
            <w:noWrap w:val="0"/>
            <w:vAlign w:val="center"/>
          </w:tcPr>
          <w:p>
            <w:pPr>
              <w:spacing w:before="100" w:beforeAutospacing="1" w:after="100" w:afterAutospacing="1"/>
              <w:jc w:val="left"/>
              <w:rPr>
                <w:rFonts w:hint="eastAsia" w:ascii="宋体" w:eastAsia="宋体"/>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8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CellMar>
            <w:top w:w="0" w:type="dxa"/>
            <w:left w:w="108" w:type="dxa"/>
            <w:bottom w:w="0" w:type="dxa"/>
            <w:right w:w="108" w:type="dxa"/>
          </w:tblCellMar>
        </w:tblPrEx>
        <w:trPr>
          <w:trHeight w:val="634"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trHeight w:val="528"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55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0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CellMar>
            <w:top w:w="0" w:type="dxa"/>
            <w:left w:w="108" w:type="dxa"/>
            <w:bottom w:w="0" w:type="dxa"/>
            <w:right w:w="108" w:type="dxa"/>
          </w:tblCellMar>
        </w:tblPrEx>
        <w:trPr>
          <w:trHeight w:val="634"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trHeight w:val="43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1155" w:type="pct"/>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09"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7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CellMar>
            <w:top w:w="0" w:type="dxa"/>
            <w:left w:w="108" w:type="dxa"/>
            <w:bottom w:w="0" w:type="dxa"/>
            <w:right w:w="108" w:type="dxa"/>
          </w:tblCellMar>
        </w:tblPrEx>
        <w:trPr>
          <w:trHeight w:val="27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CellMar>
            <w:top w:w="0" w:type="dxa"/>
            <w:left w:w="108" w:type="dxa"/>
            <w:bottom w:w="0" w:type="dxa"/>
            <w:right w:w="108" w:type="dxa"/>
          </w:tblCellMar>
        </w:tblPrEx>
        <w:trPr>
          <w:trHeight w:val="551"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r>
      <w:tr>
        <w:tblPrEx>
          <w:tblCellMar>
            <w:top w:w="0" w:type="dxa"/>
            <w:left w:w="108" w:type="dxa"/>
            <w:bottom w:w="0" w:type="dxa"/>
            <w:right w:w="108" w:type="dxa"/>
          </w:tblCellMar>
        </w:tblPrEx>
        <w:trPr>
          <w:trHeight w:val="47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CellMar>
            <w:top w:w="0" w:type="dxa"/>
            <w:left w:w="108" w:type="dxa"/>
            <w:bottom w:w="0" w:type="dxa"/>
            <w:right w:w="108" w:type="dxa"/>
          </w:tblCellMar>
        </w:tblPrEx>
        <w:trPr>
          <w:trHeight w:val="585"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CellMar>
            <w:top w:w="0" w:type="dxa"/>
            <w:left w:w="108" w:type="dxa"/>
            <w:bottom w:w="0" w:type="dxa"/>
            <w:right w:w="108" w:type="dxa"/>
          </w:tblCellMar>
        </w:tblPrEx>
        <w:trPr>
          <w:trHeight w:val="539"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932" w:type="pct"/>
            <w:gridSpan w:val="2"/>
            <w:tcBorders>
              <w:top w:val="single" w:color="auto" w:sz="4" w:space="0"/>
              <w:left w:val="nil"/>
              <w:bottom w:val="single" w:color="auto" w:sz="4" w:space="0"/>
              <w:right w:val="single" w:color="000000" w:sz="4" w:space="0"/>
            </w:tcBorders>
            <w:noWrap/>
            <w:vAlign w:val="center"/>
          </w:tcPr>
          <w:p>
            <w:pPr>
              <w:jc w:val="left"/>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5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ascii="宋体"/>
                <w:color w:val="000000"/>
                <w:kern w:val="0"/>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ascii="宋体"/>
                <w:color w:val="000000"/>
                <w:kern w:val="0"/>
                <w:sz w:val="20"/>
              </w:rPr>
              <w:t> </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6" w:type="dxa"/>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五、存在的主要问题及改进情况</w:t>
      </w:r>
    </w:p>
    <w:p>
      <w:pPr>
        <w:widowControl w:val="0"/>
        <w:spacing w:line="590" w:lineRule="exact"/>
        <w:ind w:firstLine="640" w:firstLineChars="200"/>
        <w:rPr>
          <w:rFonts w:hint="eastAsia" w:eastAsia="方正仿宋_GBK"/>
          <w:sz w:val="32"/>
          <w:szCs w:val="32"/>
          <w:lang w:eastAsia="zh-CN"/>
        </w:rPr>
      </w:pPr>
      <w:r>
        <w:rPr>
          <w:rFonts w:hint="eastAsia" w:eastAsia="方正仿宋_GBK"/>
          <w:sz w:val="32"/>
          <w:szCs w:val="32"/>
          <w:lang w:eastAsia="zh-CN"/>
        </w:rPr>
        <w:t>（一）存在问题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一是对信息公开工作还不够重视，导致信息公开不及时。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二是信息公开内容不够全面，不够深入，离群众的要求有一定的差距。</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三是信息公开工作业务水平有待进一步提升。</w:t>
      </w:r>
    </w:p>
    <w:p>
      <w:pPr>
        <w:widowControl w:val="0"/>
        <w:spacing w:line="590" w:lineRule="exact"/>
        <w:rPr>
          <w:rFonts w:hint="eastAsia" w:eastAsia="方正仿宋_GBK"/>
          <w:sz w:val="32"/>
          <w:szCs w:val="32"/>
          <w:lang w:eastAsia="zh-CN"/>
        </w:rPr>
      </w:pPr>
      <w:r>
        <w:rPr>
          <w:rFonts w:hint="eastAsia" w:eastAsia="方正仿宋_GBK"/>
          <w:sz w:val="32"/>
          <w:szCs w:val="32"/>
          <w:lang w:eastAsia="zh-CN"/>
        </w:rPr>
        <w:t>　　（二）整改措施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一是切实提高认识，加强《政府信息公开条例》的学习宣传。始终将政务公开作为本局的工作重要内容，认真抓好落实，进一步提高干部职工的思想认识，不断增强做好政务公开工作的责任感和使命感。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二是丰富公开内容。按照“以公开为原则，不公开为例外”的总体要求，进一步做好公开和免予公开两类信息的界定。按照《政府信息公开条例》等法规、规章、制度的规定，及时公开政务信息，公开内容做到真实、具体、全面。并在工作质量、态度、时效等方面进一步作出承诺，不断增强工作透明度。加强对公众关注度高的信息的梳理，充分征求公众意见，推动科学决策、民主决策。</w:t>
      </w:r>
    </w:p>
    <w:p>
      <w:pPr>
        <w:widowControl w:val="0"/>
        <w:numPr>
          <w:ilvl w:val="0"/>
          <w:numId w:val="0"/>
        </w:numPr>
        <w:spacing w:line="590" w:lineRule="exact"/>
        <w:ind w:firstLine="640" w:firstLineChars="200"/>
        <w:rPr>
          <w:rFonts w:hint="eastAsia" w:eastAsia="方正仿宋_GBK"/>
          <w:sz w:val="32"/>
          <w:szCs w:val="32"/>
          <w:lang w:eastAsia="zh-CN"/>
        </w:rPr>
      </w:pPr>
      <w:r>
        <w:rPr>
          <w:rFonts w:hint="eastAsia" w:eastAsia="方正仿宋_GBK"/>
          <w:sz w:val="32"/>
          <w:szCs w:val="32"/>
          <w:lang w:eastAsia="zh-CN"/>
        </w:rPr>
        <w:t>三是进一步完善信息公开制度建设，建立健全信息公开工作长效机制，把政务信息公开工作作为长期的动态工作落到实处，确保公开信息的及时性、准确性和有效性，为深化政务信息公开提供强有力的组织保证。</w:t>
      </w:r>
    </w:p>
    <w:p>
      <w:pPr>
        <w:widowControl w:val="0"/>
        <w:numPr>
          <w:ilvl w:val="0"/>
          <w:numId w:val="0"/>
        </w:numPr>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六、其他需要报告的事项</w:t>
      </w:r>
    </w:p>
    <w:p>
      <w:pPr>
        <w:widowControl w:val="0"/>
        <w:spacing w:line="590" w:lineRule="exact"/>
        <w:ind w:firstLine="640" w:firstLineChars="200"/>
        <w:rPr>
          <w:rFonts w:hint="eastAsia" w:eastAsia="方正仿宋_GBK"/>
          <w:sz w:val="32"/>
          <w:szCs w:val="32"/>
          <w:lang w:eastAsia="zh-CN"/>
        </w:rPr>
      </w:pPr>
      <w:r>
        <w:rPr>
          <w:rFonts w:hint="eastAsia" w:eastAsia="方正仿宋_GBK"/>
          <w:sz w:val="32"/>
          <w:szCs w:val="32"/>
          <w:lang w:val="en-US" w:eastAsia="zh-CN"/>
        </w:rPr>
        <w:t>2020年我局无其它需要报告事项。</w:t>
      </w:r>
    </w:p>
    <w:p>
      <w:pPr>
        <w:widowControl w:val="0"/>
        <w:spacing w:line="590" w:lineRule="exact"/>
        <w:rPr>
          <w:rFonts w:hint="eastAsia" w:eastAsia="方正仿宋_GBK"/>
          <w:sz w:val="32"/>
          <w:szCs w:val="32"/>
          <w:lang w:eastAsia="zh-CN"/>
        </w:rPr>
      </w:pPr>
    </w:p>
    <w:p/>
    <w:sectPr>
      <w:pgSz w:w="11906" w:h="16838"/>
      <w:pgMar w:top="2098" w:right="1474" w:bottom="1304" w:left="1588" w:header="1361" w:footer="119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F50D9"/>
    <w:rsid w:val="18EB3910"/>
    <w:rsid w:val="213F50D9"/>
    <w:rsid w:val="247113B8"/>
    <w:rsid w:val="420E4320"/>
    <w:rsid w:val="4FED6CE6"/>
    <w:rsid w:val="55E50E4A"/>
    <w:rsid w:val="7638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2021-01-20T09:53:00Z</dcterms:created>
  <dc:creator>江川区政府办</dc:creator>
  <cp:lastModifiedBy>江川星云湖管理局</cp:lastModifiedBy>
  <dcterms:modified xsi:type="dcterms:W3CDTF">2021-01-26T03:05:33Z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