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玉溪市江川区城市管理局（本级）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年部门预算公开</w:t>
      </w:r>
    </w:p>
    <w:p>
      <w:pPr>
        <w:pStyle w:val="4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第一部分 </w:t>
      </w:r>
      <w:r>
        <w:rPr>
          <w:rFonts w:hint="eastAsia" w:ascii="黑体" w:hAnsi="黑体" w:eastAsia="黑体"/>
          <w:sz w:val="32"/>
          <w:szCs w:val="32"/>
          <w:lang w:eastAsia="zh-CN"/>
        </w:rPr>
        <w:t>玉溪市江川区城市管理局（本级）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2022年部门预</w:t>
      </w:r>
      <w:r>
        <w:rPr>
          <w:rFonts w:hint="eastAsia" w:ascii="黑体" w:hAnsi="黑体" w:eastAsia="黑体"/>
          <w:sz w:val="32"/>
          <w:szCs w:val="32"/>
        </w:rPr>
        <w:t>算编制说明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一、基本职能及主要工作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二、预算单位基本情况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三、预算单位收入情况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预算单位支出情况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对下专项转移支付情况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政府采购预算情况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七、部门“三公”经费增减变化情况及原因说明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八、重点项目预算绩效目标情况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九、其他公开信息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lang w:eastAsia="zh-CN"/>
        </w:rPr>
        <w:t>玉溪市江川区城市管理局（本级）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sz w:val="32"/>
          <w:szCs w:val="32"/>
        </w:rPr>
        <w:t>年部门预算表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财务收支预算总表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二、部门收入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三、部门支出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四、财政拨款收支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预算总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五、一般公共预算支出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（按功能科目分类）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六、一般公共预算“三公”经费支出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（人员类、运转类公用经费项目）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项目支出预算表（其他运转类、特定目标类项目）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次</w:t>
      </w:r>
      <w:r>
        <w:rPr>
          <w:rFonts w:hint="eastAsia" w:ascii="Times New Roman" w:hAnsi="Times New Roman" w:eastAsia="仿宋_GB2312"/>
          <w:sz w:val="32"/>
          <w:szCs w:val="32"/>
        </w:rPr>
        <w:t>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、项目支出绩效目标表（另文下达）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、政府性基金预算支出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、部门政府采购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十三、部门政府购买服务预算表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区对下转移支付预算表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对下转移支付绩效目标表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十六、新增资产配置表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</w:rPr>
      </w:pPr>
    </w:p>
    <w:p>
      <w:pPr>
        <w:widowControl/>
        <w:ind w:firstLine="880" w:firstLineChars="20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第一部分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玉溪市江川区城市管理局（本级）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kern w:val="0"/>
          <w:sz w:val="44"/>
          <w:szCs w:val="44"/>
        </w:rPr>
        <w:t>年部门预算编制说明</w:t>
      </w:r>
    </w:p>
    <w:p>
      <w:pPr>
        <w:widowControl/>
        <w:ind w:firstLine="720" w:firstLineChars="20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一、基本职能及主要工作</w:t>
      </w:r>
    </w:p>
    <w:p>
      <w:pPr>
        <w:widowControl/>
        <w:ind w:firstLine="640" w:firstLineChars="200"/>
        <w:jc w:val="left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（一）部门主要职责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贯彻执行有关城市管理方面的方针、政策和法律、法规、规章。贯彻执行市容景观、环境卫生、市政设施、城市绿化等行业标准和规范。负责编制辖区城市管理发展战略、中长期发展规划和年度计划，并组织实施。拟订辖区城市管理的规章制度、具体措施，并组织监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2.组织城市管理的科学研究，负责城市管理方面重大科技项目攻关、科技成果推广和新技术引进工作。积极探索和推进城市管理公共服务的市场化、社会化、专业化和产业化发展。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3.承担辖区市容景观、市政设施、环境卫生、园林绿化方面的行政审批职责。承担辖区市容环卫设施、市政设施、城市绿化设施综合维护管理职责。承担辖区环境卫生、市政公用、城市绿化方面的管理工作。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与市政公用设施建设项目可行性研究报告的审查和工程竣工验收。承担辖区城市基础设施建成后的日常管养和维修职责。承担辖区城市道路路面、人行道、公共场所、路灯、公共照明及其附属设施的管养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指导和监督辖区城市环境卫生作业工作。参与市容环卫设施建设项目、城市新建及改（扩）建项目中市容环境配套设施方案的审核和监督。指导和监督管理城市生活垃圾、建筑垃圾处置工作。依据法规和相关规定负责城市管理有关行政性费用的征收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6.组织实施辖区绿地系统规划方案。指导和监督管理辖区风景名胜区和各级各类公园。指导和监督辖区古树名木保护工作。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7.负责辖区道路、公共停车场上机动车、非机动车停车位的设置和监督管理。承担辖区公共停车位的监督管理。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8.负责辖区户外广告设置、门头店招设置的监督管理。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9.负责拟订全区网格化精细化数字化城市管理方案，并组织实施、管理协调和监督检查。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10.依据国家有关法律、法规和规章，在依法授权的范围内开展城市管理工作。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11.完成区委、区政府交办的其他任务。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（二）机构设置情况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玉溪市江川区城市管理局为玉溪市江川区人民政府工作部门，正科级，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内设机构有三个：办公室、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政策法规信访股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市政公用事业管理股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。有</w:t>
      </w:r>
      <w:r>
        <w:rPr>
          <w:rFonts w:hint="eastAsia" w:ascii="仿宋_GB2312" w:hAnsi="仿宋_GB2312" w:eastAsia="仿宋_GB2312" w:cs="仿宋_GB2312"/>
          <w:sz w:val="32"/>
          <w:szCs w:val="32"/>
        </w:rPr>
        <w:t>下属三个事业单位：玉溪市江川区城市管理监察大队、玉溪市江川区环境卫生管理站、玉溪市江川区园林绿化站。玉溪市江川区城市管理局行政编制 8 名，下属三个事业单位人员编制84名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</w:rPr>
        <w:t>三</w:t>
      </w:r>
      <w:r>
        <w:rPr>
          <w:rFonts w:ascii="楷体_GB2312" w:eastAsia="楷体_GB2312"/>
          <w:kern w:val="0"/>
          <w:sz w:val="32"/>
          <w:szCs w:val="32"/>
        </w:rPr>
        <w:t>）重点工作概述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市容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市貌综合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整治。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集中开展市容环境综合整治，查处占道经营；督促改正商业噪音、油烟污染；清理小广告；拆除大型广告牌，清理违规门柱广告；整治非机动车乱停乱放行为；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发放告知书“门前五包”责任书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引导城区流动商贩入驻经营；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查处散体物料运输“抛、洒、滴、漏”行为；劝导市民不文明养犬行为，收容流浪犬只。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违法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建筑治理。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巡查发现、告知停工、告知自然资源部门查处违法建设；与自然资源局、住建局、大街街道开展联合执法拆除违规建筑。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市政基础设施建设。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施划交通标线与非机动车位；修复破损道路；对建成区内的144个灯箱、电箱、控制柜等箱体进行彩绘；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处理车辆撞毁路灯杆、隔离栏事故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；拆除路灯、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检修城区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路灯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保障城区路灯安装率100.00%，亮灯率95.00%。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pacing w:val="0"/>
          <w:sz w:val="32"/>
          <w:szCs w:val="32"/>
        </w:rPr>
        <w:t>城市环卫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pacing w:val="0"/>
          <w:sz w:val="32"/>
          <w:szCs w:val="32"/>
          <w:lang w:eastAsia="zh-CN"/>
        </w:rPr>
        <w:t>清洁整治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pacing w:val="0"/>
          <w:sz w:val="32"/>
          <w:szCs w:val="32"/>
          <w:lang w:eastAsia="zh-CN"/>
        </w:rPr>
        <w:t>做好城市环境卫生保洁工作；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城市公厕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全部均按照六无、六净的标准执行；转运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垃圾往红塔区垃圾焚烧发电厂进行处理；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投放垃圾分类亭和分类垃圾桶；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引进移动式渗滤液处理设备，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投放3辆餐厨垃圾收集车和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餐厨垃圾专用收集桶，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收运处置餐厨垃圾。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城市园林绿化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补植补种园林植物、灌木球、乔木等；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修剪乔木；开展病虫害防治；施撒复合肥、尿素等肥料；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6.推进智慧城管工作。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完成对讲业务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数字化城市管理系统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搭建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；完成案件上报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立案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并结案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；数字化城市管理系统使用逐步迈入正轨。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全力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疫情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防控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加强疫情防控宣传，劝导疏散街面、公园、广场聚集人群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对小区垃圾桶、垃圾箱、街面果皮箱等垃圾收集设施及时消毒和清运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开展网格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道路、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小区疫情防控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消毒清洁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8.支持地摊经济发展。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为助力疫情后复工复产，在渔文化广场、古滇国城及乾景商业中心3个地点设置临时占道经营区；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地摊经济规定的时间、地点、经营范围和要求经营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取缔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渔文化广场“食品加工”摊位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9.开展移风易俗工作。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在春节和中元节期间，共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派出执法人员在重点路段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每天进行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监督和劝导献车饭和焚香行为，发放宣传单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二、预算单位基本情况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我部门编制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年部门预算单位共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个。其中：财政全额供给单位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个；差额供给单位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个；定额补助单位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个；自收自支单位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个。财政全额供给单位中行政单位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个；参公单位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个。截止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年12月统计，部门基本情况如下：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在职人员编制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人，其中：行政编制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工勤人员编制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事业编制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人。在职实有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人，其中：财政全额保障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人，财政差额补助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人，财政专户资金、单位资金保障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离退休人员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人，其中： 离休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人，退休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车辆编制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辆，实有车辆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三、预算单位收入情况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（一）部门财务收入情况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年部门财务总收入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227.29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227.29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万元，政府性基金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万元，国有资本经营收益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财政专户管理资金收入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事业收入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万元，事业单位经营收入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万元，上级补助收入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万元，附属单位上缴收入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与上年对比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总收入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17.27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，增加了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8.22%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，主要原因分析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人员正常晋级晋档，相应人员经费增加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导致年初预算比2021年增加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（二）财政拨款收入情况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kern w:val="0"/>
          <w:sz w:val="32"/>
          <w:szCs w:val="32"/>
        </w:rPr>
        <w:t>年部门财政拨款收入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227.29</w:t>
      </w:r>
      <w:r>
        <w:rPr>
          <w:rFonts w:eastAsia="仿宋_GB2312"/>
          <w:kern w:val="0"/>
          <w:sz w:val="32"/>
          <w:szCs w:val="32"/>
        </w:rPr>
        <w:t>万元，其中:本年收入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227.29</w:t>
      </w:r>
      <w:r>
        <w:rPr>
          <w:rFonts w:eastAsia="仿宋_GB2312"/>
          <w:kern w:val="0"/>
          <w:sz w:val="32"/>
          <w:szCs w:val="32"/>
        </w:rPr>
        <w:t>万元，上年结转</w:t>
      </w:r>
      <w:r>
        <w:rPr>
          <w:rFonts w:hint="eastAsia" w:eastAsia="仿宋_GB2312"/>
          <w:kern w:val="0"/>
          <w:sz w:val="32"/>
          <w:szCs w:val="32"/>
        </w:rPr>
        <w:t>收入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eastAsia="仿宋_GB2312"/>
          <w:kern w:val="0"/>
          <w:sz w:val="32"/>
          <w:szCs w:val="32"/>
        </w:rPr>
        <w:t>万元。本年收入中，一般公共预算财政拨款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227.29</w:t>
      </w:r>
      <w:r>
        <w:rPr>
          <w:rFonts w:eastAsia="仿宋_GB2312"/>
          <w:kern w:val="0"/>
          <w:sz w:val="32"/>
          <w:szCs w:val="32"/>
        </w:rPr>
        <w:t>万元，政府性基金</w:t>
      </w:r>
      <w:r>
        <w:rPr>
          <w:rFonts w:hint="eastAsia" w:eastAsia="仿宋_GB2312"/>
          <w:kern w:val="0"/>
          <w:sz w:val="32"/>
          <w:szCs w:val="32"/>
        </w:rPr>
        <w:t>预算</w:t>
      </w:r>
      <w:r>
        <w:rPr>
          <w:rFonts w:eastAsia="仿宋_GB2312"/>
          <w:kern w:val="0"/>
          <w:sz w:val="32"/>
          <w:szCs w:val="32"/>
        </w:rPr>
        <w:t>财政拨款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eastAsia="仿宋_GB2312"/>
          <w:kern w:val="0"/>
          <w:sz w:val="32"/>
          <w:szCs w:val="32"/>
        </w:rPr>
        <w:t>万元，国有资本经营</w:t>
      </w:r>
      <w:r>
        <w:rPr>
          <w:rFonts w:hint="eastAsia" w:eastAsia="仿宋_GB2312"/>
          <w:kern w:val="0"/>
          <w:sz w:val="32"/>
          <w:szCs w:val="32"/>
        </w:rPr>
        <w:t>收益</w:t>
      </w:r>
      <w:r>
        <w:rPr>
          <w:rFonts w:eastAsia="仿宋_GB2312"/>
          <w:kern w:val="0"/>
          <w:sz w:val="32"/>
          <w:szCs w:val="32"/>
        </w:rPr>
        <w:t>财政拨款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eastAsia="仿宋_GB2312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与上年对比</w:t>
      </w:r>
      <w:r>
        <w:rPr>
          <w:rFonts w:eastAsia="仿宋_GB2312"/>
          <w:kern w:val="0"/>
          <w:sz w:val="32"/>
          <w:szCs w:val="32"/>
        </w:rPr>
        <w:t>财政拨款收入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17.27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，增加了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8.22%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，主要原因分析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正常晋级晋档，相应人员经费增加，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导致年初预算比2021年增加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预算单位支出情况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年部门预算总支出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227.29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万元。财政拨款安排支出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227.29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112.29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万元，与上年对比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，主要原因分析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正常晋级晋档，相应人员经费增加，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导致年初预算比2021年增加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115.00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万元，与上年对比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增加了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5.00万元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主要原因分析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2022年项目预算安排增加，导致项目支出增加。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财政拨款安排支出按功能科目分类情况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.“2080505.机关事业单位基本养老保险缴费支出”支出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万元，用于缴纳单位负担基本养老保险。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.“210110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单位医疗”支出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万元，主要用于职工基本医疗保险。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、“2101103.公务员医疗补助”支出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万元，主要用于缴纳单位负担的公务员医疗补助。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4.“2120101. 行政运行”支出546.69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在职人员工资、保险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及日常办公正常运转等支出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4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5.“2120199. 其他城乡社区管理事务支出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支出115.00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支付城区路灯日常电费、路灯修理及维护费用。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.“2210201.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住房公积金”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万元，主要用于职工住房公积补助。</w:t>
      </w:r>
    </w:p>
    <w:p>
      <w:pPr>
        <w:pStyle w:val="8"/>
        <w:keepNext w:val="0"/>
        <w:keepLines w:val="0"/>
        <w:pageBreakBefore w:val="0"/>
        <w:tabs>
          <w:tab w:val="left" w:pos="5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财政拨款安排支出按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经济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科目分类情况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OLE_LINK1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1.301.工资福利支出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101.70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万元，其中：30101.基本工资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26.05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.津贴补贴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万元，30103.奖金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万元，30108.机关事业单位基本养老保险缴费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万元，30110.职工基本医疗保险缴费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万元，30111.公务员医疗补助缴费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万元，30112.其他社会保障缴费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万元，30113.住房公积金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2.302.商品和服务支出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125.59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万元，其中：30201.办公费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30205.水费0.20万元、30206.电费100.20万元、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30207.邮电费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万元、30111.差旅费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30213.维修（护）费15.00万元、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30215.会议费0.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万元、30216.培训费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万元、30217.公务接待费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30228.工会经费0.48万元、30229.福利费0.60万元、30239. 其他交通费用5.67万元。</w:t>
      </w:r>
    </w:p>
    <w:bookmarkEnd w:id="0"/>
    <w:p>
      <w:pPr>
        <w:pStyle w:val="4"/>
        <w:rPr>
          <w:rFonts w:hint="eastAsia"/>
        </w:rPr>
      </w:pPr>
    </w:p>
    <w:p>
      <w:pPr>
        <w:widowControl/>
        <w:numPr>
          <w:ilvl w:val="0"/>
          <w:numId w:val="2"/>
        </w:numPr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区</w:t>
      </w:r>
      <w:r>
        <w:rPr>
          <w:rFonts w:ascii="黑体" w:hAnsi="黑体" w:eastAsia="黑体"/>
          <w:kern w:val="0"/>
          <w:sz w:val="32"/>
          <w:szCs w:val="32"/>
        </w:rPr>
        <w:t>对下</w:t>
      </w:r>
      <w:r>
        <w:rPr>
          <w:rFonts w:hint="eastAsia" w:ascii="黑体" w:hAnsi="黑体" w:eastAsia="黑体"/>
          <w:kern w:val="0"/>
          <w:sz w:val="32"/>
          <w:szCs w:val="32"/>
        </w:rPr>
        <w:t>专</w:t>
      </w:r>
      <w:r>
        <w:rPr>
          <w:rFonts w:ascii="黑体" w:hAnsi="黑体" w:eastAsia="黑体"/>
          <w:kern w:val="0"/>
          <w:sz w:val="32"/>
          <w:szCs w:val="32"/>
        </w:rPr>
        <w:t>项转移支付情况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我部门为对下转移支付接收单位，无</w:t>
      </w:r>
      <w:r>
        <w:rPr>
          <w:rFonts w:ascii="楷体_GB2312" w:eastAsia="楷体_GB2312"/>
          <w:kern w:val="0"/>
          <w:sz w:val="32"/>
          <w:szCs w:val="32"/>
        </w:rPr>
        <w:t>与中央配套事项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，无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按既定政策标准测算补助事项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，无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经济社会事业发展事项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六、政府采购预算情况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2"/>
          <w:szCs w:val="32"/>
          <w:lang w:eastAsia="zh-CN"/>
        </w:rPr>
        <w:t>两</w:t>
      </w:r>
      <w:r>
        <w:rPr>
          <w:rFonts w:eastAsia="仿宋_GB2312"/>
          <w:kern w:val="0"/>
          <w:sz w:val="32"/>
          <w:szCs w:val="32"/>
        </w:rPr>
        <w:t>个，</w:t>
      </w:r>
      <w:r>
        <w:rPr>
          <w:rFonts w:hint="eastAsia" w:eastAsia="仿宋_GB2312"/>
          <w:kern w:val="0"/>
          <w:sz w:val="32"/>
          <w:szCs w:val="32"/>
        </w:rPr>
        <w:t>政府</w:t>
      </w:r>
      <w:r>
        <w:rPr>
          <w:rFonts w:eastAsia="仿宋_GB2312"/>
          <w:kern w:val="0"/>
          <w:sz w:val="32"/>
          <w:szCs w:val="32"/>
        </w:rPr>
        <w:t>采购预算</w:t>
      </w:r>
      <w:r>
        <w:rPr>
          <w:rFonts w:hint="eastAsia" w:eastAsia="仿宋_GB2312"/>
          <w:kern w:val="0"/>
          <w:sz w:val="32"/>
          <w:szCs w:val="32"/>
        </w:rPr>
        <w:t>总额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，其中：政府采购货物预算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1.24</w:t>
      </w:r>
      <w:r>
        <w:rPr>
          <w:rFonts w:eastAsia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、政府采购服务预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、政府采购工程预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七、部门“三公”经费增减变化情况及原因说明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玉溪市江川区城市管理局（本级）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年一般公共预算财政拨款“三公”经费预算合计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%，具体变动情况如下</w:t>
      </w:r>
      <w:r>
        <w:rPr>
          <w:rFonts w:hint="eastAsia" w:eastAsia="仿宋_GB2312"/>
          <w:kern w:val="0"/>
          <w:sz w:val="32"/>
          <w:szCs w:val="32"/>
        </w:rPr>
        <w:t>：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玉溪市江川区城市管理局（本级）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年因公出国（境）费预算为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%，共计安排因公出国（境）团组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个，因公出国（境）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。上年无支出预算，本年支出预算为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0.00万元，与上年相比持平。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玉溪市江川区城市管理局（本级）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年公务接待费预算为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国内公务接待批次为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次，共计接待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变化原因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：本着厉行节约的原则，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严格控制公务接待范围和用餐标准，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减少对公务接待的开支。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玉溪市江川区城市管理局（本级）2021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年公务用车购置及运行维护费为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%。其中：公务用车购置费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%；公务用车运行维护费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%。共计购置公务用车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辆，年末公务用车保有量为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辆。较上年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相比没有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变化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八、重点项目预算绩效目标情况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9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1.江川城区路灯电费专项资金项目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9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项目年度绩效目标：保障江川城区路灯亮灯率达到95.00%，光照度达到国家标准要求，方便居民夜间出行，保障夜间交通安全。美化城市夜景，提高城市品味。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产出指标：质量指标是亮灯率，指标值≧95.00%；时效指标是完成时间，即按时交纳电费。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效益指标：社会效益指标是方便居民夜间出行，保障夜间交通安全，指标值≧90.00%；生态效益指标是美化城市夜景，提高城市品味，指标值≧90.00%。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满意度指标：服务对象满意度指标是群众满意度，指标值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≥90.00%。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江川区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城市路灯维修经费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项目年度绩效目标：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满足双创及七个专项行动的亮灯率能达标，路灯也是城市的“眼睛”，是城市繁荣文明的象征，是城市物质文明与精神文明建设的一个窗口。路灯不仅反映着一个城市面貌，同时还反映着一个城市科学、技术、经济、文化和政治上发达程度。项目的建设，将完善城市基础设施，极大的方便市民生活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产出指标：质量指标是亮灯率，指标值≧95.00%；时效指标是完成时间，即按时完成资金拨付。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效益指标：社会效益指标是方便居民夜间出行，保障夜间交通安全，指标值≧90.00%；生态效益指标是美化城市夜景，提高城市品位，指标值≧90.00%。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满意度指标：服务对象满意度指标是群众满意度，指标值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≥90.00%。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</w:t>
      </w:r>
      <w:r>
        <w:rPr>
          <w:rFonts w:ascii="黑体" w:hAnsi="黑体" w:eastAsia="黑体"/>
          <w:kern w:val="0"/>
          <w:sz w:val="32"/>
          <w:szCs w:val="32"/>
        </w:rPr>
        <w:t>、其他公开信息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（一）专业名词解释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“三公经费”支出：纳入财政预决算管理的“三公”经费，是部门用财政拨款安排的因公出国（境）费、公务用车购置及运行费和公务接待费。其中：因公出国（境）费反映单位公务出国（境）的国际旅费、国外城市交通费、住宿费、伙食费、培训费、公杂费等支出；公务用车购置及支行费反映单位公务用车车辆购置支出（含车辆购置税）及租用费、燃料费、维修费、过路过桥费、保险费、安全奖励费用等支出；公务接待费反映单位按元宝开支的各类公务接待（含外宾接待）支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机关运行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爱国卫生“7个专项行动”：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清垃圾、扫厕所、勤洗手、净餐馆、常消毒、管集市、众参与。</w:t>
      </w:r>
    </w:p>
    <w:p>
      <w:pPr>
        <w:widowControl/>
        <w:ind w:firstLine="640" w:firstLineChars="200"/>
        <w:jc w:val="left"/>
        <w:rPr>
          <w:rFonts w:hint="eastAsia"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（二）机关运行经费安排</w:t>
      </w:r>
      <w:r>
        <w:rPr>
          <w:rFonts w:hint="eastAsia" w:ascii="楷体_GB2312" w:eastAsia="楷体_GB2312"/>
          <w:kern w:val="0"/>
          <w:sz w:val="32"/>
          <w:szCs w:val="32"/>
        </w:rPr>
        <w:t>变化情况及原因说明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玉溪市江川区城市管理局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（本级）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年机关运行经费安排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10.59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万元，与上年对比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增加了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万元，主要原因分析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定员定额核定的公用经费比去年增加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年预算安排机关运行经费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10.59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万元，其中：办公费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万元，电费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邮电费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0.10万元，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差旅费0.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万元，会议费0.1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万元，培训费0.2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万元，公务接待费0.6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万元，工会经费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0.48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万元，福利费0.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万元，其他交通费用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5.67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年预算安排机关运行经费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10.35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万元，其中：办公费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2.03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万元，水费0.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万元，电费0.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邮电费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0.15万元，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差旅费0.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万元，会议费0.1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万元，培训费0.2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万元，公务接待费0.6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万元，工会经费0.2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万元，福利费0.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万元，其他交通费用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5.67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国有资产占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有使用</w:t>
      </w:r>
      <w:r>
        <w:rPr>
          <w:rFonts w:ascii="楷体_GB2312" w:eastAsia="楷体_GB2312"/>
          <w:kern w:val="0"/>
          <w:sz w:val="32"/>
          <w:szCs w:val="32"/>
        </w:rPr>
        <w:t>情况</w:t>
      </w:r>
    </w:p>
    <w:p>
      <w:pPr>
        <w:widowControl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截至2021年12月31日，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玉溪市江川区城市管理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（本级）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资产总额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1852.14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万元，其中，流动资产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万元，固定资产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284.00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公共基础设施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1568.14万元，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对外投资及有价证券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万元，在建工程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万元，无形资产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万元，其他资产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万元。与上年相比，本年资产总额增加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308.89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万元，其中固定资产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原值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40.24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，公共基础设施增加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1568.14万元，在建工程减少998.12万元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。处置房屋建筑物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平方米，账面原值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万元；处置车辆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辆，账面原值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万元；报废报损资产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项，账面原值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万元，实现资产处置收入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万元；资产使用收入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万元，其中出租资产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平方米，资产出租收入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万元。鉴于截至2021年12月31日的国有资产占有使用精准数据，需在完成2021年决算编制后才能汇总，此处公开为2022年1月资产月报数。</w:t>
      </w:r>
    </w:p>
    <w:p>
      <w:pPr>
        <w:pStyle w:val="4"/>
        <w:rPr>
          <w:rFonts w:hint="eastAsia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玉溪市江川区城市管理局（本级）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财务收支预算总表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二、部门收入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三、部门支出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四、财政拨款收支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预算总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五、一般公共预算支出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（按功能科目分类）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六、一般公共预算“三公”经费支出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（人员类、运转类公用经费项目）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项目支出预算表（其他运转类、特定目标类项目）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次</w:t>
      </w:r>
      <w:r>
        <w:rPr>
          <w:rFonts w:hint="eastAsia" w:ascii="Times New Roman" w:hAnsi="Times New Roman" w:eastAsia="仿宋_GB2312"/>
          <w:sz w:val="32"/>
          <w:szCs w:val="32"/>
        </w:rPr>
        <w:t>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、项目支出绩效目标表（另文下达）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、政府性基金预算支出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、部门政府采购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十三、部门政府购买服务预算表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区对下转移支付预算表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对下转移支付绩效目标表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十六、新增资产配置表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</w:rPr>
      </w:pPr>
    </w:p>
    <w:p>
      <w:pPr>
        <w:pStyle w:val="4"/>
        <w:rPr>
          <w:rFonts w:hint="eastAsia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美黑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faultFon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62026F7F"/>
    <w:multiLevelType w:val="singleLevel"/>
    <w:tmpl w:val="62026F7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A40DE"/>
    <w:rsid w:val="003849C9"/>
    <w:rsid w:val="02AF5A41"/>
    <w:rsid w:val="047D5DD4"/>
    <w:rsid w:val="06EA3958"/>
    <w:rsid w:val="07A45170"/>
    <w:rsid w:val="083F3043"/>
    <w:rsid w:val="0D741A1D"/>
    <w:rsid w:val="108C075C"/>
    <w:rsid w:val="16B65D73"/>
    <w:rsid w:val="1C0D45F5"/>
    <w:rsid w:val="1D1F05E7"/>
    <w:rsid w:val="200C2E1E"/>
    <w:rsid w:val="22FF1C40"/>
    <w:rsid w:val="24CF32DF"/>
    <w:rsid w:val="2B720207"/>
    <w:rsid w:val="30D93503"/>
    <w:rsid w:val="35B82F55"/>
    <w:rsid w:val="38003AC6"/>
    <w:rsid w:val="39A446C7"/>
    <w:rsid w:val="3B1401F0"/>
    <w:rsid w:val="42416127"/>
    <w:rsid w:val="43520747"/>
    <w:rsid w:val="451E6943"/>
    <w:rsid w:val="48D551A2"/>
    <w:rsid w:val="4A754C18"/>
    <w:rsid w:val="4B27379F"/>
    <w:rsid w:val="4C671AC5"/>
    <w:rsid w:val="4DCA68E0"/>
    <w:rsid w:val="503A14D3"/>
    <w:rsid w:val="53894E2C"/>
    <w:rsid w:val="53DF6A6F"/>
    <w:rsid w:val="56E85F77"/>
    <w:rsid w:val="578D1E67"/>
    <w:rsid w:val="5E7455DA"/>
    <w:rsid w:val="63586E0D"/>
    <w:rsid w:val="65E25509"/>
    <w:rsid w:val="67F302B6"/>
    <w:rsid w:val="68F408C5"/>
    <w:rsid w:val="6A352D6E"/>
    <w:rsid w:val="6E4E5146"/>
    <w:rsid w:val="713A0072"/>
    <w:rsid w:val="71CA40DE"/>
    <w:rsid w:val="77341642"/>
    <w:rsid w:val="7A9644B7"/>
    <w:rsid w:val="7AAA2B2B"/>
    <w:rsid w:val="7E910A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2"/>
    </w:pPr>
    <w:rPr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2022-02-08T07:09:00Z</dcterms:created>
  <dc:creator>mdx</dc:creator>
  <cp:lastModifiedBy>mdx</cp:lastModifiedBy>
  <dcterms:modified xsi:type="dcterms:W3CDTF">2022-07-14T03:34:01Z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