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玉溪市江川区环境卫生管理站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年部门预算公开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第一部分 </w:t>
      </w:r>
      <w:r>
        <w:rPr>
          <w:rFonts w:hint="eastAsia" w:ascii="黑体" w:hAnsi="黑体" w:eastAsia="黑体"/>
          <w:sz w:val="32"/>
          <w:szCs w:val="32"/>
          <w:lang w:eastAsia="zh-CN"/>
        </w:rPr>
        <w:t>玉溪市江川区环境卫生管理站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2022年部门预</w:t>
      </w:r>
      <w:r>
        <w:rPr>
          <w:rFonts w:hint="eastAsia" w:ascii="黑体" w:hAnsi="黑体" w:eastAsia="黑体"/>
          <w:sz w:val="32"/>
          <w:szCs w:val="32"/>
        </w:rPr>
        <w:t>算编制说明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一、基本职能及主要工作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二、预算单位基本情况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三、预算单位收入情况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预算单位支出情况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对下专项转移支付情况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政府采购预算情况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七、部门“三公”经费增减变化情况及原因说明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八、重点项目预算绩效目标情况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九、其他公开信息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lang w:eastAsia="zh-CN"/>
        </w:rPr>
        <w:t>玉溪市江川区环境卫生管理站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sz w:val="32"/>
          <w:szCs w:val="32"/>
        </w:rPr>
        <w:t>年部门预算表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财务收支预算总表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二、部门收入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三、部门支出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四、财政拨款收支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预算总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五、一般公共预算支出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（按功能科目分类）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六、一般公共预算“三公”经费支出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/>
          <w:sz w:val="32"/>
          <w:szCs w:val="32"/>
        </w:rPr>
        <w:t>基本支出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（人员类、运转类公用经费项目）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项目支出预算表（其他运转类、特定目标类项目）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仿宋_GB2312"/>
          <w:sz w:val="32"/>
          <w:szCs w:val="32"/>
        </w:rPr>
        <w:t>、项目支出绩效目标表（本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次</w:t>
      </w:r>
      <w:r>
        <w:rPr>
          <w:rFonts w:hint="eastAsia" w:ascii="Times New Roman" w:hAnsi="Times New Roman" w:eastAsia="仿宋_GB2312"/>
          <w:sz w:val="32"/>
          <w:szCs w:val="32"/>
        </w:rPr>
        <w:t>下达）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sz w:val="32"/>
          <w:szCs w:val="32"/>
        </w:rPr>
        <w:t>、项目支出绩效目标表（另文下达）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/>
          <w:sz w:val="32"/>
          <w:szCs w:val="32"/>
        </w:rPr>
        <w:t>、政府性基金预算支出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、部门政府采购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十三、部门政府购买服务预算表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区对下转移支付预算表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对下转移支付绩效目标表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十六、新增资产配置表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0"/>
          <w:szCs w:val="30"/>
        </w:rPr>
      </w:pPr>
    </w:p>
    <w:p>
      <w:pPr>
        <w:widowControl/>
        <w:ind w:firstLine="880" w:firstLineChars="20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第一部分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玉溪市江川区环境卫生管理站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eastAsia="方正小标宋简体"/>
          <w:kern w:val="0"/>
          <w:sz w:val="44"/>
          <w:szCs w:val="44"/>
        </w:rPr>
        <w:t>年部门预算编制说明</w:t>
      </w:r>
    </w:p>
    <w:p>
      <w:pPr>
        <w:widowControl/>
        <w:ind w:firstLine="720" w:firstLineChars="20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一、基本职能及主要工作</w:t>
      </w:r>
    </w:p>
    <w:p>
      <w:pPr>
        <w:widowControl/>
        <w:ind w:firstLine="640" w:firstLineChars="200"/>
        <w:jc w:val="left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（一）部门主要职责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江川区环境卫生管理站属江川区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下设单位。江川区环境卫生管理站主要职能是为江川区城区街道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卫生清洁保洁、垃圾清运、填埋、公厕管理、收取垃圾清运费等社会管理服务。</w:t>
      </w:r>
    </w:p>
    <w:p>
      <w:pPr>
        <w:widowControl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（二）机构设置情况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为玉溪市江川区城市管理局下属单位，机构编制为财政拨款事业单位。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本单位2021年人员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目前在编实有人数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15人。我单位无内设机构、无所属机构。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</w:rPr>
        <w:t>三</w:t>
      </w:r>
      <w:r>
        <w:rPr>
          <w:rFonts w:ascii="楷体_GB2312" w:eastAsia="楷体_GB2312"/>
          <w:kern w:val="0"/>
          <w:sz w:val="32"/>
          <w:szCs w:val="32"/>
        </w:rPr>
        <w:t>）重点工作概述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在积极推进我区创建国家卫生城市的工作进展中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大环境卫生整治力度。加强垃圾中转站、果皮箱和垃圾厢放置点的管理，加强每日对垃圾中转站、垃圾厢放置点的冲洗、消杀、除四害工作，及时清运垃圾，清洗果皮箱，做到垃圾日产日清。加强对街道路面、公厕、中转站管理，全方位、全天候将日常管理做到无间断、无空隙、无死角，公厕和中转站实行专人管理，按时开放。对清扫保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，对公厕承包人按照《公厕管理规定及考核标准》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，对垃圾清运人员按照《车队管理办法》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，实行“日督查、周评、月评、年终总评”机制，对存在的问题及考评情况通报，一年以来共开展周考评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次，月考评12次。</w:t>
      </w: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二、预算单位基本情况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我部门编制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年部门预算单位共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个。其中：财政全额供给单位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个；差额供给单位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个；定额补助单位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个；自收自支单位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个。财政全额供给单位中行政单位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个；参公单位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个；事业单位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个。截止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年12月统计，部门基本情况如下：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在职人员编制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人，其中：行政编制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工勤人员编制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事业编制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人。在职实有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人，其中：财政全额保障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人，财政差额补助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人，财政专户资金、单位资金保障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离退休人员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人，其中： 离休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人，退休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车辆编制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辆，实有车辆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辆。</w:t>
      </w: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三、预算单位收入情况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（一）部门财务收入情况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年部门财务总收入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1777.09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1777.09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万元，政府性基金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万元，国有资本经营收益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财政专户管理资金收入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事业收入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万元，事业单位经营收入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万元，上级补助收入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万元，附属单位上缴收入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万元，其他收入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与上年对比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财务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总收入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598.12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，上涨了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50.73%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，主要原因分析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垃圾运往红塔区处置，增加了生活垃圾收转运处置的预算，另外增加了餐厨垃圾收转运处置和环卫设施设备采购的预算，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导致年初预算比2021年增加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（二）财政拨款收入情况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年部门财政拨款收入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1777.09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万元，其中:本年收入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1777.09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万元，上年结转收入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万元。本年收入中，一般公共预算财政拨款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1777.09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万元，政府性基金预算财政拨款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万元，国有资本经营收益财政拨款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与上年对比</w:t>
      </w:r>
      <w:r>
        <w:rPr>
          <w:rFonts w:eastAsia="仿宋_GB2312"/>
          <w:kern w:val="0"/>
          <w:sz w:val="32"/>
          <w:szCs w:val="32"/>
        </w:rPr>
        <w:t>财政拨款收入</w:t>
      </w:r>
      <w:r>
        <w:rPr>
          <w:rFonts w:hint="eastAsia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598.12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，上涨了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50.73%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，主要原因分析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垃圾运往红塔区处置，增加了生活垃圾收转运处置的预算，另外增加了餐厨垃圾收转运处置和环卫设施设备采购的预算，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导致年初预算比2021年增加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预算单位支出情况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年部门预算总支出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1777.09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万元。财政拨款安排支出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1777.09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242.09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万元，与上年对比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163.86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万元，主要原因分析202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非税收入返还支出放在项目支出中，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导致年初预算比2021年减少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1535.00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万元，与上年对比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762.00万元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，主要原因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垃圾运往红塔区处置，增加了生活垃圾收转运处置的预算，另外增加了餐厨垃圾收转运处置和环卫设施设备采购的预算，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导致年初预算比2021年增加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财政拨款安排支出按功能科目分类情况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2080501.行政单位离退休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1.44万元，用于支付单位行政岗位退休人员生活补助。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2080502.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事业单位离退休”支出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21.60万元，用于支付单位退休人员生活补助。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“2080505.机关事业单位基本养老保险缴费支出”支出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19.04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万元，用于缴纳单位负担基本养老保险。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4.“2101101.行政单位医疗”支出0.03万元，主要用于行政岗位退休人员大病医疗保险。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.“210110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.事业单位医疗”支出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10.73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万元，主要用于职工基本医疗保险。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“2101103.公务员医疗补助”支出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万元，主要用于缴纳单位负担的公务员医疗补助。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5.“2120501.城乡社区环境卫生”支出1693.25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事业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在职人员工资、保险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及日常办公正常运转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；城区清扫保洁、生活垃圾收转运处置、餐厨垃圾收转运处置、公厕免费开放管理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2210201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住房公积金”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20.68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万元，主要用于职工住房公积补助。</w:t>
      </w:r>
    </w:p>
    <w:p>
      <w:pPr>
        <w:pStyle w:val="7"/>
        <w:keepNext w:val="0"/>
        <w:keepLines w:val="0"/>
        <w:pageBreakBefore w:val="0"/>
        <w:tabs>
          <w:tab w:val="left" w:pos="5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财政拨款安排支出按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经济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科目分类情况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OLE_LINK1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1.301.工资福利支出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208.25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万元，其中：30101.基本工资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50.88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万元，3010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.津贴补贴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3.51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万元，30107.绩效工资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91.62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万元，30108.机关事业单位基本养老保险缴费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19.04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万元，30110.职工基本医疗保险缴费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万元，30111.公务员医疗补助缴费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万元，30112.其他社会保障缴费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1.43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万元，30113.住房公积金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20.68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2.302.商品和服务支出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1364.80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万元，其中：30201.办公费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30205.水费0.10万元，30206.电费0.12万元，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30207.邮电费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30211差旅费0.80万元，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30216.培训费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30217.公务接待费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0.46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30226.劳务费1354.00万元，30228.工会经费1.20万元，30229.福利费1.50万元.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3.303.对个人和家庭的补助支出23.04万元，其中：30305.生活补助23.04万元。</w:t>
      </w:r>
    </w:p>
    <w:p>
      <w:pPr>
        <w:pStyle w:val="2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4.310.资本性支出181.00万元，其中：31003专用设备购置181.00万元。</w:t>
      </w:r>
      <w:bookmarkEnd w:id="0"/>
    </w:p>
    <w:p>
      <w:pPr>
        <w:widowControl/>
        <w:numPr>
          <w:ilvl w:val="0"/>
          <w:numId w:val="2"/>
        </w:numPr>
        <w:ind w:firstLine="640" w:firstLineChars="200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区</w:t>
      </w:r>
      <w:r>
        <w:rPr>
          <w:rFonts w:ascii="黑体" w:hAnsi="黑体" w:eastAsia="黑体"/>
          <w:kern w:val="0"/>
          <w:sz w:val="32"/>
          <w:szCs w:val="32"/>
        </w:rPr>
        <w:t>对下</w:t>
      </w:r>
      <w:r>
        <w:rPr>
          <w:rFonts w:hint="eastAsia" w:ascii="黑体" w:hAnsi="黑体" w:eastAsia="黑体"/>
          <w:kern w:val="0"/>
          <w:sz w:val="32"/>
          <w:szCs w:val="32"/>
        </w:rPr>
        <w:t>专</w:t>
      </w:r>
      <w:r>
        <w:rPr>
          <w:rFonts w:ascii="黑体" w:hAnsi="黑体" w:eastAsia="黑体"/>
          <w:kern w:val="0"/>
          <w:sz w:val="32"/>
          <w:szCs w:val="32"/>
        </w:rPr>
        <w:t>项转移支付情况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我部门为对下转移支付接收单位，无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与中央配套事项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按既定政策标准测算补助事项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经济社会事业发展事项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六、政府采购预算情况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2"/>
          <w:szCs w:val="32"/>
          <w:lang w:eastAsia="zh-CN"/>
        </w:rPr>
        <w:t>七</w:t>
      </w:r>
      <w:r>
        <w:rPr>
          <w:rFonts w:eastAsia="仿宋_GB2312"/>
          <w:kern w:val="0"/>
          <w:sz w:val="32"/>
          <w:szCs w:val="32"/>
        </w:rPr>
        <w:t>个，</w:t>
      </w:r>
      <w:r>
        <w:rPr>
          <w:rFonts w:hint="eastAsia" w:eastAsia="仿宋_GB2312"/>
          <w:kern w:val="0"/>
          <w:sz w:val="32"/>
          <w:szCs w:val="32"/>
        </w:rPr>
        <w:t>政府</w:t>
      </w:r>
      <w:r>
        <w:rPr>
          <w:rFonts w:eastAsia="仿宋_GB2312"/>
          <w:kern w:val="0"/>
          <w:sz w:val="32"/>
          <w:szCs w:val="32"/>
        </w:rPr>
        <w:t>采购预算</w:t>
      </w:r>
      <w:r>
        <w:rPr>
          <w:rFonts w:hint="eastAsia" w:eastAsia="仿宋_GB2312"/>
          <w:kern w:val="0"/>
          <w:sz w:val="32"/>
          <w:szCs w:val="32"/>
        </w:rPr>
        <w:t>总额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182.28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/>
          <w:kern w:val="0"/>
          <w:sz w:val="32"/>
          <w:szCs w:val="32"/>
        </w:rPr>
        <w:t>，其中：政府采购货物预算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182.28</w:t>
      </w:r>
      <w:r>
        <w:rPr>
          <w:rFonts w:eastAsia="仿宋_GB2312"/>
          <w:kern w:val="0"/>
          <w:sz w:val="32"/>
          <w:szCs w:val="32"/>
        </w:rPr>
        <w:t>万元</w:t>
      </w:r>
      <w:r>
        <w:rPr>
          <w:rFonts w:hint="eastAsia" w:eastAsia="仿宋_GB2312"/>
          <w:kern w:val="0"/>
          <w:sz w:val="32"/>
          <w:szCs w:val="32"/>
        </w:rPr>
        <w:t>、政府采购服务预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/>
          <w:kern w:val="0"/>
          <w:sz w:val="32"/>
          <w:szCs w:val="32"/>
        </w:rPr>
        <w:t>、政府采购工程预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七、部门“三公”经费增减变化情况及原因说明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玉溪市江川区环境卫生管理站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年一般公共预算财政拨款“三公”经费预算合计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0.46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万元，较上年减少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%，具体变动情况如下</w:t>
      </w:r>
      <w:r>
        <w:rPr>
          <w:rFonts w:hint="eastAsia" w:eastAsia="仿宋_GB2312"/>
          <w:kern w:val="0"/>
          <w:sz w:val="32"/>
          <w:szCs w:val="32"/>
        </w:rPr>
        <w:t>：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</w:t>
      </w:r>
      <w:r>
        <w:rPr>
          <w:rFonts w:ascii="楷体_GB2312" w:eastAsia="楷体_GB2312"/>
          <w:kern w:val="0"/>
          <w:sz w:val="32"/>
          <w:szCs w:val="32"/>
        </w:rPr>
        <w:t>因公出国（境）费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玉溪市江川区环境卫生管理站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年因公出国（境）费预算为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万元，较上年增加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%，共计安排因公出国（境）团组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个，因公出国（境）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。上年无支出预算，本年支出预算为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0.00万元，与上年相比持平。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</w:t>
      </w:r>
      <w:r>
        <w:rPr>
          <w:rFonts w:ascii="楷体_GB2312" w:eastAsia="楷体_GB2312"/>
          <w:kern w:val="0"/>
          <w:sz w:val="32"/>
          <w:szCs w:val="32"/>
        </w:rPr>
        <w:t>公务接待费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玉溪市江川区环境卫生管理站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年公务接待费预算为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0.46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万元，较上年减少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预计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国内公务接待批次为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次，共计接待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变化原因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：本着厉行节约的原则，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严格控制公务接待范围和用餐标准，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减少对公务接待的开支。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公务用车购置及运行维护费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玉溪市江川区环境卫生管理站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年公务用车购置及运行维护费为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万元，较上年减少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%。其中：公务用车购置费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万元，较上年增加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%；公务用车运行维护费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%。共计购置公务用车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辆，年末公务用车保有量为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与上年相比持平</w:t>
      </w:r>
    </w:p>
    <w:p>
      <w:pPr>
        <w:widowControl/>
        <w:ind w:firstLine="640" w:firstLineChars="200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八、重点项目预算绩效目标情况</w:t>
      </w:r>
    </w:p>
    <w:p>
      <w:pPr>
        <w:widowControl/>
        <w:ind w:firstLine="696" w:firstLineChars="200"/>
        <w:jc w:val="left"/>
        <w:rPr>
          <w:rFonts w:hint="eastAsia" w:ascii="仿宋_GB2312" w:eastAsia="仿宋_GB2312"/>
          <w:spacing w:val="14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14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pacing w:val="14"/>
          <w:sz w:val="32"/>
          <w:szCs w:val="32"/>
        </w:rPr>
        <w:t>江川区城区环卫设施采购</w:t>
      </w:r>
      <w:r>
        <w:rPr>
          <w:rFonts w:hint="eastAsia" w:ascii="仿宋_GB2312" w:eastAsia="仿宋_GB2312"/>
          <w:spacing w:val="14"/>
          <w:sz w:val="32"/>
          <w:szCs w:val="32"/>
          <w:lang w:eastAsia="zh-CN"/>
        </w:rPr>
        <w:t>项目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spacing w:val="1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项目年度绩效目标：</w:t>
      </w:r>
      <w:r>
        <w:rPr>
          <w:rFonts w:hint="eastAsia" w:ascii="仿宋_GB2312" w:eastAsia="仿宋_GB2312"/>
          <w:spacing w:val="14"/>
          <w:sz w:val="32"/>
          <w:szCs w:val="32"/>
          <w:lang w:eastAsia="zh-CN"/>
        </w:rPr>
        <w:t>根据《玉溪市江川区人民政府办公室 关于印发玉溪市江川区推进爱国卫生 “7 个专项行动”方案的通知》（玉江政办发〔2020〕20 号）提出：以习近平新时代中国特色社会主义思想为指导，全面深入贯彻党的十九大精神，以改善城乡人居环境、提高人民健康水平为核心，本着纵向到底、横向到边、条块结合、不留空档的原则精心组织、广泛动员，扎扎实实着力解决影响城乡环境的重点、难点问题，确保顺利推进我区爱国卫生专项行动，促进我区经济社会健康发展。</w:t>
      </w:r>
    </w:p>
    <w:p>
      <w:pPr>
        <w:widowControl/>
        <w:ind w:firstLine="696" w:firstLineChars="200"/>
        <w:jc w:val="left"/>
        <w:rPr>
          <w:rFonts w:hint="eastAsia" w:ascii="仿宋_GB2312" w:eastAsia="仿宋_GB2312"/>
          <w:spacing w:val="14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14"/>
          <w:sz w:val="32"/>
          <w:szCs w:val="32"/>
          <w:lang w:eastAsia="zh-CN"/>
        </w:rPr>
        <w:t>通过集中开展为期一年半的“清垃圾、扫厕所、勤洗手、净餐馆、常消毒、管集市、众参与”爱国卫生“7 个专项行动”，全面消除城乡裸露垃圾，消除城镇旱厕，完善公众洗手配套设施，改善餐饮服务环境卫生，大力推进公共场所常态化清洁消毒，彻底改变农贸市场“脏、乱、差”现状，引导全社会形成健康文明新风尚，全面巩固我区全国卫生城市创建成效、推进文明城市创建达标，坚持长短结合，注重长效，建立健全爱国卫生专项行动长效机制，推动从环境卫生治理向全面社会健康管理转变，为疫情防控常态化奠定坚实基础。采购高压冲洗车2辆、购置垃圾桶1000只、购置果皮箱600只。</w:t>
      </w:r>
    </w:p>
    <w:p>
      <w:pPr>
        <w:pStyle w:val="2"/>
        <w:numPr>
          <w:ilvl w:val="0"/>
          <w:numId w:val="3"/>
        </w:numPr>
        <w:ind w:firstLine="696" w:firstLineChars="200"/>
        <w:rPr>
          <w:rFonts w:hint="eastAsia" w:ascii="仿宋_GB2312" w:eastAsia="仿宋_GB2312"/>
          <w:spacing w:val="1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4"/>
          <w:sz w:val="32"/>
          <w:szCs w:val="32"/>
          <w:lang w:val="en-US" w:eastAsia="zh-CN"/>
        </w:rPr>
        <w:t>江川区城区生活垃圾收转运处置项目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年度绩效目标：一是维护好城区环境卫生，给全区人民一个干净整洁的生活环境，做到日产日清日处理，每天处理生活垃圾≥40吨。二是江川区生活垃圾运至玉溪市焚烧发电厂处置，确保城区生活垃圾无害化处理率持续保持90%。生活垃圾收转完成率。</w:t>
      </w:r>
    </w:p>
    <w:p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江川区城区市政公厕免费开放管护项目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年度绩效目标：一是市政公厕的环境卫生，给全区人民一个干净整洁的入厕环境，做到日产日清日处理。二是市政公厕达到干净整洁无粪便、无臭味、地面无水渍，有手纸、有洗手液、有香薰的“三无三有”标准。</w:t>
      </w:r>
    </w:p>
    <w:p>
      <w:pPr>
        <w:pStyle w:val="2"/>
        <w:numPr>
          <w:ilvl w:val="0"/>
          <w:numId w:val="3"/>
        </w:num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江川区城区街道清扫保洁项目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项目年度绩效目标：一是改善城市道路的环境卫生，给全区人民一个干净整洁的城市居住环境。二是做到街道裸露垃圾及时处理，清除道路散落垃圾，做到全日保洁，彻底清除脏乱差现象。</w:t>
      </w:r>
    </w:p>
    <w:p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江川区城市生活垃圾填埋场运营管护项目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项目年度绩效目标：场区工作人员每日对场区进行巡查，有问题早发现早处理，确保场区设施安全运行，确保无重大安全事故发生。</w:t>
      </w:r>
    </w:p>
    <w:p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江川区城区餐厨垃圾收转运处置项目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pacing w:val="1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项目年度绩效目标：一是做到每天到单位收集、日产日清，不得堆积、滞留污染城区环境，日收集处理厨余垃圾≥5吨；二是垃圾收集桶摆放整齐，设置点及周围整洁，无散落、存留垃圾和污水，无满溢和散落，并定时清洗收集桶；三是餐厨垃圾及时运送至指定处置地点处置，不将其它生活垃圾混入餐厨垃圾运输，不擅自处置餐厨垃圾，资源化处理率≥90%。  </w:t>
      </w:r>
    </w:p>
    <w:p>
      <w:pPr>
        <w:pStyle w:val="2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黑体" w:hAnsi="黑体" w:eastAsia="黑体"/>
          <w:kern w:val="0"/>
          <w:sz w:val="32"/>
          <w:szCs w:val="32"/>
        </w:rPr>
        <w:t>九</w:t>
      </w:r>
      <w:r>
        <w:rPr>
          <w:rFonts w:ascii="黑体" w:hAnsi="黑体" w:eastAsia="黑体"/>
          <w:kern w:val="0"/>
          <w:sz w:val="32"/>
          <w:szCs w:val="32"/>
        </w:rPr>
        <w:t>、其他公开信息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（一）专业名词解释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“三公经费”支出：纳入财政预决算管理的“三公”经费，是部门用财政拨款安排的因公出国（境）费、公务用车购置及运行费和公务接待费。其中：因公出国（境）费反映单位公务出国（境）的国际旅费、国外城市交通费、住宿费、伙食费、培训费、公杂费等支出；公务用车购置及支行费反映单位公务用车车辆购置支出（含车辆购置税）及租用费、燃料费、维修费、过路过桥费、保险费、安全奖励费用等支出；公务接待费反映单位按元宝开支的各类公务接待（含外宾接待）支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爱国卫生“7个专项行动”：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清垃圾、扫厕所、勤洗手、净餐馆、常消毒、管集市、众参与。</w:t>
      </w:r>
    </w:p>
    <w:p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（二）机关运行经费安排</w:t>
      </w:r>
      <w:r>
        <w:rPr>
          <w:rFonts w:hint="eastAsia" w:ascii="楷体_GB2312" w:eastAsia="楷体_GB2312"/>
          <w:kern w:val="0"/>
          <w:sz w:val="32"/>
          <w:szCs w:val="32"/>
        </w:rPr>
        <w:t>变化情况及原因说明</w:t>
      </w:r>
    </w:p>
    <w:p>
      <w:pPr>
        <w:widowControl/>
        <w:ind w:firstLine="960" w:firstLineChars="300"/>
        <w:jc w:val="lef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国有资产占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有使用</w:t>
      </w:r>
      <w:r>
        <w:rPr>
          <w:rFonts w:ascii="楷体_GB2312" w:eastAsia="楷体_GB2312"/>
          <w:kern w:val="0"/>
          <w:sz w:val="32"/>
          <w:szCs w:val="32"/>
        </w:rPr>
        <w:t>情况</w:t>
      </w:r>
    </w:p>
    <w:p>
      <w:pPr>
        <w:widowControl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截至2021年12月31日，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玉溪市江川区环境卫生管理站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资产总额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511.42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万元，其中，流动资产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90.69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万元，固定资产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420.73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万元，对外投资及有价证券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万元，在建工程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万元，无形资产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万元，其他资产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万元。与上年相比，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本年资产总额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225.57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万元，其中固定资产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276.91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万元。处置房屋建筑物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平方米，账面原值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万元；处置车辆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辆，账面原值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万元；报废报损资产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项，账面原值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万元，实现资产处置收入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万元；资产使用收入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万元，其中出租资产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平方米，资产出租收入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万元。</w:t>
      </w:r>
    </w:p>
    <w:p>
      <w:pPr>
        <w:pStyle w:val="2"/>
        <w:rPr>
          <w:rFonts w:hint="eastAsia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玉溪市江川区环境卫生管理站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部门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财务收支预算总表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二、部门收入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三、部门支出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四、财政拨款收支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预算总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五、一般公共预算支出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（按功能科目分类）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六、一般公共预算“三公”经费支出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/>
          <w:sz w:val="32"/>
          <w:szCs w:val="32"/>
        </w:rPr>
        <w:t>基本支出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（人员类、运转类公用经费项目）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项目支出预算表（其他运转类、特定目标类项目）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仿宋_GB2312"/>
          <w:sz w:val="32"/>
          <w:szCs w:val="32"/>
        </w:rPr>
        <w:t>、项目支出绩效目标表（本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次</w:t>
      </w:r>
      <w:r>
        <w:rPr>
          <w:rFonts w:hint="eastAsia" w:ascii="Times New Roman" w:hAnsi="Times New Roman" w:eastAsia="仿宋_GB2312"/>
          <w:sz w:val="32"/>
          <w:szCs w:val="32"/>
        </w:rPr>
        <w:t>下达）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sz w:val="32"/>
          <w:szCs w:val="32"/>
        </w:rPr>
        <w:t>、项目支出绩效目标表（另文下达）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/>
          <w:sz w:val="32"/>
          <w:szCs w:val="32"/>
        </w:rPr>
        <w:t>、政府性基金预算支出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、部门政府采购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十三、部门政府购买服务预算表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区对下转移支付预算表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对下转移支付绩效目标表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十六、新增资产配置表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0"/>
          <w:szCs w:val="30"/>
        </w:rPr>
      </w:pPr>
    </w:p>
    <w:p>
      <w:pPr>
        <w:pStyle w:val="2"/>
        <w:rPr>
          <w:rFonts w:hint="eastAsia"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96B803"/>
    <w:multiLevelType w:val="singleLevel"/>
    <w:tmpl w:val="ED96B80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C47DBBF"/>
    <w:multiLevelType w:val="singleLevel"/>
    <w:tmpl w:val="5C47DBBF"/>
    <w:lvl w:ilvl="0" w:tentative="0">
      <w:start w:val="4"/>
      <w:numFmt w:val="chineseCounting"/>
      <w:suff w:val="nothing"/>
      <w:lvlText w:val="%1、"/>
      <w:lvlJc w:val="left"/>
    </w:lvl>
  </w:abstractNum>
  <w:abstractNum w:abstractNumId="2">
    <w:nsid w:val="5C47DC0A"/>
    <w:multiLevelType w:val="singleLevel"/>
    <w:tmpl w:val="5C47DC0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YzYwN2VmZmZhMzdmYmU5NGNmNzRiMDRiZmIxOWQifQ=="/>
  </w:docVars>
  <w:rsids>
    <w:rsidRoot w:val="71CA40DE"/>
    <w:rsid w:val="02AF5A41"/>
    <w:rsid w:val="047D5DD4"/>
    <w:rsid w:val="06EA3958"/>
    <w:rsid w:val="07A45170"/>
    <w:rsid w:val="07EF5596"/>
    <w:rsid w:val="083F3043"/>
    <w:rsid w:val="084347F1"/>
    <w:rsid w:val="0D741A1D"/>
    <w:rsid w:val="13FF44AC"/>
    <w:rsid w:val="16B65D73"/>
    <w:rsid w:val="1C0D45F5"/>
    <w:rsid w:val="1CB92911"/>
    <w:rsid w:val="1CBB5B6C"/>
    <w:rsid w:val="1CE22BC0"/>
    <w:rsid w:val="1F1F52C5"/>
    <w:rsid w:val="211571D3"/>
    <w:rsid w:val="24CF32DF"/>
    <w:rsid w:val="269D5C7B"/>
    <w:rsid w:val="2FAE7B46"/>
    <w:rsid w:val="30D93503"/>
    <w:rsid w:val="35B82F55"/>
    <w:rsid w:val="38003AC6"/>
    <w:rsid w:val="40D072FD"/>
    <w:rsid w:val="42416127"/>
    <w:rsid w:val="43520747"/>
    <w:rsid w:val="441E136D"/>
    <w:rsid w:val="451E6943"/>
    <w:rsid w:val="47F44A1C"/>
    <w:rsid w:val="4B27379F"/>
    <w:rsid w:val="4C022E22"/>
    <w:rsid w:val="4C671AC5"/>
    <w:rsid w:val="4D126210"/>
    <w:rsid w:val="4DCA68E0"/>
    <w:rsid w:val="5104534D"/>
    <w:rsid w:val="53894E2C"/>
    <w:rsid w:val="54596730"/>
    <w:rsid w:val="55740A81"/>
    <w:rsid w:val="55AD401C"/>
    <w:rsid w:val="578D1E67"/>
    <w:rsid w:val="58D11CBE"/>
    <w:rsid w:val="5C0B6BAE"/>
    <w:rsid w:val="5DFE301C"/>
    <w:rsid w:val="5E7455DA"/>
    <w:rsid w:val="63586E0D"/>
    <w:rsid w:val="65E25509"/>
    <w:rsid w:val="67F302B6"/>
    <w:rsid w:val="68F408C5"/>
    <w:rsid w:val="69273A07"/>
    <w:rsid w:val="6A352D6E"/>
    <w:rsid w:val="6E175C45"/>
    <w:rsid w:val="6E4E5146"/>
    <w:rsid w:val="71CA40DE"/>
    <w:rsid w:val="71D012B8"/>
    <w:rsid w:val="77A7668D"/>
    <w:rsid w:val="79CF2158"/>
    <w:rsid w:val="7C052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2"/>
    </w:pPr>
    <w:rPr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kern w:val="0"/>
      <w:sz w:val="28"/>
    </w:r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13</Pages>
  <Words>4870</Words>
  <Characters>5398</Characters>
  <Lines>0</Lines>
  <Paragraphs>0</Paragraphs>
  <TotalTime>33</TotalTime>
  <ScaleCrop>false</ScaleCrop>
  <LinksUpToDate>false</LinksUpToDate>
  <CharactersWithSpaces>5415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2022-02-08T07:09:00Z</dcterms:created>
  <dc:creator>mdx</dc:creator>
  <cp:lastModifiedBy>Administrator</cp:lastModifiedBy>
  <dcterms:modified xsi:type="dcterms:W3CDTF">2023-02-16T09:08:24Z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D799B894A48C4E68A9FFD96EB9D5525B</vt:lpwstr>
  </property>
</Properties>
</file>