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不予行政处罚事项清单（试行）</w:t>
      </w:r>
    </w:p>
    <w:tbl>
      <w:tblPr>
        <w:tblStyle w:val="6"/>
        <w:tblW w:w="14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2"/>
        <w:gridCol w:w="1788"/>
        <w:gridCol w:w="4896"/>
        <w:gridCol w:w="2112"/>
        <w:gridCol w:w="3700"/>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highlight w:val="none"/>
                <w:u w:val="none"/>
                <w:lang w:val="en-US" w:eastAsia="zh-CN"/>
              </w:rPr>
            </w:pPr>
            <w:r>
              <w:rPr>
                <w:rFonts w:hint="eastAsia" w:ascii="黑体" w:hAnsi="黑体" w:eastAsia="黑体" w:cs="黑体"/>
                <w:b w:val="0"/>
                <w:bCs/>
                <w:i w:val="0"/>
                <w:color w:val="auto"/>
                <w:kern w:val="0"/>
                <w:sz w:val="21"/>
                <w:szCs w:val="21"/>
                <w:highlight w:val="none"/>
                <w:u w:val="none"/>
                <w:lang w:val="en-US" w:eastAsia="zh-CN"/>
              </w:rPr>
              <w:t>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rPr>
              <w:t>号</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rPr>
              <w:t>行政处罚事项</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rPr>
              <w:t>设定</w:t>
            </w:r>
            <w:r>
              <w:rPr>
                <w:rFonts w:hint="default" w:ascii="黑体" w:hAnsi="黑体" w:eastAsia="黑体" w:cs="黑体"/>
                <w:b w:val="0"/>
                <w:bCs/>
                <w:i w:val="0"/>
                <w:color w:val="auto"/>
                <w:kern w:val="0"/>
                <w:sz w:val="21"/>
                <w:szCs w:val="21"/>
                <w:highlight w:val="none"/>
                <w:u w:val="none"/>
                <w:lang w:val="en-US" w:eastAsia="zh-CN"/>
              </w:rPr>
              <w:t>法律</w:t>
            </w:r>
            <w:r>
              <w:rPr>
                <w:rFonts w:hint="eastAsia" w:ascii="黑体" w:hAnsi="黑体" w:eastAsia="黑体" w:cs="黑体"/>
                <w:b w:val="0"/>
                <w:bCs/>
                <w:i w:val="0"/>
                <w:color w:val="auto"/>
                <w:kern w:val="0"/>
                <w:sz w:val="21"/>
                <w:szCs w:val="21"/>
                <w:highlight w:val="none"/>
                <w:u w:val="none"/>
                <w:lang w:val="en-US" w:eastAsia="zh-CN"/>
              </w:rPr>
              <w:t>依据</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rPr>
              <w:t>适用情形（具有下列情形之一）</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highlight w:val="none"/>
                <w:u w:val="none"/>
                <w:lang w:val="en-US" w:eastAsia="zh-CN"/>
              </w:rPr>
            </w:pPr>
            <w:r>
              <w:rPr>
                <w:rFonts w:hint="eastAsia" w:ascii="黑体" w:hAnsi="黑体" w:eastAsia="黑体" w:cs="黑体"/>
                <w:b w:val="0"/>
                <w:bCs/>
                <w:i w:val="0"/>
                <w:color w:val="auto"/>
                <w:kern w:val="0"/>
                <w:sz w:val="21"/>
                <w:szCs w:val="21"/>
                <w:highlight w:val="none"/>
                <w:u w:val="none"/>
                <w:lang w:val="en-US" w:eastAsia="zh-CN"/>
              </w:rPr>
              <w:t>不予处罚法律依据</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对生产经营单位未按规定上报事故隐患排查治理统计分析表的</w:t>
            </w:r>
            <w:r>
              <w:rPr>
                <w:rFonts w:hint="eastAsia" w:ascii="仿宋_GB2312" w:hAnsi="仿宋_GB2312" w:cs="仿宋_GB2312"/>
                <w:color w:val="auto"/>
                <w:sz w:val="21"/>
                <w:szCs w:val="21"/>
                <w:highlight w:val="none"/>
                <w:lang w:val="en-US" w:eastAsia="zh-CN"/>
              </w:rPr>
              <w:t>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《安全生产事故隐患排查治理暂行规定》第二十六条第二项</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生产经营单位违反本规定</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有下列行为之一的由安全监管监察部门给予警告，并处三万元以下的罚款：（二）未按规定上报事故隐患排查治理统计分析表的</w:t>
            </w:r>
            <w:r>
              <w:rPr>
                <w:rFonts w:hint="eastAsia" w:ascii="仿宋_GB2312" w:hAnsi="仿宋_GB2312" w:cs="仿宋_GB2312"/>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tabs>
                <w:tab w:val="left" w:pos="312"/>
              </w:tabs>
              <w:kinsoku/>
              <w:wordWrap/>
              <w:overflowPunct/>
              <w:topLinePunct w:val="0"/>
              <w:autoSpaceDE/>
              <w:autoSpaceDN/>
              <w:bidi w:val="0"/>
              <w:adjustRightInd/>
              <w:snapToGrid/>
              <w:spacing w:line="320" w:lineRule="exact"/>
              <w:ind w:leftChars="0" w:right="0" w:rightChars="0"/>
              <w:jc w:val="both"/>
              <w:outlineLvl w:val="9"/>
              <w:rPr>
                <w:rFonts w:ascii="Times New Roman" w:hAnsi="Times New Roman" w:cs="Times New Roma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，系初次违法；</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b w:val="0"/>
                <w:bCs/>
                <w:color w:val="auto"/>
                <w:kern w:val="2"/>
                <w:sz w:val="21"/>
                <w:szCs w:val="21"/>
                <w:highlight w:val="none"/>
                <w:u w:val="none" w:color="auto"/>
                <w:lang w:val="en-US" w:eastAsia="zh-CN" w:bidi="ar-SA"/>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kern w:val="2"/>
                <w:sz w:val="21"/>
                <w:szCs w:val="21"/>
                <w:highlight w:val="none"/>
                <w:u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rPr>
              <w:t>生产经营单位未将事故风险的性质、影响范围和应急防范措施告知周边单位和人员</w:t>
            </w:r>
            <w:r>
              <w:rPr>
                <w:rFonts w:hint="eastAsia" w:ascii="仿宋_GB2312" w:hAnsi="仿宋_GB2312" w:cs="仿宋_GB2312"/>
                <w:i w:val="0"/>
                <w:iCs w:val="0"/>
                <w:color w:val="auto"/>
                <w:kern w:val="0"/>
                <w:sz w:val="21"/>
                <w:szCs w:val="21"/>
                <w:highlight w:val="none"/>
                <w:u w:val="none"/>
                <w:lang w:val="en-US" w:eastAsia="zh-CN"/>
              </w:rPr>
              <w:t>的</w:t>
            </w:r>
            <w:r>
              <w:rPr>
                <w:rFonts w:hint="eastAsia" w:ascii="仿宋_GB2312" w:hAnsi="仿宋_GB2312" w:cs="仿宋_GB2312"/>
                <w:color w:val="auto"/>
                <w:sz w:val="21"/>
                <w:szCs w:val="21"/>
                <w:highlight w:val="none"/>
                <w:lang w:val="en-US" w:eastAsia="zh-CN"/>
              </w:rPr>
              <w:t>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《生产安全事故应急预案管理办法》第四十五条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生产经营单位有下列情形之一的，由县级以上人民政府应急管理部门责令限期改正，可以处1万元以上3万元以下罚款：（三）事故风险可能影响周边单位、人员的，未将事故风险的性质、影响范围和应急防范措施告知周边单位和人员的</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，系初次违法；</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cs="仿宋_GB2312"/>
                <w:color w:val="auto"/>
                <w:sz w:val="21"/>
                <w:szCs w:val="21"/>
                <w:highlight w:val="none"/>
                <w:lang w:val="en-US" w:eastAsia="zh-CN"/>
              </w:rPr>
              <w:t>2.违法行为轻微并及时改正</w:t>
            </w:r>
            <w:r>
              <w:rPr>
                <w:rFonts w:hint="eastAsia" w:ascii="仿宋_GB2312" w:hAnsi="仿宋_GB2312" w:eastAsia="仿宋_GB2312" w:cs="仿宋_GB2312"/>
                <w:color w:val="auto"/>
                <w:sz w:val="21"/>
                <w:szCs w:val="21"/>
                <w:highlight w:val="none"/>
                <w:lang w:val="en-US" w:eastAsia="zh-CN"/>
              </w:rPr>
              <w:t>，没有造成危害后果</w:t>
            </w:r>
            <w:r>
              <w:rPr>
                <w:rFonts w:hint="eastAsia" w:ascii="仿宋_GB2312" w:hAnsi="仿宋_GB2312" w:cs="仿宋_GB2312"/>
                <w:color w:val="auto"/>
                <w:sz w:val="21"/>
                <w:szCs w:val="21"/>
                <w:highlight w:val="none"/>
                <w:lang w:val="en-US" w:eastAsia="zh-CN"/>
              </w:rPr>
              <w:t>的。</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cs="仿宋_GB2312"/>
                <w:color w:val="auto"/>
                <w:sz w:val="21"/>
                <w:szCs w:val="21"/>
                <w:highlight w:val="none"/>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rPr>
              <w:t>生产经营单位未落实应急预案规定的应急物资及装备</w:t>
            </w:r>
            <w:r>
              <w:rPr>
                <w:rFonts w:hint="eastAsia" w:ascii="仿宋_GB2312" w:hAnsi="仿宋_GB2312" w:cs="仿宋_GB2312"/>
                <w:i w:val="0"/>
                <w:iCs w:val="0"/>
                <w:color w:val="auto"/>
                <w:kern w:val="0"/>
                <w:sz w:val="21"/>
                <w:szCs w:val="21"/>
                <w:highlight w:val="none"/>
                <w:u w:val="none"/>
                <w:lang w:val="en-US" w:eastAsia="zh-CN"/>
              </w:rPr>
              <w:t>的</w:t>
            </w:r>
            <w:r>
              <w:rPr>
                <w:rFonts w:hint="eastAsia" w:ascii="仿宋_GB2312" w:hAnsi="仿宋_GB2312" w:cs="仿宋_GB2312"/>
                <w:color w:val="auto"/>
                <w:sz w:val="21"/>
                <w:szCs w:val="21"/>
                <w:highlight w:val="none"/>
                <w:lang w:val="en-US" w:eastAsia="zh-CN"/>
              </w:rPr>
              <w:t>处罚</w:t>
            </w:r>
            <w:r>
              <w:rPr>
                <w:rFonts w:hint="eastAsia" w:ascii="仿宋_GB2312" w:hAnsi="仿宋_GB2312" w:eastAsia="仿宋_GB2312" w:cs="仿宋_GB2312"/>
                <w:i w:val="0"/>
                <w:iCs w:val="0"/>
                <w:color w:val="auto"/>
                <w:kern w:val="0"/>
                <w:sz w:val="21"/>
                <w:szCs w:val="21"/>
                <w:highlight w:val="none"/>
                <w:u w:val="none"/>
                <w:lang w:val="en-US" w:eastAsia="zh-CN"/>
              </w:rPr>
              <w:t xml:space="preserve"> </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1.《生产安全事故应急预案管理办法》第四十五条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生产经营单位有下列情形之一的，由县级以上人民政府应急管理部门责令限期改正，可以处1万元以上3万元以下罚款：（六）未落实应急预案规定的应急物资及装备的</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，系初次违法；</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4</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安全评价检测检验机构未依法与委托方签订技术服务合同</w:t>
            </w:r>
            <w:r>
              <w:rPr>
                <w:rFonts w:hint="eastAsia" w:ascii="仿宋_GB2312" w:hAnsi="仿宋_GB2312" w:cs="仿宋_GB2312"/>
                <w:color w:val="auto"/>
                <w:sz w:val="21"/>
                <w:szCs w:val="21"/>
                <w:highlight w:val="none"/>
                <w:lang w:val="en-US" w:eastAsia="zh-CN"/>
              </w:rPr>
              <w:t>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《安全评价检测检验机构管理办法》第三十条第一项</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left"/>
              <w:outlineLvl w:val="9"/>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1.初次违法；</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仿宋_GB2312" w:hAnsi="仿宋_GB2312" w:eastAsia="仿宋_GB2312" w:cs="仿宋_GB2312"/>
                <w:color w:val="auto"/>
                <w:kern w:val="2"/>
                <w:sz w:val="21"/>
                <w:szCs w:val="21"/>
                <w:highlight w:val="none"/>
                <w:lang w:val="en-US" w:eastAsia="zh-CN" w:bidi="ar-SA"/>
              </w:rPr>
            </w:pP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安全评价检测检验机构名称、注册地址、实验室条件、法定代表人、专职技术负责人、授权签字人发生变化之日起三十日内未向原资质认可机关提出变更申请</w:t>
            </w:r>
            <w:r>
              <w:rPr>
                <w:rFonts w:hint="eastAsia" w:ascii="仿宋_GB2312" w:hAnsi="仿宋_GB2312" w:cs="仿宋_GB2312"/>
                <w:color w:val="auto"/>
                <w:sz w:val="21"/>
                <w:szCs w:val="21"/>
                <w:highlight w:val="none"/>
                <w:lang w:val="en-US" w:eastAsia="zh-CN"/>
              </w:rPr>
              <w:t>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评价检测检验机构管理办法》第三十条第五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left"/>
              <w:outlineLvl w:val="9"/>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1.逾期未申请变更，系初次违法；</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非煤矿矿山企业单位名称、主要负责人、单位地址、经济类型</w:t>
            </w:r>
            <w:r>
              <w:rPr>
                <w:rFonts w:hint="eastAsia" w:ascii="仿宋_GB2312" w:hAnsi="仿宋_GB2312" w:cs="仿宋_GB2312"/>
                <w:color w:val="auto"/>
                <w:sz w:val="21"/>
                <w:szCs w:val="21"/>
                <w:highlight w:val="none"/>
                <w:lang w:val="en-US" w:eastAsia="zh-CN"/>
              </w:rPr>
              <w:t>、许可范围</w:t>
            </w:r>
            <w:r>
              <w:rPr>
                <w:rFonts w:hint="eastAsia" w:ascii="仿宋_GB2312" w:hAnsi="仿宋_GB2312" w:eastAsia="仿宋_GB2312" w:cs="仿宋_GB2312"/>
                <w:color w:val="auto"/>
                <w:sz w:val="21"/>
                <w:szCs w:val="21"/>
                <w:highlight w:val="none"/>
                <w:lang w:val="en-US" w:eastAsia="zh-CN"/>
              </w:rPr>
              <w:t>发生变更，未按照规定申请、办理变更安全生产许可证</w:t>
            </w:r>
            <w:r>
              <w:rPr>
                <w:rFonts w:hint="eastAsia" w:ascii="仿宋_GB2312" w:hAnsi="仿宋_GB2312" w:cs="仿宋_GB2312"/>
                <w:color w:val="auto"/>
                <w:sz w:val="21"/>
                <w:szCs w:val="21"/>
                <w:highlight w:val="none"/>
                <w:lang w:val="en-US" w:eastAsia="zh-CN"/>
              </w:rPr>
              <w:t>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《非煤矿矿山企业安全生产许可证实施办法》第二十一条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非煤矿矿山企业在安全生产许可证有效期内有下列情形之一的，应当自工商营业执照变更之日起30个工作日内向原安全生产许可证颁发管理机关申请变更安全生产许可证</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第四十四条第一款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非煤矿矿山企业在安全生产许可证有效期内，出现需要变更安全生产许可证的情形，未按本实施办法第二十一条的规定申请、办理变更手续的，责令限期办理变更手续，并处1万元以上3万元以下罚款</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，逾期未申请变更，系初次违法；</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b w:val="0"/>
                <w:bCs/>
                <w:color w:val="auto"/>
                <w:kern w:val="2"/>
                <w:sz w:val="21"/>
                <w:szCs w:val="21"/>
                <w:highlight w:val="none"/>
                <w:u w:val="none" w:color="auto"/>
                <w:lang w:val="en-US" w:eastAsia="zh-CN" w:bidi="ar-SA"/>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危险化学品生产企业在安全生产许可证有效期内主要负责人、企业名称、注册地址、隶属关系发生变更或者新增产品、改变工艺技术对企业安全生产产生重大影响</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未按照规定的时限提出安全生产许可证变更申请</w:t>
            </w:r>
            <w:r>
              <w:rPr>
                <w:rFonts w:hint="eastAsia" w:ascii="仿宋_GB2312" w:hAnsi="仿宋_GB2312" w:cs="仿宋_GB2312"/>
                <w:color w:val="auto"/>
                <w:sz w:val="21"/>
                <w:szCs w:val="21"/>
                <w:highlight w:val="none"/>
                <w:lang w:val="en-US" w:eastAsia="zh-CN"/>
              </w:rPr>
              <w:t>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《危险化学品生产企业安全生产许可证实施办法》第三十条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企业在安全生产许可证有效期内变更主要负责人、企业名称或者注册地址的，应当自工商营业执照或者隶属关系变更之日起10个工作日内向实施机关提出变更申请</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第四十七条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，逾期未申请变更，系初次违法；</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bidi="ar-SA"/>
              </w:rPr>
            </w:pP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default"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危险化学品经营企业</w:t>
            </w:r>
            <w:r>
              <w:rPr>
                <w:rFonts w:hint="eastAsia" w:ascii="仿宋_GB2312" w:hAnsi="仿宋_GB2312" w:eastAsia="仿宋_GB2312" w:cs="仿宋_GB2312"/>
                <w:color w:val="auto"/>
                <w:sz w:val="21"/>
                <w:szCs w:val="21"/>
                <w:highlight w:val="none"/>
                <w:lang w:val="en-US" w:eastAsia="zh-CN"/>
              </w:rPr>
              <w:t>变更企业名称、主要负责人、注册地址或者危险化学品储存设施及其监控措施的，</w:t>
            </w:r>
            <w:r>
              <w:rPr>
                <w:rFonts w:hint="eastAsia" w:ascii="仿宋_GB2312" w:hAnsi="仿宋_GB2312" w:cs="仿宋_GB2312"/>
                <w:color w:val="auto"/>
                <w:sz w:val="21"/>
                <w:szCs w:val="21"/>
                <w:highlight w:val="none"/>
                <w:lang w:val="en-US" w:eastAsia="zh-CN"/>
              </w:rPr>
              <w:t>未按照规定的时限提</w:t>
            </w:r>
            <w:r>
              <w:rPr>
                <w:rFonts w:hint="eastAsia" w:ascii="仿宋_GB2312" w:hAnsi="仿宋_GB2312" w:eastAsia="仿宋_GB2312" w:cs="仿宋_GB2312"/>
                <w:color w:val="auto"/>
                <w:sz w:val="21"/>
                <w:szCs w:val="21"/>
                <w:highlight w:val="none"/>
                <w:lang w:val="en-US" w:eastAsia="zh-CN"/>
              </w:rPr>
              <w:t>出</w:t>
            </w:r>
            <w:r>
              <w:rPr>
                <w:rFonts w:hint="eastAsia" w:ascii="仿宋_GB2312" w:hAnsi="仿宋_GB2312" w:cs="仿宋_GB2312"/>
                <w:color w:val="auto"/>
                <w:sz w:val="21"/>
                <w:szCs w:val="21"/>
                <w:highlight w:val="none"/>
                <w:lang w:val="en-US" w:eastAsia="zh-CN"/>
              </w:rPr>
              <w:t>经营许可证变更申请的处罚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危险化学品经营许可证管理办法</w:t>
            </w:r>
            <w:r>
              <w:rPr>
                <w:rFonts w:hint="eastAsia" w:ascii="仿宋_GB2312" w:hAnsi="仿宋_GB2312" w:cs="仿宋_GB2312"/>
                <w:color w:val="auto"/>
                <w:sz w:val="21"/>
                <w:szCs w:val="21"/>
                <w:highlight w:val="none"/>
                <w:lang w:val="en-US" w:eastAsia="zh-CN"/>
              </w:rPr>
              <w:t>》第十四条“</w:t>
            </w:r>
            <w:r>
              <w:rPr>
                <w:rFonts w:hint="eastAsia" w:ascii="仿宋_GB2312" w:hAnsi="仿宋_GB2312" w:eastAsia="仿宋_GB2312" w:cs="仿宋_GB2312"/>
                <w:color w:val="auto"/>
                <w:sz w:val="21"/>
                <w:szCs w:val="21"/>
                <w:highlight w:val="none"/>
                <w:lang w:val="en-US" w:eastAsia="zh-CN"/>
              </w:rPr>
              <w:t>已经取得经营许可证的企业变更企业名称、主要负责人、注册地址或者危险化学品储存设施及其监控措施的，应当自变更之日起20个工作日内，向本办法第五条规定的发证机关提出书面变更申请</w:t>
            </w:r>
            <w:r>
              <w:rPr>
                <w:rFonts w:hint="eastAsia" w:ascii="仿宋_GB2312" w:hAnsi="仿宋_GB2312" w:cs="仿宋_GB2312"/>
                <w:color w:val="auto"/>
                <w:sz w:val="21"/>
                <w:szCs w:val="21"/>
                <w:highlight w:val="none"/>
                <w:lang w:val="en-US" w:eastAsia="zh-CN"/>
              </w:rPr>
              <w:t>”；第十六条“企业有新建、改建、扩建危险化学品储存设施建设项目的，应当自建设项目安全设施竣工验收合格之日起20个工作日内，向本办法第五条规定的发证机关提出变更申请”；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，逾期未申请变更，系初次违法；</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kern w:val="2"/>
                <w:sz w:val="21"/>
                <w:szCs w:val="21"/>
                <w:highlight w:val="none"/>
                <w:lang w:val="en-US" w:eastAsia="zh-CN" w:bidi="ar-SA"/>
              </w:rPr>
            </w:pP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7"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烟花爆竹生产企业变更企业名称、主要负责人</w:t>
            </w:r>
            <w:r>
              <w:rPr>
                <w:rFonts w:hint="eastAsia" w:ascii="仿宋_GB2312" w:hAnsi="仿宋_GB2312" w:cs="仿宋_GB2312"/>
                <w:color w:val="auto"/>
                <w:sz w:val="21"/>
                <w:szCs w:val="21"/>
                <w:highlight w:val="none"/>
                <w:lang w:val="en-US" w:eastAsia="zh-CN"/>
              </w:rPr>
              <w:t>或名称</w:t>
            </w:r>
            <w:r>
              <w:rPr>
                <w:rFonts w:hint="eastAsia" w:ascii="仿宋_GB2312" w:hAnsi="仿宋_GB2312" w:eastAsia="仿宋_GB2312" w:cs="仿宋_GB2312"/>
                <w:color w:val="auto"/>
                <w:sz w:val="21"/>
                <w:szCs w:val="21"/>
                <w:highlight w:val="none"/>
                <w:lang w:val="en-US" w:eastAsia="zh-CN"/>
              </w:rPr>
              <w:t>，未按照规定办理变更手续的</w:t>
            </w:r>
            <w:r>
              <w:rPr>
                <w:rFonts w:hint="eastAsia" w:ascii="仿宋_GB2312" w:hAnsi="仿宋_GB2312" w:cs="仿宋_GB2312"/>
                <w:color w:val="auto"/>
                <w:sz w:val="21"/>
                <w:szCs w:val="21"/>
                <w:highlight w:val="none"/>
                <w:lang w:val="en-US" w:eastAsia="zh-CN"/>
              </w:rPr>
              <w:t>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《烟花爆竹生产企业安全生产许可证实施办法》第二十七条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企业在安全生产许可证有效期内有下列情形之一的，应当按照本办法第二十八条的规定申请变更安全生产许可证</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（三）变更企业主要负责人的</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（四）变更企业名称的</w:t>
            </w:r>
            <w:r>
              <w:rPr>
                <w:rFonts w:hint="eastAsia" w:ascii="仿宋_GB2312" w:hAnsi="仿宋_GB2312" w:cs="仿宋_GB2312"/>
                <w:color w:val="auto"/>
                <w:sz w:val="21"/>
                <w:szCs w:val="21"/>
                <w:highlight w:val="none"/>
                <w:lang w:val="en-US" w:eastAsia="zh-CN"/>
              </w:rPr>
              <w:t>”；第四十三条“</w:t>
            </w:r>
            <w:r>
              <w:rPr>
                <w:rFonts w:hint="eastAsia" w:ascii="仿宋_GB2312" w:hAnsi="仿宋_GB2312" w:eastAsia="仿宋_GB2312" w:cs="仿宋_GB2312"/>
                <w:color w:val="auto"/>
                <w:sz w:val="21"/>
                <w:szCs w:val="21"/>
                <w:highlight w:val="none"/>
                <w:lang w:val="en-US" w:eastAsia="zh-CN"/>
              </w:rPr>
              <w:t>企业有本办法第二十七条第四项情形申请变更的，应当自取得变更后的工商营业执照或者企业名称工商预先核准文件之日起10个工作日内</w:t>
            </w:r>
            <w:r>
              <w:rPr>
                <w:rFonts w:hint="eastAsia" w:ascii="仿宋_GB2312" w:hAnsi="仿宋_GB2312" w:cs="仿宋_GB2312"/>
                <w:color w:val="auto"/>
                <w:sz w:val="21"/>
                <w:szCs w:val="21"/>
                <w:highlight w:val="none"/>
                <w:lang w:val="en-US" w:eastAsia="zh-CN"/>
              </w:rPr>
              <w:t>，，向所在地发证机关提交安全生产许可证变更申请书”</w:t>
            </w:r>
            <w:r>
              <w:rPr>
                <w:rFonts w:hint="eastAsia" w:ascii="仿宋_GB2312" w:hAnsi="仿宋_GB2312" w:eastAsia="仿宋_GB2312" w:cs="仿宋_GB2312"/>
                <w:color w:val="auto"/>
                <w:sz w:val="21"/>
                <w:szCs w:val="21"/>
                <w:highlight w:val="none"/>
                <w:lang w:val="en-US" w:eastAsia="zh-CN"/>
              </w:rPr>
              <w:t>第四十三条第一项</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企业有下列行为之一的，责令停止违法活动或者限期改正，并处1万元以上3万元以下的罚款：（一）变更企业主要负责人或者名称，未办理安全生产许可证变更手续的</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，逾期未申请变更，系初次违法；</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bidi="ar-SA"/>
              </w:rPr>
            </w:pP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default"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化学品生产、进口单位未按照《化学品物理危险性鉴定与分类管理办法》规定建立化学品物理危险性鉴定与分类管理档案</w:t>
            </w:r>
            <w:r>
              <w:rPr>
                <w:rFonts w:hint="eastAsia" w:ascii="仿宋_GB2312" w:hAnsi="仿宋_GB2312" w:cs="仿宋_GB2312"/>
                <w:color w:val="auto"/>
                <w:sz w:val="21"/>
                <w:szCs w:val="21"/>
                <w:highlight w:val="none"/>
                <w:lang w:val="en-US" w:eastAsia="zh-CN"/>
              </w:rPr>
              <w:t>的处罚</w:t>
            </w:r>
          </w:p>
        </w:tc>
        <w:tc>
          <w:tcPr>
            <w:tcW w:w="4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《化学品物理危险性鉴定与分类管理办法》第十九条</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化学品单位有下列情形之一的，由安全生产监督管理部门责令限期改正，可以处1万元以下的罚款；拒不改正的，处1万元以上3万元以下的罚款： （二）未按照本办法规定建立化学品物理危险性鉴定与分类管理档案的</w:t>
            </w:r>
            <w:r>
              <w:rPr>
                <w:rFonts w:hint="eastAsia" w:ascii="仿宋_GB2312" w:hAnsi="仿宋_GB2312" w:cs="仿宋_GB2312"/>
                <w:color w:val="auto"/>
                <w:sz w:val="21"/>
                <w:szCs w:val="21"/>
                <w:highlight w:val="none"/>
                <w:lang w:val="en-US" w:eastAsia="zh-CN"/>
              </w:rPr>
              <w:t>”</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三年</w:t>
            </w:r>
            <w:r>
              <w:rPr>
                <w:rFonts w:hint="eastAsia" w:ascii="仿宋_GB2312" w:hAnsi="仿宋_GB2312" w:cs="仿宋_GB2312"/>
                <w:color w:val="auto"/>
                <w:sz w:val="21"/>
                <w:szCs w:val="21"/>
                <w:highlight w:val="none"/>
                <w:lang w:val="en-US" w:eastAsia="zh-CN"/>
              </w:rPr>
              <w:t>内</w:t>
            </w:r>
            <w:r>
              <w:rPr>
                <w:rFonts w:hint="eastAsia" w:ascii="仿宋_GB2312" w:hAnsi="仿宋_GB2312" w:eastAsia="仿宋_GB2312" w:cs="仿宋_GB2312"/>
                <w:color w:val="auto"/>
                <w:sz w:val="21"/>
                <w:szCs w:val="21"/>
                <w:highlight w:val="none"/>
                <w:lang w:val="en-US" w:eastAsia="zh-CN"/>
              </w:rPr>
              <w:t>未发生</w:t>
            </w:r>
            <w:r>
              <w:rPr>
                <w:rFonts w:hint="eastAsia" w:ascii="仿宋_GB2312" w:hAnsi="仿宋_GB2312" w:cs="仿宋_GB2312"/>
                <w:color w:val="auto"/>
                <w:sz w:val="21"/>
                <w:szCs w:val="21"/>
                <w:highlight w:val="none"/>
                <w:lang w:val="en-US" w:eastAsia="zh-CN"/>
              </w:rPr>
              <w:t>安全生产责任</w:t>
            </w:r>
            <w:r>
              <w:rPr>
                <w:rFonts w:hint="eastAsia" w:ascii="仿宋_GB2312" w:hAnsi="仿宋_GB2312" w:eastAsia="仿宋_GB2312" w:cs="仿宋_GB2312"/>
                <w:color w:val="auto"/>
                <w:sz w:val="21"/>
                <w:szCs w:val="21"/>
                <w:highlight w:val="none"/>
                <w:lang w:val="en-US" w:eastAsia="zh-CN"/>
              </w:rPr>
              <w:t>事故</w:t>
            </w:r>
            <w:r>
              <w:rPr>
                <w:rFonts w:hint="eastAsia" w:ascii="仿宋_GB2312" w:hAnsi="仿宋_GB2312" w:cs="仿宋_GB2312"/>
                <w:color w:val="auto"/>
                <w:sz w:val="21"/>
                <w:szCs w:val="21"/>
                <w:highlight w:val="none"/>
                <w:lang w:val="en-US" w:eastAsia="zh-CN"/>
              </w:rPr>
              <w:t>，系初次违法；</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r>
              <w:rPr>
                <w:rFonts w:hint="eastAsia" w:ascii="仿宋_GB2312" w:hAnsi="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违法行为轻微并</w:t>
            </w:r>
            <w:r>
              <w:rPr>
                <w:rFonts w:hint="eastAsia" w:ascii="仿宋_GB2312" w:hAnsi="仿宋_GB2312" w:cs="仿宋_GB2312"/>
                <w:color w:val="auto"/>
                <w:sz w:val="21"/>
                <w:szCs w:val="21"/>
                <w:highlight w:val="none"/>
                <w:lang w:val="en-US" w:eastAsia="zh-CN"/>
              </w:rPr>
              <w:t>及时</w:t>
            </w:r>
            <w:r>
              <w:rPr>
                <w:rFonts w:hint="eastAsia" w:ascii="仿宋_GB2312" w:hAnsi="仿宋_GB2312" w:eastAsia="仿宋_GB2312" w:cs="仿宋_GB2312"/>
                <w:color w:val="auto"/>
                <w:sz w:val="21"/>
                <w:szCs w:val="21"/>
                <w:highlight w:val="none"/>
                <w:lang w:val="en-US" w:eastAsia="zh-CN"/>
              </w:rPr>
              <w:t>改正，没有造成危害后果</w:t>
            </w:r>
            <w:r>
              <w:rPr>
                <w:rFonts w:hint="eastAsia" w:ascii="仿宋_GB2312" w:hAnsi="仿宋_GB2312" w:cs="仿宋_GB2312"/>
                <w:color w:val="auto"/>
                <w:sz w:val="21"/>
                <w:szCs w:val="21"/>
                <w:highlight w:val="none"/>
                <w:lang w:val="en-US" w:eastAsia="zh-CN"/>
              </w:rPr>
              <w:t>的。</w:t>
            </w:r>
          </w:p>
          <w:p>
            <w:pPr>
              <w:keepNext w:val="0"/>
              <w:keepLines w:val="0"/>
              <w:pageBreakBefore w:val="0"/>
              <w:kinsoku/>
              <w:wordWrap/>
              <w:overflowPunct/>
              <w:topLinePunct w:val="0"/>
              <w:autoSpaceDE/>
              <w:autoSpaceDN/>
              <w:bidi w:val="0"/>
              <w:adjustRightInd/>
              <w:snapToGrid/>
              <w:spacing w:line="320" w:lineRule="exact"/>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highlight w:val="none"/>
                <w:lang w:val="en-US" w:eastAsia="zh-CN" w:bidi="ar-SA"/>
              </w:rPr>
            </w:pP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cs="仿宋_GB2312"/>
                <w:color w:val="auto"/>
                <w:sz w:val="21"/>
                <w:szCs w:val="21"/>
                <w:highlight w:val="none"/>
                <w:lang w:val="en-US" w:eastAsia="zh-CN"/>
              </w:rPr>
              <w:t>中华人民共和国</w:t>
            </w:r>
            <w:r>
              <w:rPr>
                <w:rFonts w:hint="eastAsia" w:ascii="仿宋_GB2312" w:hAnsi="仿宋_GB2312" w:eastAsia="仿宋_GB2312" w:cs="仿宋_GB2312"/>
                <w:color w:val="auto"/>
                <w:sz w:val="21"/>
                <w:szCs w:val="21"/>
                <w:highlight w:val="none"/>
                <w:lang w:val="en-US" w:eastAsia="zh-CN"/>
              </w:rPr>
              <w:t>行政处罚法》第三十三条第一款、第三款</w:t>
            </w:r>
            <w:r>
              <w:rPr>
                <w:rFonts w:hint="eastAsia" w:ascii="仿宋_GB2312" w:hAnsi="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违法行为轻微并及时改正，没有造成危害后果的，不予行政处罚。初次违法且危害后果轻微并及时改正的，可以不予行政处罚。</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对当事人的违法行为依法不予行政处罚的，行政机关应当对当事人进行教育。</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2.责令限期改正，并及时复查</w:t>
            </w:r>
            <w:r>
              <w:rPr>
                <w:rFonts w:hint="eastAsia" w:ascii="仿宋_GB2312" w:hAnsi="仿宋_GB2312" w:cs="仿宋_GB2312"/>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3.加强日常监督管理。</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黑体" w:cs="Times New Roman"/>
          <w:color w:val="auto"/>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84AD5"/>
    <w:rsid w:val="02D50C5B"/>
    <w:rsid w:val="058065CB"/>
    <w:rsid w:val="068841D5"/>
    <w:rsid w:val="06B11277"/>
    <w:rsid w:val="06F533CB"/>
    <w:rsid w:val="11A733E2"/>
    <w:rsid w:val="13C913D1"/>
    <w:rsid w:val="19466A53"/>
    <w:rsid w:val="1E5C0C50"/>
    <w:rsid w:val="1FE5775F"/>
    <w:rsid w:val="20015069"/>
    <w:rsid w:val="22EA7510"/>
    <w:rsid w:val="25D47427"/>
    <w:rsid w:val="2A134A0D"/>
    <w:rsid w:val="31576ECD"/>
    <w:rsid w:val="328645F2"/>
    <w:rsid w:val="338903E6"/>
    <w:rsid w:val="362A5861"/>
    <w:rsid w:val="37E14C98"/>
    <w:rsid w:val="3B28253A"/>
    <w:rsid w:val="3E7C0923"/>
    <w:rsid w:val="41A451D7"/>
    <w:rsid w:val="42F40D8E"/>
    <w:rsid w:val="460375D5"/>
    <w:rsid w:val="47E573C8"/>
    <w:rsid w:val="48A626AF"/>
    <w:rsid w:val="49270A98"/>
    <w:rsid w:val="4990670B"/>
    <w:rsid w:val="4B6A2202"/>
    <w:rsid w:val="4D7938FE"/>
    <w:rsid w:val="4F660AB8"/>
    <w:rsid w:val="54176279"/>
    <w:rsid w:val="5CB707A4"/>
    <w:rsid w:val="5FD763ED"/>
    <w:rsid w:val="635C7466"/>
    <w:rsid w:val="65877F62"/>
    <w:rsid w:val="65EB7093"/>
    <w:rsid w:val="683C5BCE"/>
    <w:rsid w:val="702931E8"/>
    <w:rsid w:val="71667B8A"/>
    <w:rsid w:val="71D3687B"/>
    <w:rsid w:val="74784AD5"/>
    <w:rsid w:val="7A350BB3"/>
    <w:rsid w:val="7D675349"/>
    <w:rsid w:val="7FAA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line="240" w:lineRule="atLeast"/>
      <w:ind w:left="420" w:leftChars="200"/>
    </w:pPr>
    <w:rPr>
      <w:rFonts w:ascii="Calibri" w:hAnsi="Calibri" w:eastAsia="宋体" w:cs="Times New Roman"/>
      <w:spacing w:val="-6"/>
      <w:szCs w:val="20"/>
    </w:rPr>
  </w:style>
  <w:style w:type="paragraph" w:styleId="4">
    <w:name w:val="Normal Indent"/>
    <w:basedOn w:val="1"/>
    <w:qFormat/>
    <w:uiPriority w:val="0"/>
    <w:pPr>
      <w:spacing w:line="240" w:lineRule="atLeast"/>
      <w:ind w:firstLine="420" w:firstLineChars="200"/>
    </w:pPr>
    <w:rPr>
      <w:rFonts w:ascii="Calibri" w:hAnsi="Calibri" w:eastAsia="仿宋" w:cs="Times New Roman"/>
      <w:spacing w:val="-6"/>
      <w:sz w:val="32"/>
      <w:szCs w:val="20"/>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2022-10-21T03:25:00Z</dcterms:created>
  <dc:creator>张雯</dc:creator>
  <cp:lastModifiedBy>张雯</cp:lastModifiedBy>
  <dcterms:modified xsi:type="dcterms:W3CDTF">2022-10-21T03:26:16Z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