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从轻行政处罚事项清单（试行）</w:t>
      </w:r>
    </w:p>
    <w:tbl>
      <w:tblPr>
        <w:tblStyle w:val="5"/>
        <w:tblW w:w="14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2"/>
        <w:gridCol w:w="1777"/>
        <w:gridCol w:w="5052"/>
        <w:gridCol w:w="2196"/>
        <w:gridCol w:w="3480"/>
        <w:gridCol w:w="1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21"/>
                <w:szCs w:val="21"/>
                <w:u w:val="none"/>
                <w:lang w:val="en-US" w:eastAsia="zh-CN"/>
              </w:rPr>
            </w:pPr>
            <w:r>
              <w:rPr>
                <w:rFonts w:hint="eastAsia" w:ascii="黑体" w:hAnsi="黑体" w:eastAsia="黑体" w:cs="黑体"/>
                <w:b w:val="0"/>
                <w:bCs/>
                <w:i w:val="0"/>
                <w:color w:val="auto"/>
                <w:kern w:val="0"/>
                <w:sz w:val="21"/>
                <w:szCs w:val="21"/>
                <w:u w:val="none"/>
                <w:lang w:val="en-US" w:eastAsia="zh-CN"/>
              </w:rPr>
              <w:t>序</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号</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行政处罚事项</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设定法律依据</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kern w:val="2"/>
                <w:sz w:val="21"/>
                <w:szCs w:val="21"/>
                <w:u w:val="none"/>
                <w:lang w:val="en-US" w:eastAsia="zh-CN" w:bidi="ar-SA"/>
              </w:rPr>
            </w:pPr>
            <w:r>
              <w:rPr>
                <w:rFonts w:hint="eastAsia" w:ascii="黑体" w:hAnsi="黑体" w:eastAsia="黑体" w:cs="黑体"/>
                <w:b w:val="0"/>
                <w:bCs/>
                <w:i w:val="0"/>
                <w:color w:val="auto"/>
                <w:kern w:val="0"/>
                <w:sz w:val="21"/>
                <w:szCs w:val="21"/>
                <w:u w:val="none"/>
                <w:lang w:val="en-US" w:eastAsia="zh-CN"/>
              </w:rPr>
              <w:t>适用情形</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kern w:val="0"/>
                <w:sz w:val="21"/>
                <w:szCs w:val="21"/>
                <w:u w:val="none"/>
                <w:lang w:val="en-US" w:eastAsia="zh-CN"/>
              </w:rPr>
            </w:pPr>
            <w:r>
              <w:rPr>
                <w:rFonts w:hint="eastAsia" w:ascii="黑体" w:hAnsi="黑体" w:eastAsia="黑体" w:cs="黑体"/>
                <w:b w:val="0"/>
                <w:bCs/>
                <w:i w:val="0"/>
                <w:color w:val="auto"/>
                <w:kern w:val="0"/>
                <w:sz w:val="21"/>
                <w:szCs w:val="21"/>
                <w:u w:val="none"/>
                <w:lang w:val="en-US" w:eastAsia="zh-CN"/>
              </w:rPr>
              <w:t>从轻处罚法律依据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i w:val="0"/>
                <w:color w:val="auto"/>
                <w:sz w:val="21"/>
                <w:szCs w:val="21"/>
                <w:u w:val="none"/>
              </w:rPr>
            </w:pPr>
            <w:r>
              <w:rPr>
                <w:rFonts w:hint="eastAsia" w:ascii="黑体" w:hAnsi="黑体" w:eastAsia="黑体" w:cs="黑体"/>
                <w:b w:val="0"/>
                <w:bCs/>
                <w:i w:val="0"/>
                <w:color w:val="auto"/>
                <w:kern w:val="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对生产经营单位未按照规定设置安全生产管理机构或者配备安全生产管理人员的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2"/>
                <w:sz w:val="21"/>
                <w:szCs w:val="21"/>
                <w:lang w:val="en-US" w:eastAsia="zh-CN"/>
              </w:rPr>
              <w:t>《中</w:t>
            </w:r>
            <w:r>
              <w:rPr>
                <w:rFonts w:hint="eastAsia" w:ascii="仿宋_GB2312" w:hAnsi="仿宋_GB2312" w:eastAsia="仿宋_GB2312" w:cs="仿宋_GB2312"/>
                <w:color w:val="auto"/>
                <w:sz w:val="21"/>
                <w:szCs w:val="21"/>
                <w:lang w:val="en-US" w:eastAsia="zh-CN"/>
              </w:rPr>
              <w:t>华人民共和国安全生产法》第九十七条第一项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w:t>
            </w:r>
            <w:r>
              <w:rPr>
                <w:rFonts w:hint="eastAsia" w:ascii="仿宋_GB2312" w:hAnsi="仿宋_GB2312" w:eastAsia="仿宋_GB2312" w:cs="仿宋_GB2312"/>
                <w:color w:val="auto"/>
                <w:sz w:val="21"/>
                <w:szCs w:val="21"/>
                <w:highlight w:val="none"/>
                <w:lang w:val="en-US" w:eastAsia="zh-CN"/>
              </w:rPr>
              <w:t>、注册安全工程师的；</w:t>
            </w:r>
            <w:r>
              <w:rPr>
                <w:rFonts w:hint="eastAsia" w:ascii="仿宋_GB2312" w:hAnsi="仿宋_GB2312" w:cs="仿宋_GB2312"/>
                <w:color w:val="auto"/>
                <w:sz w:val="21"/>
                <w:szCs w:val="21"/>
                <w:highlight w:val="none"/>
                <w:lang w:val="en-US" w:eastAsia="zh-CN"/>
              </w:rPr>
              <w:t>”</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eastAsia" w:ascii="仿宋_GB2312" w:hAnsi="仿宋_GB2312" w:eastAsia="仿宋_GB2312" w:cs="仿宋_GB2312"/>
                <w:color w:val="auto"/>
                <w:kern w:val="2"/>
                <w:sz w:val="21"/>
                <w:szCs w:val="21"/>
                <w:lang w:val="en-US" w:eastAsia="zh-CN"/>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ascii="Times New Roman" w:hAnsi="Times New Roman" w:cs="Times New Roman"/>
              </w:rPr>
            </w:pPr>
            <w:r>
              <w:rPr>
                <w:rFonts w:hint="eastAsia" w:ascii="仿宋_GB2312" w:hAnsi="仿宋_GB2312" w:cs="仿宋_GB2312"/>
                <w:color w:val="auto"/>
                <w:kern w:val="2"/>
                <w:sz w:val="21"/>
                <w:szCs w:val="21"/>
                <w:lang w:val="en-US" w:eastAsia="zh-CN" w:bidi="ar-SA"/>
              </w:rPr>
              <w:t>三年内未发生安全生产责任事故，</w:t>
            </w:r>
            <w:r>
              <w:rPr>
                <w:rFonts w:hint="eastAsia" w:ascii="仿宋_GB2312" w:hAnsi="仿宋_GB2312" w:eastAsia="仿宋_GB2312" w:cs="仿宋_GB2312"/>
                <w:color w:val="auto"/>
                <w:kern w:val="2"/>
                <w:sz w:val="21"/>
                <w:szCs w:val="21"/>
                <w:lang w:val="en-US" w:eastAsia="zh-CN" w:bidi="ar-SA"/>
              </w:rPr>
              <w:t>主动消除违法行为危害后果</w:t>
            </w:r>
            <w:r>
              <w:rPr>
                <w:rFonts w:hint="eastAsia" w:ascii="仿宋_GB2312" w:hAnsi="仿宋_GB2312" w:cs="仿宋_GB2312"/>
                <w:color w:val="auto"/>
                <w:kern w:val="2"/>
                <w:sz w:val="21"/>
                <w:szCs w:val="21"/>
                <w:lang w:val="en-US" w:eastAsia="zh-CN" w:bidi="ar-SA"/>
              </w:rPr>
              <w:t>，且在</w:t>
            </w:r>
            <w:r>
              <w:rPr>
                <w:rFonts w:hint="eastAsia" w:ascii="仿宋_GB2312" w:hAnsi="仿宋_GB2312" w:eastAsia="仿宋_GB2312" w:cs="仿宋_GB2312"/>
                <w:color w:val="auto"/>
                <w:kern w:val="2"/>
                <w:sz w:val="21"/>
                <w:szCs w:val="21"/>
                <w:lang w:val="en-US" w:eastAsia="zh-CN" w:bidi="ar-SA"/>
              </w:rPr>
              <w:t>限期内改正的。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仿宋_GB2312" w:hAnsi="仿宋_GB2312" w:eastAsia="仿宋_GB2312" w:cs="仿宋_GB2312"/>
                <w:color w:val="auto"/>
                <w:kern w:val="2"/>
                <w:sz w:val="21"/>
                <w:szCs w:val="21"/>
                <w:lang w:val="en-US" w:eastAsia="zh-CN" w:bidi="ar-SA"/>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2.责令限期改正，并及时复查</w:t>
            </w:r>
            <w:r>
              <w:rPr>
                <w:rFonts w:hint="eastAsia" w:ascii="仿宋_GB2312" w:hAnsi="仿宋_GB2312" w:cs="仿宋_GB2312"/>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right="0" w:right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2</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对生产经营单位未如实记录安全生产教育和培训情况的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w:t>
            </w:r>
            <w:r>
              <w:rPr>
                <w:rFonts w:hint="eastAsia" w:ascii="仿宋_GB2312" w:hAnsi="仿宋_GB2312" w:cs="仿宋_GB2312"/>
                <w:color w:val="auto"/>
                <w:sz w:val="21"/>
                <w:szCs w:val="21"/>
                <w:lang w:val="en-US" w:eastAsia="zh-CN"/>
              </w:rPr>
              <w:t>中华人民共和国</w:t>
            </w:r>
            <w:r>
              <w:rPr>
                <w:rFonts w:hint="eastAsia" w:ascii="仿宋_GB2312" w:hAnsi="仿宋_GB2312" w:eastAsia="仿宋_GB2312" w:cs="仿宋_GB2312"/>
                <w:color w:val="auto"/>
                <w:kern w:val="2"/>
                <w:sz w:val="21"/>
                <w:szCs w:val="21"/>
                <w:lang w:val="en-US" w:eastAsia="zh-CN"/>
              </w:rPr>
              <w:t>安全生产法》第九十七</w:t>
            </w:r>
            <w:r>
              <w:rPr>
                <w:rFonts w:hint="eastAsia" w:ascii="仿宋_GB2312" w:hAnsi="仿宋_GB2312" w:eastAsia="仿宋_GB2312" w:cs="仿宋_GB2312"/>
                <w:color w:val="auto"/>
                <w:sz w:val="21"/>
                <w:szCs w:val="21"/>
                <w:lang w:val="en-US" w:eastAsia="zh-CN"/>
              </w:rPr>
              <w:t>条第四项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（四）未如实记录安全生产教育和培训情况的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w:t>
            </w:r>
            <w:r>
              <w:rPr>
                <w:rFonts w:hint="eastAsia" w:ascii="仿宋_GB2312" w:hAnsi="仿宋_GB2312" w:eastAsia="仿宋_GB2312" w:cs="仿宋_GB2312"/>
                <w:color w:val="auto"/>
                <w:kern w:val="2"/>
                <w:sz w:val="21"/>
                <w:szCs w:val="21"/>
                <w:lang w:val="en-US" w:eastAsia="zh-CN" w:bidi="ar-SA"/>
              </w:rPr>
              <w:t>主动消除违法行为危害后果</w:t>
            </w:r>
            <w:r>
              <w:rPr>
                <w:rFonts w:hint="eastAsia" w:ascii="仿宋_GB2312" w:hAnsi="仿宋_GB2312" w:cs="仿宋_GB2312"/>
                <w:color w:val="auto"/>
                <w:kern w:val="2"/>
                <w:sz w:val="21"/>
                <w:szCs w:val="21"/>
                <w:lang w:val="en-US" w:eastAsia="zh-CN" w:bidi="ar-SA"/>
              </w:rPr>
              <w:t>，且在</w:t>
            </w:r>
            <w:r>
              <w:rPr>
                <w:rFonts w:hint="eastAsia" w:ascii="仿宋_GB2312" w:hAnsi="仿宋_GB2312" w:eastAsia="仿宋_GB2312" w:cs="仿宋_GB2312"/>
                <w:color w:val="auto"/>
                <w:kern w:val="2"/>
                <w:sz w:val="21"/>
                <w:szCs w:val="21"/>
                <w:lang w:val="en-US" w:eastAsia="zh-CN" w:bidi="ar-SA"/>
              </w:rPr>
              <w:t>限期内改正的。</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3</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对生产经营单位未按照规定制定生产安全事故应急救援预案或者未定期组织演练的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w:t>
            </w:r>
            <w:r>
              <w:rPr>
                <w:rFonts w:hint="eastAsia" w:ascii="仿宋_GB2312" w:hAnsi="仿宋_GB2312" w:eastAsia="仿宋_GB2312" w:cs="仿宋_GB2312"/>
                <w:color w:val="auto"/>
                <w:kern w:val="2"/>
                <w:sz w:val="21"/>
                <w:szCs w:val="21"/>
                <w:lang w:val="en-US" w:eastAsia="zh-CN" w:bidi="ar-SA"/>
              </w:rPr>
              <w:t>主动消除违法行为危害后果</w:t>
            </w:r>
            <w:r>
              <w:rPr>
                <w:rFonts w:hint="eastAsia" w:ascii="仿宋_GB2312" w:hAnsi="仿宋_GB2312" w:cs="仿宋_GB2312"/>
                <w:color w:val="auto"/>
                <w:kern w:val="2"/>
                <w:sz w:val="21"/>
                <w:szCs w:val="21"/>
                <w:lang w:val="en-US" w:eastAsia="zh-CN" w:bidi="ar-SA"/>
              </w:rPr>
              <w:t>，且在</w:t>
            </w:r>
            <w:r>
              <w:rPr>
                <w:rFonts w:hint="eastAsia" w:ascii="仿宋_GB2312" w:hAnsi="仿宋_GB2312" w:eastAsia="仿宋_GB2312" w:cs="仿宋_GB2312"/>
                <w:color w:val="auto"/>
                <w:kern w:val="2"/>
                <w:sz w:val="21"/>
                <w:szCs w:val="21"/>
                <w:lang w:val="en-US" w:eastAsia="zh-CN" w:bidi="ar-SA"/>
              </w:rPr>
              <w:t>限期内改正的。</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0"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4</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对生产经营单位未建立安全风险分级管控制度或者未按照安全风险分级采取相应管控措施的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《中华人民共和国安全生产法》第一百零一条第四项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（四）未建立安全风险分级管控制度或者未按照安全风险分级采取相应管控措施的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0"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5</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对生产经营单位未与承包单位、承租单位签订专门的安全生产管理协议或者未在承包合同、租赁合同中明确各自的安全生产管理职责，或者未对承包单位、承租单位的安全生产统一协调、管理的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w:t>
            </w:r>
            <w:r>
              <w:rPr>
                <w:rFonts w:hint="eastAsia" w:ascii="仿宋_GB2312" w:hAnsi="仿宋_GB2312" w:eastAsia="仿宋_GB2312" w:cs="仿宋_GB2312"/>
                <w:color w:val="auto"/>
                <w:sz w:val="21"/>
                <w:szCs w:val="21"/>
                <w:lang w:val="en-US" w:eastAsia="zh-CN"/>
              </w:rPr>
              <w:t>中华人民共和国安全生产法》第一百零三条第二款</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cs="Times New Roman"/>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kern w:val="2"/>
                <w:sz w:val="21"/>
                <w:szCs w:val="21"/>
                <w:lang w:val="en-US" w:eastAsia="zh-CN" w:bidi="ar-SA"/>
              </w:rPr>
            </w:pP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6</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对两个以上生产经营单位在同一作业区域内进行可能危及对方安全生产的生产经营活动，未签订安全生产管理协议或者未指定专职安全生产管理人员进行安全检查与协调的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《中</w:t>
            </w:r>
            <w:r>
              <w:rPr>
                <w:rFonts w:hint="eastAsia" w:ascii="仿宋_GB2312" w:hAnsi="仿宋_GB2312" w:eastAsia="仿宋_GB2312" w:cs="仿宋_GB2312"/>
                <w:color w:val="auto"/>
                <w:sz w:val="21"/>
                <w:szCs w:val="21"/>
                <w:lang w:val="en-US" w:eastAsia="zh-CN"/>
              </w:rPr>
              <w:t>华人民共和国安全生产法》第一百零四条</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r>
              <w:rPr>
                <w:rFonts w:hint="eastAsia" w:ascii="仿宋_GB2312" w:hAnsi="仿宋_GB2312" w:cs="仿宋_GB2312"/>
                <w:color w:val="auto"/>
                <w:sz w:val="21"/>
                <w:szCs w:val="21"/>
                <w:lang w:eastAsia="zh-CN"/>
              </w:rPr>
              <w:t>。</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0"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7</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sz w:val="21"/>
                <w:szCs w:val="21"/>
                <w:lang w:val="en-US" w:eastAsia="zh-CN"/>
              </w:rPr>
              <w:t>对生产、经营、储存、使用危险物品的车间、商店、仓库与员工宿舍在同一座建筑内，或者与员工宿舍的距离不符合安全要求的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bCs/>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w:t>
            </w:r>
            <w:r>
              <w:rPr>
                <w:rFonts w:hint="eastAsia" w:ascii="仿宋_GB2312" w:hAnsi="仿宋_GB2312" w:eastAsia="仿宋_GB2312" w:cs="仿宋_GB2312"/>
                <w:color w:val="auto"/>
                <w:sz w:val="21"/>
                <w:szCs w:val="21"/>
                <w:lang w:val="en-US" w:eastAsia="zh-CN"/>
              </w:rPr>
              <w:t>中华人民共和国安全生产法》第一百零五条第一项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default"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 xml:space="preserve">。   </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b w:val="0"/>
                <w:bCs/>
                <w:color w:val="auto"/>
                <w:kern w:val="2"/>
                <w:sz w:val="21"/>
                <w:szCs w:val="21"/>
                <w:highlight w:val="none"/>
                <w:u w:val="none" w:color="auto"/>
                <w:lang w:val="en-US" w:eastAsia="zh-CN"/>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kern w:val="2"/>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8</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对生产、经营、运输、储存、使用危险物品或者处置废弃危险物品，未建立专门安全管理制度、未采取可靠的安全措施的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rPr>
              <w:t>《</w:t>
            </w:r>
            <w:r>
              <w:rPr>
                <w:rFonts w:hint="eastAsia" w:ascii="仿宋_GB2312" w:hAnsi="仿宋_GB2312" w:eastAsia="仿宋_GB2312" w:cs="仿宋_GB2312"/>
                <w:color w:val="auto"/>
                <w:sz w:val="21"/>
                <w:szCs w:val="21"/>
                <w:lang w:val="en-US" w:eastAsia="zh-CN"/>
              </w:rPr>
              <w:t>中华人民共和国安全生产法》第一百零一条第一项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9</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对未对安全设备进行经常性维护、保养和定期检测的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《中华人民共和国安全生产法》第九十九条第三项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仿宋_GB2312" w:hAnsi="仿宋_GB2312" w:eastAsia="仿宋_GB2312" w:cs="仿宋_GB2312"/>
                <w:b w:val="0"/>
                <w:bCs/>
                <w:color w:val="auto"/>
                <w:kern w:val="2"/>
                <w:sz w:val="21"/>
                <w:szCs w:val="21"/>
                <w:highlight w:val="none"/>
                <w:u w:val="none" w:color="auto"/>
                <w:lang w:val="en-US" w:eastAsia="zh-CN" w:bidi="ar-SA"/>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5"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10</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对未为从业人员提供符合国家标准或者行业标准的劳动防护用品的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《中华人民共和国安全生产法》第九十九条第五项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cs="仿宋_GB2312"/>
                <w:color w:val="auto"/>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仿宋_GB2312" w:hAnsi="仿宋_GB2312" w:eastAsia="仿宋_GB2312" w:cs="仿宋_GB2312"/>
                <w:b w:val="0"/>
                <w:bCs/>
                <w:color w:val="auto"/>
                <w:kern w:val="2"/>
                <w:sz w:val="21"/>
                <w:szCs w:val="21"/>
                <w:highlight w:val="none"/>
                <w:u w:val="none" w:color="auto"/>
                <w:lang w:val="en-US" w:eastAsia="zh-CN" w:bidi="ar-SA"/>
              </w:rPr>
            </w:pPr>
            <w:r>
              <w:rPr>
                <w:rFonts w:hint="eastAsia" w:ascii="仿宋_GB2312" w:hAnsi="仿宋_GB2312" w:eastAsia="仿宋_GB2312" w:cs="仿宋_GB2312"/>
                <w:color w:val="auto"/>
                <w:sz w:val="21"/>
                <w:szCs w:val="21"/>
                <w:lang w:val="en-US" w:eastAsia="zh-CN"/>
              </w:rPr>
              <w:t>3.加强日常监督管理。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2" w:hRule="atLeast"/>
          <w:tblHeader/>
          <w:jc w:val="center"/>
        </w:trPr>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黑体" w:hAnsi="黑体" w:eastAsia="黑体" w:cs="黑体"/>
                <w:b w:val="0"/>
                <w:bCs/>
                <w:color w:val="auto"/>
                <w:sz w:val="21"/>
                <w:szCs w:val="21"/>
                <w:highlight w:val="none"/>
                <w:u w:val="none" w:color="auto"/>
                <w:lang w:val="en-US" w:eastAsia="zh-CN"/>
              </w:rPr>
            </w:pPr>
            <w:r>
              <w:rPr>
                <w:rFonts w:hint="eastAsia" w:ascii="黑体" w:hAnsi="黑体" w:eastAsia="黑体" w:cs="黑体"/>
                <w:b w:val="0"/>
                <w:bCs/>
                <w:color w:val="auto"/>
                <w:sz w:val="21"/>
                <w:szCs w:val="21"/>
                <w:highlight w:val="none"/>
                <w:u w:val="none" w:color="auto"/>
                <w:lang w:val="en-US" w:eastAsia="zh-CN"/>
              </w:rPr>
              <w:t>11</w:t>
            </w:r>
          </w:p>
        </w:tc>
        <w:tc>
          <w:tcPr>
            <w:tcW w:w="1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对未按照规定对矿山、金属冶炼建设项目或者用于生产、储存、装卸危险物品的建设项目进行安全评价的</w:t>
            </w:r>
            <w:r>
              <w:rPr>
                <w:rFonts w:hint="eastAsia" w:ascii="仿宋_GB2312" w:hAnsi="仿宋_GB2312" w:cs="仿宋_GB2312"/>
                <w:color w:val="auto"/>
                <w:sz w:val="21"/>
                <w:szCs w:val="21"/>
                <w:lang w:val="en-US" w:eastAsia="zh-CN"/>
              </w:rPr>
              <w:t>处罚</w:t>
            </w:r>
          </w:p>
        </w:tc>
        <w:tc>
          <w:tcPr>
            <w:tcW w:w="5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《中华人民共和国安全生产法》第九十八条第一项</w:t>
            </w:r>
            <w:r>
              <w:rPr>
                <w:rFonts w:hint="eastAsia" w:ascii="仿宋_GB2312" w:hAnsi="仿宋_GB2312" w:cs="仿宋_GB2312"/>
                <w:color w:val="auto"/>
                <w:sz w:val="21"/>
                <w:szCs w:val="21"/>
                <w:lang w:val="en-US" w:eastAsia="zh-CN"/>
              </w:rPr>
              <w:t>“</w:t>
            </w:r>
            <w:r>
              <w:rPr>
                <w:rFonts w:hint="eastAsia" w:ascii="仿宋_GB2312" w:hAnsi="仿宋_GB2312" w:eastAsia="仿宋_GB2312" w:cs="仿宋_GB2312"/>
                <w:color w:val="auto"/>
                <w:sz w:val="21"/>
                <w:szCs w:val="21"/>
                <w:lang w:val="en-US" w:eastAsia="zh-CN"/>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w:t>
            </w:r>
            <w:r>
              <w:rPr>
                <w:rFonts w:hint="eastAsia" w:ascii="仿宋_GB2312" w:hAnsi="仿宋_GB2312" w:eastAsia="仿宋_GB2312" w:cs="仿宋_GB2312"/>
                <w:color w:val="auto"/>
                <w:kern w:val="10"/>
                <w:sz w:val="21"/>
                <w:szCs w:val="21"/>
                <w:lang w:val="en-US" w:eastAsia="zh-CN"/>
              </w:rPr>
              <w:t>元以上一百万元以下的罚款，对其直接负责的主管人员和其他直接责任人员处五万元以上十万元以下</w:t>
            </w:r>
            <w:r>
              <w:rPr>
                <w:rFonts w:hint="eastAsia" w:ascii="仿宋_GB2312" w:hAnsi="仿宋_GB2312" w:eastAsia="仿宋_GB2312" w:cs="仿宋_GB2312"/>
                <w:color w:val="auto"/>
                <w:sz w:val="21"/>
                <w:szCs w:val="21"/>
                <w:lang w:val="en-US" w:eastAsia="zh-CN"/>
              </w:rPr>
              <w:t>的罚款；构成犯罪的，依照刑法有关规定追究刑事责任：（一）未按照规定对矿山、金属冶炼建设项目或者用于生产、储存、装卸危险物品的建设项目进行安全评价的。</w:t>
            </w:r>
            <w:r>
              <w:rPr>
                <w:rFonts w:hint="eastAsia" w:ascii="仿宋_GB2312" w:hAnsi="仿宋_GB2312" w:cs="仿宋_GB2312"/>
                <w:color w:val="auto"/>
                <w:sz w:val="21"/>
                <w:szCs w:val="21"/>
                <w:lang w:val="en-US" w:eastAsia="zh-CN"/>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cs="仿宋_GB2312"/>
                <w:color w:val="auto"/>
                <w:kern w:val="2"/>
                <w:sz w:val="21"/>
                <w:szCs w:val="21"/>
                <w:lang w:val="en-US" w:eastAsia="zh-CN" w:bidi="ar-SA"/>
              </w:rPr>
              <w:t>三年内未发生安全生产责任事故，主动消除违法行为后果，且在</w:t>
            </w:r>
            <w:r>
              <w:rPr>
                <w:rFonts w:hint="eastAsia" w:ascii="仿宋_GB2312" w:hAnsi="仿宋_GB2312" w:eastAsia="仿宋_GB2312" w:cs="仿宋_GB2312"/>
                <w:color w:val="auto"/>
                <w:kern w:val="2"/>
                <w:sz w:val="21"/>
                <w:szCs w:val="21"/>
                <w:lang w:val="en-US" w:eastAsia="zh-CN" w:bidi="ar-SA"/>
              </w:rPr>
              <w:t>限期内改正的</w:t>
            </w:r>
            <w:r>
              <w:rPr>
                <w:rFonts w:hint="eastAsia" w:ascii="仿宋_GB2312" w:hAnsi="仿宋_GB2312" w:cs="仿宋_GB2312"/>
                <w:color w:val="auto"/>
                <w:kern w:val="2"/>
                <w:sz w:val="21"/>
                <w:szCs w:val="21"/>
                <w:lang w:val="en-US" w:eastAsia="zh-CN" w:bidi="ar-SA"/>
              </w:rPr>
              <w:t>。</w:t>
            </w:r>
          </w:p>
        </w:tc>
        <w:tc>
          <w:tcPr>
            <w:tcW w:w="3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rPr>
              <w:t>《中华人民共和国行政处罚法》第三十二条第（一）项当事人有下列情形之一，应当从轻或者减轻行政处罚：（一）主动消除或者减轻违法行为危害后果的。</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1.对当事人给予教育；</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outlineLvl w:val="9"/>
              <w:rPr>
                <w:rFonts w:hint="eastAsia" w:ascii="仿宋_GB2312" w:hAnsi="仿宋_GB2312" w:eastAsia="仿宋_GB2312" w:cs="仿宋_GB2312"/>
                <w:color w:val="auto"/>
                <w:kern w:val="10"/>
                <w:sz w:val="21"/>
                <w:szCs w:val="21"/>
                <w:lang w:val="en-US" w:eastAsia="zh-CN"/>
              </w:rPr>
            </w:pPr>
            <w:r>
              <w:rPr>
                <w:rFonts w:hint="eastAsia" w:ascii="仿宋_GB2312" w:hAnsi="仿宋_GB2312" w:eastAsia="仿宋_GB2312" w:cs="仿宋_GB2312"/>
                <w:color w:val="auto"/>
                <w:kern w:val="10"/>
                <w:sz w:val="21"/>
                <w:szCs w:val="21"/>
                <w:lang w:val="en-US" w:eastAsia="zh-CN"/>
              </w:rPr>
              <w:t>2.</w:t>
            </w:r>
            <w:r>
              <w:rPr>
                <w:rFonts w:hint="eastAsia" w:ascii="仿宋_GB2312" w:hAnsi="仿宋_GB2312" w:cs="仿宋_GB2312"/>
                <w:color w:val="auto"/>
                <w:kern w:val="10"/>
                <w:sz w:val="21"/>
                <w:szCs w:val="21"/>
                <w:lang w:val="en-US" w:eastAsia="zh-CN"/>
              </w:rPr>
              <w:t>责令限期改正，并及时复查；</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10"/>
                <w:sz w:val="21"/>
                <w:szCs w:val="21"/>
                <w:lang w:val="en-US" w:eastAsia="zh-CN"/>
              </w:rPr>
              <w:t>3.加强日常监督管理。</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43427"/>
    <w:rsid w:val="02D50C5B"/>
    <w:rsid w:val="058065CB"/>
    <w:rsid w:val="068841D5"/>
    <w:rsid w:val="06B11277"/>
    <w:rsid w:val="06F533CB"/>
    <w:rsid w:val="11A733E2"/>
    <w:rsid w:val="13C913D1"/>
    <w:rsid w:val="19466A53"/>
    <w:rsid w:val="1E5C0C50"/>
    <w:rsid w:val="1FE5775F"/>
    <w:rsid w:val="20015069"/>
    <w:rsid w:val="22EA7510"/>
    <w:rsid w:val="25D47427"/>
    <w:rsid w:val="2A134A0D"/>
    <w:rsid w:val="31576ECD"/>
    <w:rsid w:val="31643427"/>
    <w:rsid w:val="328645F2"/>
    <w:rsid w:val="338903E6"/>
    <w:rsid w:val="362A5861"/>
    <w:rsid w:val="37E14C98"/>
    <w:rsid w:val="3B28253A"/>
    <w:rsid w:val="3E7C0923"/>
    <w:rsid w:val="41A451D7"/>
    <w:rsid w:val="42F40D8E"/>
    <w:rsid w:val="460375D5"/>
    <w:rsid w:val="47E573C8"/>
    <w:rsid w:val="48A626AF"/>
    <w:rsid w:val="49270A98"/>
    <w:rsid w:val="4990670B"/>
    <w:rsid w:val="4B6A2202"/>
    <w:rsid w:val="4D7938FE"/>
    <w:rsid w:val="4F660AB8"/>
    <w:rsid w:val="54176279"/>
    <w:rsid w:val="5CB707A4"/>
    <w:rsid w:val="5FD763ED"/>
    <w:rsid w:val="635C7466"/>
    <w:rsid w:val="65877F62"/>
    <w:rsid w:val="65EB7093"/>
    <w:rsid w:val="683C5BCE"/>
    <w:rsid w:val="702931E8"/>
    <w:rsid w:val="71667B8A"/>
    <w:rsid w:val="71D3687B"/>
    <w:rsid w:val="7A350BB3"/>
    <w:rsid w:val="7D675349"/>
    <w:rsid w:val="7FAA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line="240" w:lineRule="atLeast"/>
      <w:ind w:left="420" w:leftChars="200"/>
    </w:pPr>
    <w:rPr>
      <w:rFonts w:ascii="Calibri" w:hAnsi="Calibri" w:eastAsia="宋体" w:cs="Times New Roman"/>
      <w:spacing w:val="-6"/>
      <w:szCs w:val="20"/>
    </w:rPr>
  </w:style>
  <w:style w:type="paragraph" w:styleId="4">
    <w:name w:val="Normal Indent"/>
    <w:basedOn w:val="1"/>
    <w:qFormat/>
    <w:uiPriority w:val="0"/>
    <w:pPr>
      <w:spacing w:line="240" w:lineRule="atLeast"/>
      <w:ind w:firstLine="420" w:firstLineChars="200"/>
    </w:pPr>
    <w:rPr>
      <w:rFonts w:ascii="Calibri" w:hAnsi="Calibri" w:eastAsia="仿宋" w:cs="Times New Roman"/>
      <w:spacing w:val="-6"/>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2022-10-21T03:26:00Z</dcterms:created>
  <dc:creator>张雯</dc:creator>
  <cp:lastModifiedBy>张雯</cp:lastModifiedBy>
  <dcterms:modified xsi:type="dcterms:W3CDTF">2022-10-21T03:26:45Z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