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53"/>
        <w:gridCol w:w="942"/>
        <w:gridCol w:w="2002"/>
        <w:gridCol w:w="1885"/>
        <w:gridCol w:w="1695"/>
        <w:gridCol w:w="2865"/>
        <w:gridCol w:w="870"/>
        <w:gridCol w:w="675"/>
        <w:gridCol w:w="720"/>
        <w:gridCol w:w="765"/>
        <w:gridCol w:w="11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1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59" w:line="208" w:lineRule="auto"/>
              <w:ind w:left="220"/>
              <w:jc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方正黑体_GBK" w:hAnsi="方正黑体_GBK" w:eastAsia="方正黑体_GBK" w:cs="方正黑体_GBK"/>
                <w:spacing w:val="21"/>
                <w:sz w:val="22"/>
                <w:szCs w:val="22"/>
              </w:rPr>
              <w:t>序  号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before="100" w:line="230" w:lineRule="auto"/>
              <w:ind w:firstLine="420" w:firstLineChars="200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公开事项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vAlign w:val="center"/>
          </w:tcPr>
          <w:p>
            <w:pPr>
              <w:spacing w:before="220" w:line="401" w:lineRule="exact"/>
              <w:jc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position w:val="12"/>
                <w:sz w:val="22"/>
                <w:szCs w:val="22"/>
              </w:rPr>
              <w:t>公开内容</w:t>
            </w:r>
          </w:p>
        </w:tc>
        <w:tc>
          <w:tcPr>
            <w:tcW w:w="1885" w:type="dxa"/>
            <w:vMerge w:val="restart"/>
            <w:tcBorders>
              <w:bottom w:val="nil"/>
            </w:tcBorders>
            <w:vAlign w:val="center"/>
          </w:tcPr>
          <w:p>
            <w:pPr>
              <w:spacing w:before="80" w:line="234" w:lineRule="auto"/>
              <w:ind w:firstLine="630" w:firstLineChars="300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公开依据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81" w:line="233" w:lineRule="auto"/>
              <w:ind w:firstLine="420" w:firstLineChars="200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公开时限</w:t>
            </w:r>
          </w:p>
        </w:tc>
        <w:tc>
          <w:tcPr>
            <w:tcW w:w="2865" w:type="dxa"/>
            <w:vMerge w:val="restart"/>
            <w:tcBorders>
              <w:bottom w:val="nil"/>
            </w:tcBorders>
            <w:vAlign w:val="center"/>
          </w:tcPr>
          <w:p>
            <w:pPr>
              <w:spacing w:before="81" w:line="232" w:lineRule="auto"/>
              <w:ind w:firstLine="594" w:firstLineChars="300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sz w:val="22"/>
                <w:szCs w:val="22"/>
              </w:rPr>
              <w:t>公</w:t>
            </w:r>
            <w:r>
              <w:rPr>
                <w:rFonts w:ascii="方正黑体_GBK" w:hAnsi="方正黑体_GBK" w:eastAsia="方正黑体_GBK" w:cs="方正黑体_GBK"/>
                <w:spacing w:val="-6"/>
                <w:sz w:val="22"/>
                <w:szCs w:val="22"/>
              </w:rPr>
              <w:t>开渠道和载体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before="100" w:line="231" w:lineRule="auto"/>
              <w:ind w:left="123"/>
              <w:jc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2"/>
                <w:szCs w:val="22"/>
              </w:rPr>
              <w:t>公开对象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00" w:line="231" w:lineRule="auto"/>
              <w:ind w:left="123"/>
              <w:jc w:val="center"/>
              <w:rPr>
                <w:rFonts w:hint="eastAsia" w:ascii="方正黑体_GBK" w:hAnsi="方正黑体_GBK" w:eastAsia="方正黑体_GBK" w:cs="方正黑体_GBK"/>
                <w:spacing w:val="-5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2"/>
                <w:szCs w:val="22"/>
                <w:lang w:eastAsia="zh-CN"/>
              </w:rPr>
              <w:t>公开方式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center"/>
          </w:tcPr>
          <w:p>
            <w:pPr>
              <w:spacing w:line="33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0" w:line="232" w:lineRule="auto"/>
              <w:ind w:left="110"/>
              <w:jc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2"/>
                <w:szCs w:val="22"/>
              </w:rPr>
              <w:t>责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17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spacing w:before="190" w:line="230" w:lineRule="auto"/>
              <w:ind w:left="44"/>
              <w:jc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2"/>
                <w:szCs w:val="22"/>
              </w:rPr>
              <w:t>一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级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pacing w:before="190" w:line="230" w:lineRule="auto"/>
              <w:ind w:left="281"/>
              <w:jc w:val="both"/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2"/>
                <w:szCs w:val="22"/>
                <w:lang w:val="en-US" w:eastAsia="zh-CN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级</w:t>
            </w:r>
          </w:p>
          <w:p>
            <w:pPr>
              <w:spacing w:before="190" w:line="230" w:lineRule="auto"/>
              <w:ind w:left="281"/>
              <w:jc w:val="both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200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42" w:line="221" w:lineRule="auto"/>
              <w:ind w:left="171" w:right="43" w:hanging="105"/>
              <w:jc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2"/>
                <w:szCs w:val="22"/>
              </w:rPr>
              <w:t>全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社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>会</w:t>
            </w:r>
          </w:p>
        </w:tc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before="42" w:line="221" w:lineRule="auto"/>
              <w:ind w:left="67" w:right="43"/>
              <w:jc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2"/>
                <w:szCs w:val="22"/>
              </w:rPr>
              <w:t>特</w:t>
            </w:r>
            <w:r>
              <w:rPr>
                <w:rFonts w:ascii="方正黑体_GBK" w:hAnsi="方正黑体_GBK" w:eastAsia="方正黑体_GBK" w:cs="方正黑体_GBK"/>
                <w:spacing w:val="-8"/>
                <w:sz w:val="22"/>
                <w:szCs w:val="22"/>
              </w:rPr>
              <w:t>定</w:t>
            </w:r>
            <w:r>
              <w:rPr>
                <w:rFonts w:ascii="方正黑体_GBK" w:hAnsi="方正黑体_GBK" w:eastAsia="方正黑体_GBK" w:cs="方正黑体_GBK"/>
                <w:sz w:val="22"/>
                <w:szCs w:val="22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9"/>
                <w:sz w:val="22"/>
                <w:szCs w:val="22"/>
              </w:rPr>
              <w:t>群</w:t>
            </w:r>
            <w:r>
              <w:rPr>
                <w:rFonts w:ascii="方正黑体_GBK" w:hAnsi="方正黑体_GBK" w:eastAsia="方正黑体_GBK" w:cs="方正黑体_GBK"/>
                <w:spacing w:val="-7"/>
                <w:sz w:val="22"/>
                <w:szCs w:val="22"/>
              </w:rPr>
              <w:t>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2" w:line="221" w:lineRule="auto"/>
              <w:ind w:left="67" w:right="43"/>
              <w:jc w:val="center"/>
              <w:rPr>
                <w:rFonts w:hint="eastAsia" w:ascii="方正黑体_GBK" w:hAnsi="方正黑体_GBK" w:eastAsia="方正黑体_GBK" w:cs="方正黑体_GBK"/>
                <w:spacing w:val="-9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2"/>
                <w:szCs w:val="22"/>
                <w:lang w:eastAsia="zh-CN"/>
              </w:rPr>
              <w:t>主动公开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2" w:line="221" w:lineRule="auto"/>
              <w:ind w:left="67" w:right="43"/>
              <w:jc w:val="center"/>
              <w:rPr>
                <w:rFonts w:hint="eastAsia" w:ascii="方正黑体_GBK" w:hAnsi="方正黑体_GBK" w:eastAsia="方正黑体_GBK" w:cs="方正黑体_GBK"/>
                <w:spacing w:val="-9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9"/>
                <w:sz w:val="22"/>
                <w:szCs w:val="22"/>
                <w:lang w:eastAsia="zh-CN"/>
              </w:rPr>
              <w:t>依申请公开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政府信息公开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年度报告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总体情况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主动公开政府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收到和处理政府信息公开申请情况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政府信息公开行政复议及行政诉讼情况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存在的主要问题及改进情况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其他需要报告的事项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通知公告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巡察反馈意见整改落实情况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65" w:line="266" w:lineRule="auto"/>
              <w:ind w:left="214" w:leftChars="0" w:firstLine="11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4"/>
                <w:sz w:val="20"/>
                <w:szCs w:val="20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0"/>
                <w:szCs w:val="20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公开指南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政府信息公开指南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65" w:line="266" w:lineRule="auto"/>
              <w:ind w:left="214" w:leftChars="0" w:firstLine="11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4"/>
                <w:sz w:val="20"/>
                <w:szCs w:val="20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0"/>
                <w:szCs w:val="20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公众监督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基本情况、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受理机构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65" w:line="266" w:lineRule="auto"/>
              <w:ind w:left="214" w:leftChars="0" w:firstLine="11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4"/>
                <w:sz w:val="20"/>
                <w:szCs w:val="20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0"/>
                <w:szCs w:val="20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预决算公开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部门年度预决算公开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before="45" w:line="245" w:lineRule="auto"/>
              <w:ind w:left="17" w:leftChars="0" w:hanging="3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65" w:line="266" w:lineRule="auto"/>
              <w:ind w:left="214" w:leftChars="0" w:firstLine="11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4"/>
                <w:sz w:val="20"/>
                <w:szCs w:val="20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0"/>
                <w:szCs w:val="20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政策解读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政策文件的背景、依据、目标任务等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65" w:line="266" w:lineRule="auto"/>
              <w:ind w:left="214" w:leftChars="0" w:firstLine="11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4"/>
                <w:sz w:val="20"/>
                <w:szCs w:val="20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0"/>
                <w:szCs w:val="20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政策法规股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政府信息公开目录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政府信息公开目录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65" w:line="266" w:lineRule="auto"/>
              <w:ind w:left="214" w:leftChars="0" w:firstLine="11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4"/>
                <w:sz w:val="20"/>
                <w:szCs w:val="20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0"/>
                <w:szCs w:val="20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领导信息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姓名、职务、照片、工作职责、分管业务、个人履历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spacing w:before="65" w:line="266" w:lineRule="auto"/>
              <w:ind w:left="214" w:leftChars="0" w:firstLine="11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4"/>
                <w:sz w:val="20"/>
                <w:szCs w:val="20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sz w:val="20"/>
                <w:szCs w:val="20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65" w:line="265" w:lineRule="auto"/>
              <w:ind w:left="30" w:leftChars="0" w:right="15" w:rightChars="0" w:hanging="12" w:firstLine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机构职能</w:t>
            </w:r>
          </w:p>
        </w:tc>
        <w:tc>
          <w:tcPr>
            <w:tcW w:w="200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机构名称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内设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机构名称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联系方式(包括：办公地址、 办公电话、办公时间等)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依据“三定”规定确定的本部门法定职责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21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75" w:line="204" w:lineRule="auto"/>
      <w:jc w:val="center"/>
      <w:rPr>
        <w:rFonts w:ascii="微软雅黑" w:hAnsi="微软雅黑" w:eastAsia="微软雅黑" w:cs="微软雅黑"/>
        <w:sz w:val="40"/>
        <w:szCs w:val="40"/>
      </w:rPr>
    </w:pPr>
    <w:r>
      <w:rPr>
        <w:rFonts w:hint="eastAsia" w:ascii="微软雅黑" w:hAnsi="微软雅黑" w:eastAsia="微软雅黑" w:cs="微软雅黑"/>
        <w:spacing w:val="27"/>
        <w:sz w:val="40"/>
        <w:szCs w:val="40"/>
        <w:lang w:val="en-US" w:eastAsia="zh-CN"/>
      </w:rPr>
      <w:t>玉溪市江川区星云湖管理局</w:t>
    </w:r>
    <w:r>
      <w:rPr>
        <w:rFonts w:ascii="微软雅黑" w:hAnsi="微软雅黑" w:eastAsia="微软雅黑" w:cs="微软雅黑"/>
        <w:spacing w:val="27"/>
        <w:sz w:val="40"/>
        <w:szCs w:val="40"/>
      </w:rPr>
      <w:t>政府信息公开基本目录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mMzZTBjMGNhYzE5ZTk0ZDVlMGYxZDgxMDI3OTgifQ=="/>
  </w:docVars>
  <w:rsids>
    <w:rsidRoot w:val="50F1080F"/>
    <w:rsid w:val="08202E3D"/>
    <w:rsid w:val="50F1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2022-12-19T08:24:00Z</dcterms:created>
  <dc:creator>my   love</dc:creator>
  <cp:lastModifiedBy>独有花枝俏</cp:lastModifiedBy>
  <dcterms:modified xsi:type="dcterms:W3CDTF">2023-11-15T01:24:12Z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899592F95C46426F88848AF534A9DDE0_13</vt:lpwstr>
  </property>
</Properties>
</file>