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31" w:rsidRPr="00622431" w:rsidRDefault="00622431" w:rsidP="00622431">
      <w:pPr>
        <w:widowControl/>
        <w:shd w:val="clear" w:color="auto" w:fill="FFFFFF"/>
        <w:spacing w:before="84" w:after="84" w:line="486" w:lineRule="atLeast"/>
        <w:ind w:firstLine="687"/>
        <w:jc w:val="center"/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</w:pPr>
      <w:r w:rsidRPr="00622431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公共资源配置领域政府信息主动公开目录清单</w:t>
      </w:r>
    </w:p>
    <w:p w:rsidR="00622431" w:rsidRPr="00622431" w:rsidRDefault="00622431" w:rsidP="00622431">
      <w:pPr>
        <w:widowControl/>
        <w:shd w:val="clear" w:color="auto" w:fill="FFFFFF"/>
        <w:spacing w:before="84" w:after="84" w:line="285" w:lineRule="atLeast"/>
        <w:ind w:firstLine="38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622431" w:rsidRPr="00622431" w:rsidRDefault="00622431" w:rsidP="00622431">
      <w:pPr>
        <w:widowControl/>
        <w:shd w:val="clear" w:color="auto" w:fill="FFFFFF"/>
        <w:spacing w:before="84" w:after="84" w:line="285" w:lineRule="atLeast"/>
        <w:ind w:firstLine="38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tbl>
      <w:tblPr>
        <w:tblW w:w="14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975"/>
        <w:gridCol w:w="2350"/>
        <w:gridCol w:w="3053"/>
        <w:gridCol w:w="1391"/>
        <w:gridCol w:w="2097"/>
        <w:gridCol w:w="1822"/>
        <w:gridCol w:w="1811"/>
      </w:tblGrid>
      <w:tr w:rsidR="00622431" w:rsidRPr="00622431" w:rsidTr="00622431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32"/>
              </w:rPr>
              <w:t>​</w:t>
            </w:r>
            <w:r w:rsidRPr="0062243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</w:rPr>
              <w:t>序</w:t>
            </w: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领域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公开事项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公开内容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时限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公开方式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公开责任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主体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22431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监督渠道</w:t>
            </w:r>
          </w:p>
        </w:tc>
      </w:tr>
      <w:tr w:rsidR="00622431" w:rsidRPr="00622431" w:rsidTr="00622431">
        <w:trPr>
          <w:trHeight w:val="169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国有土地使用权领域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土地供应计划信息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包括国有建设用地供应总量（总供应面积）、供应结构（土地用途及对应的面积）、供应布局（土地位置）等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该计划形成或者变更之日起20个工作日内予以公开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全国公共资源交易平台（玉溪市）、中国土地市场网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市、县区公共资源交易中心；县区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自然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资源局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Pr="00622431">
              <w:rPr>
                <w:rFonts w:ascii="方正仿宋_GBK" w:eastAsia="方正仿宋_GBK" w:hAnsi="宋体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自然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资源部门通过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自然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资源</w:t>
            </w:r>
            <w:proofErr w:type="gramStart"/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部土地场</w:t>
            </w:r>
            <w:proofErr w:type="gramEnd"/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动态监测与监管系统监督2</w:t>
            </w:r>
            <w:r w:rsidRPr="00622431">
              <w:rPr>
                <w:rFonts w:ascii="方正仿宋_GBK" w:eastAsia="方正仿宋_GBK" w:hAnsi="宋体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公共资源交易中心通过全国公共资源交易平台（玉溪市）监督</w:t>
            </w:r>
          </w:p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22431" w:rsidRPr="00622431" w:rsidTr="00622431">
        <w:trPr>
          <w:trHeight w:val="256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国有土地使用权领域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出让公告信息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包括出让土地基本信息（宗地编号、宗地总面积、宗地坐落、土地用途、出让年限，起始价、加价幅度等）、规划指标要求（容积率、建筑密度、绿地率等）、竞买人条件、交易时间等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应当至少在投标、拍卖或者挂牌开始日前20</w:t>
            </w:r>
            <w:r w:rsidRPr="00622431">
              <w:rPr>
                <w:rFonts w:ascii="方正仿宋_GBK" w:eastAsia="方正仿宋_GBK" w:hAnsi="宋体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全国公共资源交易平台（玉溪市）、中国土地市场网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市、县区公共资源交易中心；县区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自然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资源局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22431" w:rsidRPr="00622431" w:rsidTr="00622431">
        <w:trPr>
          <w:trHeight w:val="291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国有土地使用权领域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成交公示信息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包括地块编号、地块位置、土地面积、土地用途、出让年限、成交价格、受让单位等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招标拍卖挂牌活动结束后10</w:t>
            </w:r>
            <w:r w:rsidRPr="00622431">
              <w:rPr>
                <w:rFonts w:ascii="方正仿宋_GBK" w:eastAsia="方正仿宋_GBK" w:hAnsi="宋体" w:cs="Times New Roman" w:hint="eastAsia"/>
                <w:color w:val="000000"/>
                <w:kern w:val="0"/>
                <w:sz w:val="32"/>
                <w:szCs w:val="32"/>
              </w:rPr>
              <w:t>个工作日内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全国公共资源交易平台（玉溪市）、中国土地市场网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268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市、县区公共资源交易中心；县区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自然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资源局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22431" w:rsidRPr="00622431" w:rsidTr="00622431">
        <w:trPr>
          <w:trHeight w:val="448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矿业权出让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出让公告公示信息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采矿权的出让，包括出让人的名称与地址，交易机构名称与地址，出让的采矿权基本情况（包括采矿权项目名称、地理位置、开采矿种、范围坐标及面积、开采标高、资源储量、生产规模、开采方式、矿山地质环境保护及土地复垦要求、出让年限等），竞买人的资格条件，公告时间，出让的方式及交易的时间、地点，确定竞得人的标准和方法，竞买保证金缴纳方式，对出让的采矿权提出异议的方式和途径，有关规定与提示等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以招标、拍卖、挂牌方式出让矿业权的，应当在投标截至日、公开拍卖日或者挂牌起始日20</w:t>
            </w:r>
            <w:r w:rsidRPr="00622431">
              <w:rPr>
                <w:rFonts w:ascii="方正仿宋_GBK" w:eastAsia="方正仿宋_GBK" w:hAnsi="宋体" w:cs="Times New Roman" w:hint="eastAsia"/>
                <w:color w:val="000000"/>
                <w:kern w:val="0"/>
                <w:sz w:val="32"/>
                <w:szCs w:val="32"/>
              </w:rPr>
              <w:t>个工作日前发布公告。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一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）同级自然资源主管部门门户网站；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二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）矿业权交易平台交易大厅；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三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）全国公共资源交易平台（玉溪市）；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四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）有必要采取的其他方式。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（一）市或县区负责矿业权出让审批登记发证的自然资源主管部门；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（二）市或县区具体负责组织交易的公共资源交易中心。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22431" w:rsidRPr="00622431" w:rsidTr="00622431">
        <w:trPr>
          <w:trHeight w:val="194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矿业权出让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交易结果信息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包括中标人或竞得人基本情况、中标或竞得的矿业权基本情况、成交时间、成交地点、成交价格、缴纳方式、对出让的结果提出异议的方式与途径等。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t> 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招标、拍卖、挂牌方式出让矿业</w:t>
            </w:r>
            <w:proofErr w:type="gramStart"/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权成交</w:t>
            </w:r>
            <w:proofErr w:type="gramEnd"/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的，矿业权交易平台应当在发出中标通知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书或者签订成交确认书后5个工作日内进行信息公示。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一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）同级自然资源主管部门门户网站；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二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）矿业权交易平台交易大厅；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三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）全国公共资源交易平台（玉溪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市）；</w:t>
            </w:r>
          </w:p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四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）有必要采取的其他方式。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（一）市或县区负责矿业权出让审批登记发证的自然资源主管部门；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（二）市或县区具体负责组织交易的公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共资源交易中心。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22431" w:rsidRPr="00622431" w:rsidTr="00622431">
        <w:trPr>
          <w:trHeight w:val="127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矿业权出让</w:t>
            </w:r>
          </w:p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宋体" w:eastAsia="方正仿宋_GBK" w:hAnsi="宋体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审批结果信息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包括矿业权人、矿业权名称、许可证号、有效期止、申请类型等。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622431" w:rsidRPr="00622431" w:rsidRDefault="00622431" w:rsidP="00622431">
            <w:pPr>
              <w:widowControl/>
              <w:spacing w:before="100" w:beforeAutospacing="1"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审批结束后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20个工作日内予以公开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一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）同级政府信息公开网站；</w:t>
            </w:r>
          </w:p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622431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二</w:t>
            </w: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）有必要采取的其他方式。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spacing w:before="100" w:beforeAutospacing="1" w:line="402" w:lineRule="atLeas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  <w:r w:rsidRPr="00622431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市或县区负责矿业权出让审批登记发证的自然资源主管部门</w:t>
            </w:r>
          </w:p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2431" w:rsidRPr="00622431" w:rsidRDefault="00622431" w:rsidP="00622431">
            <w:pPr>
              <w:widowControl/>
              <w:jc w:val="left"/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2D6637" w:rsidRPr="00622431" w:rsidRDefault="002D6637">
      <w:pPr>
        <w:rPr>
          <w:rFonts w:ascii="方正仿宋_GBK" w:eastAsia="方正仿宋_GBK" w:hint="eastAsia"/>
          <w:sz w:val="32"/>
          <w:szCs w:val="32"/>
        </w:rPr>
      </w:pPr>
    </w:p>
    <w:sectPr w:rsidR="002D6637" w:rsidRPr="00622431" w:rsidSect="00622431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431"/>
    <w:rsid w:val="002D6637"/>
    <w:rsid w:val="006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P R C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2023-05-10T08:03:00Z</dcterms:created>
  <dcterms:modified xsi:type="dcterms:W3CDTF">2023-05-10T08:11:00Z</dcterms:modified>
</cp:coreProperties>
</file>