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仿宋_GB2312" w:cs="Times New Roman"/>
          <w:b/>
          <w:color w:val="000000" w:themeColor="text1"/>
          <w:sz w:val="44"/>
          <w:szCs w:val="44"/>
        </w:rPr>
      </w:pPr>
      <w:bookmarkStart w:id="90" w:name="_GoBack"/>
      <w:bookmarkEnd w:id="90"/>
    </w:p>
    <w:p>
      <w:pPr>
        <w:jc w:val="center"/>
        <w:rPr>
          <w:rFonts w:ascii="Times New Roman" w:hAnsi="Times New Roman" w:eastAsia="仿宋_GB2312" w:cs="Times New Roman"/>
          <w:b/>
          <w:color w:val="000000" w:themeColor="text1"/>
          <w:sz w:val="44"/>
          <w:szCs w:val="44"/>
        </w:rPr>
      </w:pPr>
    </w:p>
    <w:p>
      <w:pPr>
        <w:jc w:val="center"/>
        <w:rPr>
          <w:rFonts w:ascii="Times New Roman" w:hAnsi="Times New Roman" w:eastAsia="仿宋_GB2312" w:cs="Times New Roman"/>
          <w:b/>
          <w:color w:val="000000" w:themeColor="text1"/>
          <w:sz w:val="44"/>
          <w:szCs w:val="44"/>
        </w:rPr>
      </w:pPr>
    </w:p>
    <w:p>
      <w:pPr>
        <w:jc w:val="center"/>
        <w:rPr>
          <w:rFonts w:ascii="Times New Roman" w:hAnsi="Times New Roman" w:eastAsia="仿宋_GB2312" w:cs="Times New Roman"/>
          <w:b/>
          <w:color w:val="000000" w:themeColor="text1"/>
          <w:sz w:val="44"/>
          <w:szCs w:val="44"/>
        </w:rPr>
      </w:pPr>
      <w:r>
        <w:rPr>
          <w:rFonts w:hint="eastAsia" w:ascii="Times New Roman" w:hAnsi="Times New Roman" w:eastAsia="仿宋_GB2312" w:cs="Times New Roman"/>
          <w:b/>
          <w:color w:val="000000" w:themeColor="text1"/>
          <w:sz w:val="44"/>
          <w:szCs w:val="44"/>
        </w:rPr>
        <w:t>玉溪市江川区县城规划区</w:t>
      </w:r>
      <w:r>
        <w:rPr>
          <w:rFonts w:ascii="Times New Roman" w:hAnsi="Times New Roman" w:eastAsia="仿宋_GB2312" w:cs="Times New Roman"/>
          <w:b/>
          <w:color w:val="000000" w:themeColor="text1"/>
          <w:sz w:val="44"/>
          <w:szCs w:val="44"/>
        </w:rPr>
        <w:t>标定地价体系</w:t>
      </w:r>
    </w:p>
    <w:p>
      <w:pPr>
        <w:rPr>
          <w:rFonts w:ascii="Times New Roman" w:hAnsi="Times New Roman" w:eastAsia="仿宋_GB2312" w:cs="Times New Roman"/>
          <w:b/>
          <w:color w:val="000000" w:themeColor="text1"/>
          <w:sz w:val="100"/>
          <w:szCs w:val="100"/>
          <w:shd w:val="clear" w:color="auto" w:fill="FFFFFF"/>
        </w:rPr>
      </w:pPr>
    </w:p>
    <w:p>
      <w:pPr>
        <w:rPr>
          <w:rFonts w:ascii="Times New Roman" w:hAnsi="Times New Roman" w:eastAsia="仿宋_GB2312" w:cs="Times New Roman"/>
          <w:b/>
          <w:color w:val="000000" w:themeColor="text1"/>
          <w:sz w:val="100"/>
          <w:szCs w:val="100"/>
          <w:shd w:val="clear" w:color="auto" w:fill="FFFFFF"/>
        </w:rPr>
      </w:pPr>
    </w:p>
    <w:p>
      <w:pPr>
        <w:ind w:firstLine="2530" w:firstLineChars="300"/>
        <w:rPr>
          <w:rFonts w:ascii="Times New Roman" w:hAnsi="Times New Roman" w:eastAsia="仿宋_GB2312" w:cs="Times New Roman"/>
          <w:b/>
          <w:color w:val="000000" w:themeColor="text1"/>
          <w:sz w:val="84"/>
          <w:szCs w:val="84"/>
          <w:shd w:val="clear" w:color="auto" w:fill="FFFFFF"/>
        </w:rPr>
      </w:pPr>
      <w:r>
        <w:rPr>
          <w:rFonts w:ascii="Times New Roman" w:hAnsi="Times New Roman" w:eastAsia="仿宋_GB2312" w:cs="Times New Roman"/>
          <w:b/>
          <w:color w:val="000000" w:themeColor="text1"/>
          <w:sz w:val="84"/>
          <w:szCs w:val="84"/>
          <w:shd w:val="clear" w:color="auto" w:fill="FFFFFF"/>
        </w:rPr>
        <w:t>建设报告</w:t>
      </w:r>
    </w:p>
    <w:p>
      <w:pPr>
        <w:widowControl/>
        <w:jc w:val="center"/>
        <w:rPr>
          <w:rFonts w:ascii="Times New Roman" w:hAnsi="Times New Roman" w:eastAsia="仿宋_GB2312" w:cs="Times New Roman"/>
          <w:b/>
          <w:color w:val="000000" w:themeColor="text1"/>
          <w:sz w:val="36"/>
          <w:szCs w:val="36"/>
        </w:rPr>
      </w:pPr>
      <w:r>
        <w:rPr>
          <w:rFonts w:hint="eastAsia" w:ascii="Times New Roman" w:hAnsi="Times New Roman" w:eastAsia="仿宋_GB2312" w:cs="Times New Roman"/>
          <w:b/>
          <w:color w:val="000000" w:themeColor="text1"/>
          <w:sz w:val="36"/>
          <w:szCs w:val="36"/>
        </w:rPr>
        <w:t>（初稿）</w:t>
      </w:r>
    </w:p>
    <w:p>
      <w:pPr>
        <w:rPr>
          <w:rFonts w:ascii="Times New Roman" w:hAnsi="Times New Roman" w:eastAsia="仿宋_GB2312" w:cs="Times New Roman"/>
          <w:b/>
          <w:color w:val="000000" w:themeColor="text1"/>
          <w:sz w:val="100"/>
          <w:szCs w:val="100"/>
          <w:lang w:val="zh-CN"/>
        </w:rPr>
      </w:pPr>
    </w:p>
    <w:p>
      <w:pPr>
        <w:rPr>
          <w:rFonts w:ascii="Times New Roman" w:hAnsi="Times New Roman" w:eastAsia="仿宋_GB2312" w:cs="Times New Roman"/>
          <w:b/>
          <w:color w:val="000000" w:themeColor="text1"/>
          <w:sz w:val="100"/>
          <w:szCs w:val="100"/>
          <w:lang w:val="zh-CN"/>
        </w:rPr>
      </w:pPr>
    </w:p>
    <w:p>
      <w:pPr>
        <w:jc w:val="center"/>
        <w:rPr>
          <w:rFonts w:ascii="Times New Roman" w:hAnsi="Times New Roman" w:eastAsia="仿宋_GB2312" w:cs="Times New Roman"/>
          <w:b/>
          <w:color w:val="000000" w:themeColor="text1"/>
          <w:sz w:val="28"/>
          <w:szCs w:val="28"/>
        </w:rPr>
      </w:pPr>
      <w:r>
        <w:rPr>
          <w:rFonts w:hint="eastAsia" w:ascii="Times New Roman" w:hAnsi="Times New Roman" w:eastAsia="仿宋_GB2312" w:cs="Times New Roman"/>
          <w:b/>
          <w:color w:val="000000" w:themeColor="text1"/>
          <w:sz w:val="28"/>
          <w:szCs w:val="28"/>
        </w:rPr>
        <w:t>玉溪市江川区自然资源局</w:t>
      </w:r>
    </w:p>
    <w:p>
      <w:pPr>
        <w:jc w:val="center"/>
        <w:rPr>
          <w:rFonts w:ascii="Times New Roman" w:hAnsi="Times New Roman" w:eastAsia="仿宋_GB2312" w:cs="Times New Roman"/>
          <w:b/>
          <w:color w:val="000000" w:themeColor="text1"/>
          <w:sz w:val="28"/>
          <w:szCs w:val="28"/>
        </w:rPr>
      </w:pPr>
      <w:r>
        <w:rPr>
          <w:rFonts w:ascii="Times New Roman" w:hAnsi="Times New Roman" w:eastAsia="仿宋_GB2312" w:cs="Times New Roman"/>
          <w:b/>
          <w:color w:val="000000" w:themeColor="text1"/>
          <w:sz w:val="28"/>
          <w:szCs w:val="28"/>
        </w:rPr>
        <w:t>云南优化房地产土地资产评估咨询有限公司</w:t>
      </w:r>
    </w:p>
    <w:p>
      <w:pPr>
        <w:jc w:val="center"/>
        <w:rPr>
          <w:rFonts w:ascii="Times New Roman" w:hAnsi="Times New Roman" w:eastAsia="仿宋_GB2312" w:cs="Times New Roman"/>
          <w:b/>
          <w:color w:val="000000" w:themeColor="text1"/>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0"/>
          <w:cols w:space="425" w:num="1"/>
          <w:titlePg/>
          <w:docGrid w:type="lines" w:linePitch="312" w:charSpace="0"/>
        </w:sectPr>
      </w:pPr>
      <w:r>
        <w:rPr>
          <w:rFonts w:ascii="Times New Roman" w:hAnsi="Times New Roman" w:eastAsia="仿宋_GB2312" w:cs="Times New Roman"/>
          <w:b/>
          <w:color w:val="000000" w:themeColor="text1"/>
          <w:sz w:val="28"/>
          <w:szCs w:val="28"/>
        </w:rPr>
        <w:t>20</w:t>
      </w:r>
      <w:r>
        <w:rPr>
          <w:rFonts w:hint="eastAsia" w:ascii="Times New Roman" w:hAnsi="Times New Roman" w:eastAsia="仿宋_GB2312" w:cs="Times New Roman"/>
          <w:b/>
          <w:color w:val="000000" w:themeColor="text1"/>
          <w:sz w:val="28"/>
          <w:szCs w:val="28"/>
        </w:rPr>
        <w:t>20</w:t>
      </w:r>
      <w:r>
        <w:rPr>
          <w:rFonts w:ascii="Times New Roman" w:hAnsi="Times New Roman" w:eastAsia="仿宋_GB2312" w:cs="Times New Roman"/>
          <w:b/>
          <w:color w:val="000000" w:themeColor="text1"/>
          <w:sz w:val="28"/>
          <w:szCs w:val="28"/>
        </w:rPr>
        <w:t>年</w:t>
      </w:r>
      <w:r>
        <w:rPr>
          <w:rFonts w:hint="eastAsia" w:ascii="Times New Roman" w:hAnsi="Times New Roman" w:eastAsia="仿宋_GB2312" w:cs="Times New Roman"/>
          <w:b/>
          <w:color w:val="000000" w:themeColor="text1"/>
          <w:sz w:val="28"/>
          <w:szCs w:val="28"/>
        </w:rPr>
        <w:t>10</w:t>
      </w:r>
      <w:r>
        <w:rPr>
          <w:rFonts w:ascii="Times New Roman" w:hAnsi="Times New Roman" w:eastAsia="仿宋_GB2312" w:cs="Times New Roman"/>
          <w:b/>
          <w:color w:val="000000" w:themeColor="text1"/>
          <w:sz w:val="28"/>
          <w:szCs w:val="28"/>
        </w:rPr>
        <w:t>月</w:t>
      </w:r>
    </w:p>
    <w:p>
      <w:pPr>
        <w:tabs>
          <w:tab w:val="left" w:pos="1365"/>
          <w:tab w:val="center" w:pos="4153"/>
        </w:tabs>
        <w:jc w:val="center"/>
        <w:rPr>
          <w:rFonts w:ascii="Times New Roman" w:hAnsi="Times New Roman" w:eastAsia="仿宋_GB2312" w:cs="Times New Roman"/>
          <w:b/>
          <w:color w:val="000000" w:themeColor="text1"/>
          <w:sz w:val="36"/>
          <w:szCs w:val="36"/>
          <w:lang w:val="zh-CN"/>
        </w:rPr>
      </w:pPr>
      <w:r>
        <w:rPr>
          <w:rFonts w:ascii="Times New Roman" w:hAnsi="Times New Roman" w:eastAsia="仿宋_GB2312" w:cs="Times New Roman"/>
          <w:b/>
          <w:color w:val="000000" w:themeColor="text1"/>
          <w:sz w:val="36"/>
          <w:szCs w:val="36"/>
          <w:lang w:val="zh-CN"/>
        </w:rPr>
        <w:t>目  录</w:t>
      </w:r>
    </w:p>
    <w:p>
      <w:pPr>
        <w:pStyle w:val="12"/>
        <w:tabs>
          <w:tab w:val="right" w:leader="dot" w:pos="8302"/>
        </w:tabs>
        <w:rPr>
          <w:rFonts w:asciiTheme="minorHAnsi" w:hAnsiTheme="minorHAnsi" w:eastAsiaTheme="minorEastAsia" w:cstheme="minorBidi"/>
          <w:color w:val="000000" w:themeColor="text1"/>
          <w:kern w:val="2"/>
          <w:sz w:val="21"/>
          <w:szCs w:val="22"/>
        </w:rPr>
      </w:pPr>
      <w:r>
        <w:rPr>
          <w:rStyle w:val="24"/>
          <w:rFonts w:hint="eastAsia"/>
          <w:color w:val="000000" w:themeColor="text1"/>
        </w:rPr>
        <w:fldChar w:fldCharType="begin"/>
      </w:r>
      <w:r>
        <w:rPr>
          <w:rStyle w:val="24"/>
          <w:rFonts w:hint="eastAsia" w:ascii="仿宋_GB2312" w:hAnsi="仿宋_GB2312" w:eastAsia="仿宋_GB2312" w:cs="仿宋_GB2312"/>
          <w:color w:val="000000" w:themeColor="text1"/>
        </w:rPr>
        <w:instrText xml:space="preserve"> TOC \o "1-3" \h \z \u </w:instrText>
      </w:r>
      <w:r>
        <w:rPr>
          <w:rStyle w:val="24"/>
          <w:rFonts w:hint="eastAsia"/>
          <w:color w:val="000000" w:themeColor="text1"/>
        </w:rPr>
        <w:fldChar w:fldCharType="separate"/>
      </w:r>
      <w:r>
        <w:fldChar w:fldCharType="begin"/>
      </w:r>
      <w:r>
        <w:instrText xml:space="preserve"> HYPERLINK \l "_Toc46252804" </w:instrText>
      </w:r>
      <w:r>
        <w:fldChar w:fldCharType="separate"/>
      </w:r>
      <w:r>
        <w:rPr>
          <w:rStyle w:val="24"/>
          <w:rFonts w:hint="eastAsia" w:ascii="Times New Roman" w:hAnsi="Times New Roman" w:eastAsia="仿宋_GB2312" w:cs="Times New Roman"/>
          <w:color w:val="000000" w:themeColor="text1"/>
        </w:rPr>
        <w:t>前言</w:t>
      </w:r>
      <w:r>
        <w:rPr>
          <w:color w:val="000000" w:themeColor="text1"/>
        </w:rPr>
        <w:tab/>
      </w:r>
      <w:r>
        <w:rPr>
          <w:color w:val="000000" w:themeColor="text1"/>
        </w:rPr>
        <w:fldChar w:fldCharType="begin"/>
      </w:r>
      <w:r>
        <w:rPr>
          <w:color w:val="000000" w:themeColor="text1"/>
        </w:rPr>
        <w:instrText xml:space="preserve"> PAGEREF _Toc46252804 \h </w:instrText>
      </w:r>
      <w:r>
        <w:rPr>
          <w:color w:val="000000" w:themeColor="text1"/>
        </w:rPr>
        <w:fldChar w:fldCharType="separate"/>
      </w:r>
      <w:r>
        <w:rPr>
          <w:color w:val="000000" w:themeColor="text1"/>
        </w:rPr>
        <w:t>1</w:t>
      </w:r>
      <w:r>
        <w:rPr>
          <w:color w:val="000000" w:themeColor="text1"/>
        </w:rPr>
        <w:fldChar w:fldCharType="end"/>
      </w:r>
      <w:r>
        <w:rPr>
          <w:color w:val="000000" w:themeColor="text1"/>
        </w:rPr>
        <w:fldChar w:fldCharType="end"/>
      </w:r>
    </w:p>
    <w:p>
      <w:pPr>
        <w:pStyle w:val="14"/>
        <w:tabs>
          <w:tab w:val="right" w:leader="dot" w:pos="8302"/>
        </w:tabs>
        <w:rPr>
          <w:rFonts w:asciiTheme="minorHAnsi" w:hAnsiTheme="minorHAnsi" w:eastAsiaTheme="minorEastAsia" w:cstheme="minorBidi"/>
          <w:color w:val="000000" w:themeColor="text1"/>
          <w:kern w:val="2"/>
          <w:sz w:val="21"/>
          <w:szCs w:val="22"/>
        </w:rPr>
      </w:pPr>
      <w:r>
        <w:fldChar w:fldCharType="begin"/>
      </w:r>
      <w:r>
        <w:instrText xml:space="preserve"> HYPERLINK \l "_Toc46252805" </w:instrText>
      </w:r>
      <w:r>
        <w:fldChar w:fldCharType="separate"/>
      </w:r>
      <w:r>
        <w:rPr>
          <w:rStyle w:val="24"/>
          <w:rFonts w:hint="eastAsia" w:ascii="Times New Roman" w:hAnsi="Times New Roman" w:eastAsia="仿宋_GB2312"/>
          <w:b/>
          <w:color w:val="000000" w:themeColor="text1"/>
          <w:spacing w:val="5"/>
        </w:rPr>
        <w:t>第一章江川区县城规划区标定地价体系建设概述</w:t>
      </w:r>
      <w:r>
        <w:rPr>
          <w:color w:val="000000" w:themeColor="text1"/>
        </w:rPr>
        <w:tab/>
      </w:r>
      <w:r>
        <w:rPr>
          <w:color w:val="000000" w:themeColor="text1"/>
        </w:rPr>
        <w:fldChar w:fldCharType="begin"/>
      </w:r>
      <w:r>
        <w:rPr>
          <w:color w:val="000000" w:themeColor="text1"/>
        </w:rPr>
        <w:instrText xml:space="preserve"> PAGEREF _Toc46252805 \h </w:instrText>
      </w:r>
      <w:r>
        <w:rPr>
          <w:color w:val="000000" w:themeColor="text1"/>
        </w:rPr>
        <w:fldChar w:fldCharType="separate"/>
      </w:r>
      <w:r>
        <w:rPr>
          <w:color w:val="000000" w:themeColor="text1"/>
        </w:rPr>
        <w:t>3</w:t>
      </w:r>
      <w:r>
        <w:rPr>
          <w:color w:val="000000" w:themeColor="text1"/>
        </w:rPr>
        <w:fldChar w:fldCharType="end"/>
      </w:r>
      <w:r>
        <w:rPr>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"_Toc46252806" </w:instrText>
      </w:r>
      <w:r>
        <w:fldChar w:fldCharType="separate"/>
      </w:r>
      <w:r>
        <w:rPr>
          <w:rStyle w:val="24"/>
          <w:rFonts w:hint="eastAsia" w:ascii="仿宋" w:hAnsi="仿宋" w:eastAsia="仿宋"/>
          <w:color w:val="000000" w:themeColor="text1"/>
        </w:rPr>
        <w:t>第一节编制背景</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_Toc46252806 \h </w:instrText>
      </w:r>
      <w:r>
        <w:rPr>
          <w:rStyle w:val="24"/>
          <w:rFonts w:ascii="仿宋" w:hAnsi="仿宋" w:eastAsia="仿宋"/>
          <w:color w:val="000000" w:themeColor="text1"/>
        </w:rPr>
        <w:fldChar w:fldCharType="separate"/>
      </w:r>
      <w:r>
        <w:rPr>
          <w:rStyle w:val="24"/>
          <w:rFonts w:ascii="仿宋" w:hAnsi="仿宋" w:eastAsia="仿宋"/>
          <w:color w:val="000000" w:themeColor="text1"/>
        </w:rPr>
        <w:t>3</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"_Toc46252807" </w:instrText>
      </w:r>
      <w:r>
        <w:fldChar w:fldCharType="separate"/>
      </w:r>
      <w:r>
        <w:rPr>
          <w:rStyle w:val="24"/>
          <w:rFonts w:hint="eastAsia" w:ascii="仿宋" w:hAnsi="仿宋" w:eastAsia="仿宋"/>
          <w:color w:val="000000" w:themeColor="text1"/>
        </w:rPr>
        <w:t>第二节工作目标</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_Toc46252807 \h </w:instrText>
      </w:r>
      <w:r>
        <w:rPr>
          <w:rStyle w:val="24"/>
          <w:rFonts w:ascii="仿宋" w:hAnsi="仿宋" w:eastAsia="仿宋"/>
          <w:color w:val="000000" w:themeColor="text1"/>
        </w:rPr>
        <w:fldChar w:fldCharType="separate"/>
      </w:r>
      <w:r>
        <w:rPr>
          <w:rStyle w:val="24"/>
          <w:rFonts w:ascii="仿宋" w:hAnsi="仿宋" w:eastAsia="仿宋"/>
          <w:color w:val="000000" w:themeColor="text1"/>
        </w:rPr>
        <w:t>3</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"_Toc46252808" </w:instrText>
      </w:r>
      <w:r>
        <w:fldChar w:fldCharType="separate"/>
      </w:r>
      <w:r>
        <w:rPr>
          <w:rStyle w:val="24"/>
          <w:rFonts w:hint="eastAsia" w:ascii="仿宋" w:hAnsi="仿宋" w:eastAsia="仿宋"/>
          <w:color w:val="000000" w:themeColor="text1"/>
        </w:rPr>
        <w:t>第三节开展标定地价公示工作的意义</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_Toc46252808 \h </w:instrText>
      </w:r>
      <w:r>
        <w:rPr>
          <w:rStyle w:val="24"/>
          <w:rFonts w:ascii="仿宋" w:hAnsi="仿宋" w:eastAsia="仿宋"/>
          <w:color w:val="000000" w:themeColor="text1"/>
        </w:rPr>
        <w:fldChar w:fldCharType="separate"/>
      </w:r>
      <w:r>
        <w:rPr>
          <w:rStyle w:val="24"/>
          <w:rFonts w:ascii="仿宋" w:hAnsi="仿宋" w:eastAsia="仿宋"/>
          <w:color w:val="000000" w:themeColor="text1"/>
        </w:rPr>
        <w:t>4</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"_Toc46252809" </w:instrText>
      </w:r>
      <w:r>
        <w:fldChar w:fldCharType="separate"/>
      </w:r>
      <w:r>
        <w:rPr>
          <w:rStyle w:val="24"/>
          <w:rFonts w:hint="eastAsia" w:ascii="仿宋" w:hAnsi="仿宋" w:eastAsia="仿宋"/>
          <w:color w:val="000000" w:themeColor="text1"/>
        </w:rPr>
        <w:t>第四节开展标定地价公示工作的依据</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_Toc46252809 \h </w:instrText>
      </w:r>
      <w:r>
        <w:rPr>
          <w:rStyle w:val="24"/>
          <w:rFonts w:ascii="仿宋" w:hAnsi="仿宋" w:eastAsia="仿宋"/>
          <w:color w:val="000000" w:themeColor="text1"/>
        </w:rPr>
        <w:fldChar w:fldCharType="separate"/>
      </w:r>
      <w:r>
        <w:rPr>
          <w:rStyle w:val="24"/>
          <w:rFonts w:ascii="仿宋" w:hAnsi="仿宋" w:eastAsia="仿宋"/>
          <w:color w:val="000000" w:themeColor="text1"/>
        </w:rPr>
        <w:t>5</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14"/>
        <w:tabs>
          <w:tab w:val="right" w:leader="dot" w:pos="8302"/>
        </w:tabs>
        <w:rPr>
          <w:rFonts w:asciiTheme="minorHAnsi" w:hAnsiTheme="minorHAnsi" w:eastAsiaTheme="minorEastAsia" w:cstheme="minorBidi"/>
          <w:color w:val="000000" w:themeColor="text1"/>
          <w:kern w:val="2"/>
          <w:sz w:val="21"/>
          <w:szCs w:val="22"/>
        </w:rPr>
      </w:pPr>
      <w:r>
        <w:fldChar w:fldCharType="begin"/>
      </w:r>
      <w:r>
        <w:instrText xml:space="preserve"> HYPERLINK \l "_Toc46252810" </w:instrText>
      </w:r>
      <w:r>
        <w:fldChar w:fldCharType="separate"/>
      </w:r>
      <w:r>
        <w:rPr>
          <w:rStyle w:val="24"/>
          <w:rFonts w:hint="eastAsia" w:ascii="仿宋" w:hAnsi="仿宋" w:eastAsia="仿宋"/>
          <w:b/>
          <w:color w:val="000000" w:themeColor="text1"/>
          <w:spacing w:val="5"/>
        </w:rPr>
        <w:t>第二章江川区标定地价体系建设工作内容及技术路线</w:t>
      </w:r>
      <w:r>
        <w:rPr>
          <w:color w:val="000000" w:themeColor="text1"/>
        </w:rPr>
        <w:tab/>
      </w:r>
      <w:r>
        <w:rPr>
          <w:color w:val="000000" w:themeColor="text1"/>
        </w:rPr>
        <w:fldChar w:fldCharType="begin"/>
      </w:r>
      <w:r>
        <w:rPr>
          <w:color w:val="000000" w:themeColor="text1"/>
        </w:rPr>
        <w:instrText xml:space="preserve"> PAGEREF _Toc46252810 \h </w:instrText>
      </w:r>
      <w:r>
        <w:rPr>
          <w:color w:val="000000" w:themeColor="text1"/>
        </w:rPr>
        <w:fldChar w:fldCharType="separate"/>
      </w:r>
      <w:r>
        <w:rPr>
          <w:color w:val="000000" w:themeColor="text1"/>
        </w:rPr>
        <w:t>7</w:t>
      </w:r>
      <w:r>
        <w:rPr>
          <w:color w:val="000000" w:themeColor="text1"/>
        </w:rPr>
        <w:fldChar w:fldCharType="end"/>
      </w:r>
      <w:r>
        <w:rPr>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"_Toc46252811" </w:instrText>
      </w:r>
      <w:r>
        <w:fldChar w:fldCharType="separate"/>
      </w:r>
      <w:r>
        <w:rPr>
          <w:rStyle w:val="24"/>
          <w:rFonts w:hint="eastAsia" w:ascii="仿宋" w:hAnsi="仿宋" w:eastAsia="仿宋"/>
          <w:color w:val="000000" w:themeColor="text1"/>
        </w:rPr>
        <w:t>第一节与标定地价有关的术语和定义</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_Toc46252811 \h </w:instrText>
      </w:r>
      <w:r>
        <w:rPr>
          <w:rStyle w:val="24"/>
          <w:rFonts w:ascii="仿宋" w:hAnsi="仿宋" w:eastAsia="仿宋"/>
          <w:color w:val="000000" w:themeColor="text1"/>
        </w:rPr>
        <w:fldChar w:fldCharType="separate"/>
      </w:r>
      <w:r>
        <w:rPr>
          <w:rStyle w:val="24"/>
          <w:rFonts w:ascii="仿宋" w:hAnsi="仿宋" w:eastAsia="仿宋"/>
          <w:color w:val="000000" w:themeColor="text1"/>
        </w:rPr>
        <w:t>7</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"_Toc46252812" </w:instrText>
      </w:r>
      <w:r>
        <w:fldChar w:fldCharType="separate"/>
      </w:r>
      <w:r>
        <w:rPr>
          <w:rStyle w:val="24"/>
          <w:rFonts w:hint="eastAsia" w:ascii="仿宋" w:hAnsi="仿宋" w:eastAsia="仿宋"/>
          <w:color w:val="000000" w:themeColor="text1"/>
        </w:rPr>
        <w:t>第二节标定地价的用途分类</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_Toc46252812 \h </w:instrText>
      </w:r>
      <w:r>
        <w:rPr>
          <w:rStyle w:val="24"/>
          <w:rFonts w:ascii="仿宋" w:hAnsi="仿宋" w:eastAsia="仿宋"/>
          <w:color w:val="000000" w:themeColor="text1"/>
        </w:rPr>
        <w:fldChar w:fldCharType="separate"/>
      </w:r>
      <w:r>
        <w:rPr>
          <w:rStyle w:val="24"/>
          <w:rFonts w:ascii="仿宋" w:hAnsi="仿宋" w:eastAsia="仿宋"/>
          <w:color w:val="000000" w:themeColor="text1"/>
        </w:rPr>
        <w:t>7</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"_Toc46252813" </w:instrText>
      </w:r>
      <w:r>
        <w:fldChar w:fldCharType="separate"/>
      </w:r>
      <w:r>
        <w:rPr>
          <w:rStyle w:val="24"/>
          <w:rFonts w:hint="eastAsia" w:ascii="仿宋" w:hAnsi="仿宋" w:eastAsia="仿宋"/>
          <w:color w:val="000000" w:themeColor="text1"/>
        </w:rPr>
        <w:t>第三节技术路线</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_Toc46252813 \h </w:instrText>
      </w:r>
      <w:r>
        <w:rPr>
          <w:rStyle w:val="24"/>
          <w:rFonts w:ascii="仿宋" w:hAnsi="仿宋" w:eastAsia="仿宋"/>
          <w:color w:val="000000" w:themeColor="text1"/>
        </w:rPr>
        <w:fldChar w:fldCharType="separate"/>
      </w:r>
      <w:r>
        <w:rPr>
          <w:rStyle w:val="24"/>
          <w:rFonts w:ascii="仿宋" w:hAnsi="仿宋" w:eastAsia="仿宋"/>
          <w:color w:val="000000" w:themeColor="text1"/>
        </w:rPr>
        <w:t>9</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"_Toc46252814" </w:instrText>
      </w:r>
      <w:r>
        <w:fldChar w:fldCharType="separate"/>
      </w:r>
      <w:r>
        <w:rPr>
          <w:rStyle w:val="24"/>
          <w:rFonts w:hint="eastAsia" w:ascii="仿宋" w:hAnsi="仿宋" w:eastAsia="仿宋"/>
          <w:color w:val="000000" w:themeColor="text1"/>
        </w:rPr>
        <w:t>第四节标定地价体系建设程序</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_Toc46252814 \h </w:instrText>
      </w:r>
      <w:r>
        <w:rPr>
          <w:rStyle w:val="24"/>
          <w:rFonts w:ascii="仿宋" w:hAnsi="仿宋" w:eastAsia="仿宋"/>
          <w:color w:val="000000" w:themeColor="text1"/>
        </w:rPr>
        <w:fldChar w:fldCharType="separate"/>
      </w:r>
      <w:r>
        <w:rPr>
          <w:rStyle w:val="24"/>
          <w:rFonts w:ascii="仿宋" w:hAnsi="仿宋" w:eastAsia="仿宋"/>
          <w:color w:val="000000" w:themeColor="text1"/>
        </w:rPr>
        <w:t>11</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14"/>
        <w:tabs>
          <w:tab w:val="right" w:leader="dot" w:pos="8302"/>
        </w:tabs>
        <w:rPr>
          <w:rFonts w:asciiTheme="minorHAnsi" w:hAnsiTheme="minorHAnsi" w:eastAsiaTheme="minorEastAsia" w:cstheme="minorBidi"/>
          <w:color w:val="000000" w:themeColor="text1"/>
          <w:kern w:val="2"/>
          <w:sz w:val="21"/>
          <w:szCs w:val="22"/>
        </w:rPr>
      </w:pPr>
      <w:r>
        <w:fldChar w:fldCharType="begin"/>
      </w:r>
      <w:r>
        <w:instrText xml:space="preserve"> HYPERLINK \l "_Toc46252815" </w:instrText>
      </w:r>
      <w:r>
        <w:fldChar w:fldCharType="separate"/>
      </w:r>
      <w:r>
        <w:rPr>
          <w:rStyle w:val="24"/>
          <w:rFonts w:hint="eastAsia" w:ascii="仿宋" w:hAnsi="仿宋" w:eastAsia="仿宋"/>
          <w:b/>
          <w:color w:val="000000" w:themeColor="text1"/>
          <w:spacing w:val="5"/>
        </w:rPr>
        <w:t>第三章标定地价体系公示范围的确定</w:t>
      </w:r>
      <w:r>
        <w:rPr>
          <w:color w:val="000000" w:themeColor="text1"/>
        </w:rPr>
        <w:tab/>
      </w:r>
      <w:r>
        <w:rPr>
          <w:color w:val="000000" w:themeColor="text1"/>
        </w:rPr>
        <w:fldChar w:fldCharType="begin"/>
      </w:r>
      <w:r>
        <w:rPr>
          <w:color w:val="000000" w:themeColor="text1"/>
        </w:rPr>
        <w:instrText xml:space="preserve"> PAGEREF _Toc46252815 \h </w:instrText>
      </w:r>
      <w:r>
        <w:rPr>
          <w:color w:val="000000" w:themeColor="text1"/>
        </w:rPr>
        <w:fldChar w:fldCharType="separate"/>
      </w:r>
      <w:r>
        <w:rPr>
          <w:color w:val="000000" w:themeColor="text1"/>
        </w:rPr>
        <w:t>12</w:t>
      </w:r>
      <w:r>
        <w:rPr>
          <w:color w:val="000000" w:themeColor="text1"/>
        </w:rPr>
        <w:fldChar w:fldCharType="end"/>
      </w:r>
      <w:r>
        <w:rPr>
          <w:color w:val="000000" w:themeColor="text1"/>
        </w:rPr>
        <w:fldChar w:fldCharType="end"/>
      </w:r>
    </w:p>
    <w:p>
      <w:pPr>
        <w:pStyle w:val="14"/>
        <w:tabs>
          <w:tab w:val="right" w:leader="dot" w:pos="8302"/>
        </w:tabs>
        <w:rPr>
          <w:rFonts w:asciiTheme="minorHAnsi" w:hAnsiTheme="minorHAnsi" w:eastAsiaTheme="minorEastAsia" w:cstheme="minorBidi"/>
          <w:color w:val="000000" w:themeColor="text1"/>
          <w:kern w:val="2"/>
          <w:sz w:val="21"/>
          <w:szCs w:val="22"/>
        </w:rPr>
      </w:pPr>
      <w:r>
        <w:fldChar w:fldCharType="begin"/>
      </w:r>
      <w:r>
        <w:instrText xml:space="preserve"> HYPERLINK \l "_Toc46252816" </w:instrText>
      </w:r>
      <w:r>
        <w:fldChar w:fldCharType="separate"/>
      </w:r>
      <w:r>
        <w:rPr>
          <w:rStyle w:val="24"/>
          <w:rFonts w:hint="eastAsia" w:ascii="Times New Roman" w:hAnsi="Times New Roman" w:eastAsia="仿宋_GB2312"/>
          <w:b/>
          <w:color w:val="000000" w:themeColor="text1"/>
          <w:spacing w:val="5"/>
        </w:rPr>
        <w:t>第四章江川区标定区域的划分</w:t>
      </w:r>
      <w:r>
        <w:rPr>
          <w:color w:val="000000" w:themeColor="text1"/>
        </w:rPr>
        <w:tab/>
      </w:r>
      <w:r>
        <w:rPr>
          <w:color w:val="000000" w:themeColor="text1"/>
        </w:rPr>
        <w:fldChar w:fldCharType="begin"/>
      </w:r>
      <w:r>
        <w:rPr>
          <w:color w:val="000000" w:themeColor="text1"/>
        </w:rPr>
        <w:instrText xml:space="preserve"> PAGEREF _Toc46252816 \h </w:instrText>
      </w:r>
      <w:r>
        <w:rPr>
          <w:color w:val="000000" w:themeColor="text1"/>
        </w:rPr>
        <w:fldChar w:fldCharType="separate"/>
      </w:r>
      <w:r>
        <w:rPr>
          <w:color w:val="000000" w:themeColor="text1"/>
        </w:rPr>
        <w:t>13</w:t>
      </w:r>
      <w:r>
        <w:rPr>
          <w:color w:val="000000" w:themeColor="text1"/>
        </w:rPr>
        <w:fldChar w:fldCharType="end"/>
      </w:r>
      <w:r>
        <w:rPr>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"_Toc46252817" </w:instrText>
      </w:r>
      <w:r>
        <w:fldChar w:fldCharType="separate"/>
      </w:r>
      <w:r>
        <w:rPr>
          <w:rStyle w:val="24"/>
          <w:rFonts w:hint="eastAsia" w:ascii="仿宋" w:hAnsi="仿宋" w:eastAsia="仿宋"/>
          <w:color w:val="000000" w:themeColor="text1"/>
        </w:rPr>
        <w:t>第一节标定区域划分的基本事项</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_Toc46252817 \h </w:instrText>
      </w:r>
      <w:r>
        <w:rPr>
          <w:rStyle w:val="24"/>
          <w:rFonts w:ascii="仿宋" w:hAnsi="仿宋" w:eastAsia="仿宋"/>
          <w:color w:val="000000" w:themeColor="text1"/>
        </w:rPr>
        <w:fldChar w:fldCharType="separate"/>
      </w:r>
      <w:r>
        <w:rPr>
          <w:rStyle w:val="24"/>
          <w:rFonts w:ascii="仿宋" w:hAnsi="仿宋" w:eastAsia="仿宋"/>
          <w:color w:val="000000" w:themeColor="text1"/>
        </w:rPr>
        <w:t>13</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"_Toc46252818" </w:instrText>
      </w:r>
      <w:r>
        <w:fldChar w:fldCharType="separate"/>
      </w:r>
      <w:r>
        <w:rPr>
          <w:rStyle w:val="24"/>
          <w:rFonts w:hint="eastAsia" w:ascii="仿宋" w:hAnsi="仿宋" w:eastAsia="仿宋"/>
          <w:color w:val="000000" w:themeColor="text1"/>
        </w:rPr>
        <w:t>第二节江川区标定区域的划分</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_Toc46252818 \h </w:instrText>
      </w:r>
      <w:r>
        <w:rPr>
          <w:rStyle w:val="24"/>
          <w:rFonts w:ascii="仿宋" w:hAnsi="仿宋" w:eastAsia="仿宋"/>
          <w:color w:val="000000" w:themeColor="text1"/>
        </w:rPr>
        <w:fldChar w:fldCharType="separate"/>
      </w:r>
      <w:r>
        <w:rPr>
          <w:rStyle w:val="24"/>
          <w:rFonts w:ascii="仿宋" w:hAnsi="仿宋" w:eastAsia="仿宋"/>
          <w:color w:val="000000" w:themeColor="text1"/>
        </w:rPr>
        <w:t>15</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14"/>
        <w:tabs>
          <w:tab w:val="right" w:leader="dot" w:pos="8302"/>
        </w:tabs>
        <w:rPr>
          <w:rFonts w:asciiTheme="minorHAnsi" w:hAnsiTheme="minorHAnsi" w:eastAsiaTheme="minorEastAsia" w:cstheme="minorBidi"/>
          <w:color w:val="000000" w:themeColor="text1"/>
          <w:kern w:val="2"/>
          <w:sz w:val="21"/>
          <w:szCs w:val="22"/>
        </w:rPr>
      </w:pPr>
      <w:r>
        <w:fldChar w:fldCharType="begin"/>
      </w:r>
      <w:r>
        <w:instrText xml:space="preserve"> HYPERLINK \l "_Toc46252819" </w:instrText>
      </w:r>
      <w:r>
        <w:fldChar w:fldCharType="separate"/>
      </w:r>
      <w:r>
        <w:rPr>
          <w:rStyle w:val="24"/>
          <w:rFonts w:hint="eastAsia" w:ascii="仿宋" w:hAnsi="仿宋" w:eastAsia="仿宋"/>
          <w:b/>
          <w:color w:val="000000" w:themeColor="text1"/>
          <w:spacing w:val="5"/>
        </w:rPr>
        <w:t>第五章江川区标准宗地的布设</w:t>
      </w:r>
      <w:r>
        <w:rPr>
          <w:color w:val="000000" w:themeColor="text1"/>
        </w:rPr>
        <w:tab/>
      </w:r>
      <w:r>
        <w:rPr>
          <w:color w:val="000000" w:themeColor="text1"/>
        </w:rPr>
        <w:fldChar w:fldCharType="begin"/>
      </w:r>
      <w:r>
        <w:rPr>
          <w:color w:val="000000" w:themeColor="text1"/>
        </w:rPr>
        <w:instrText xml:space="preserve"> PAGEREF _Toc46252819 \h </w:instrText>
      </w:r>
      <w:r>
        <w:rPr>
          <w:color w:val="000000" w:themeColor="text1"/>
        </w:rPr>
        <w:fldChar w:fldCharType="separate"/>
      </w:r>
      <w:r>
        <w:rPr>
          <w:color w:val="000000" w:themeColor="text1"/>
        </w:rPr>
        <w:t>19</w:t>
      </w:r>
      <w:r>
        <w:rPr>
          <w:color w:val="000000" w:themeColor="text1"/>
        </w:rPr>
        <w:fldChar w:fldCharType="end"/>
      </w:r>
      <w:r>
        <w:rPr>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"_Toc46252820" </w:instrText>
      </w:r>
      <w:r>
        <w:fldChar w:fldCharType="separate"/>
      </w:r>
      <w:r>
        <w:rPr>
          <w:rStyle w:val="24"/>
          <w:rFonts w:hint="eastAsia" w:ascii="仿宋" w:hAnsi="仿宋" w:eastAsia="仿宋"/>
          <w:color w:val="000000" w:themeColor="text1"/>
        </w:rPr>
        <w:t>第一节设立原则</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_Toc46252820 \h </w:instrText>
      </w:r>
      <w:r>
        <w:rPr>
          <w:rStyle w:val="24"/>
          <w:rFonts w:ascii="仿宋" w:hAnsi="仿宋" w:eastAsia="仿宋"/>
          <w:color w:val="000000" w:themeColor="text1"/>
        </w:rPr>
        <w:fldChar w:fldCharType="separate"/>
      </w:r>
      <w:r>
        <w:rPr>
          <w:rStyle w:val="24"/>
          <w:rFonts w:ascii="仿宋" w:hAnsi="仿宋" w:eastAsia="仿宋"/>
          <w:color w:val="000000" w:themeColor="text1"/>
        </w:rPr>
        <w:t>19</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"_Toc46252821" </w:instrText>
      </w:r>
      <w:r>
        <w:fldChar w:fldCharType="separate"/>
      </w:r>
      <w:r>
        <w:rPr>
          <w:rStyle w:val="24"/>
          <w:rFonts w:hint="eastAsia" w:ascii="仿宋" w:hAnsi="仿宋" w:eastAsia="仿宋"/>
          <w:color w:val="000000" w:themeColor="text1"/>
        </w:rPr>
        <w:t>第二节设立要求</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_Toc46252821 \h </w:instrText>
      </w:r>
      <w:r>
        <w:rPr>
          <w:rStyle w:val="24"/>
          <w:rFonts w:ascii="仿宋" w:hAnsi="仿宋" w:eastAsia="仿宋"/>
          <w:color w:val="000000" w:themeColor="text1"/>
        </w:rPr>
        <w:fldChar w:fldCharType="separate"/>
      </w:r>
      <w:r>
        <w:rPr>
          <w:rStyle w:val="24"/>
          <w:rFonts w:ascii="仿宋" w:hAnsi="仿宋" w:eastAsia="仿宋"/>
          <w:color w:val="000000" w:themeColor="text1"/>
        </w:rPr>
        <w:t>19</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"_Toc46252822" </w:instrText>
      </w:r>
      <w:r>
        <w:fldChar w:fldCharType="separate"/>
      </w:r>
      <w:r>
        <w:rPr>
          <w:rStyle w:val="24"/>
          <w:rFonts w:hint="eastAsia" w:ascii="仿宋" w:hAnsi="仿宋" w:eastAsia="仿宋"/>
          <w:color w:val="000000" w:themeColor="text1"/>
        </w:rPr>
        <w:t>第三节标准宗地的布设程序</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_Toc46252822 \h </w:instrText>
      </w:r>
      <w:r>
        <w:rPr>
          <w:rStyle w:val="24"/>
          <w:rFonts w:ascii="仿宋" w:hAnsi="仿宋" w:eastAsia="仿宋"/>
          <w:color w:val="000000" w:themeColor="text1"/>
        </w:rPr>
        <w:fldChar w:fldCharType="separate"/>
      </w:r>
      <w:r>
        <w:rPr>
          <w:rStyle w:val="24"/>
          <w:rFonts w:ascii="仿宋" w:hAnsi="仿宋" w:eastAsia="仿宋"/>
          <w:color w:val="000000" w:themeColor="text1"/>
        </w:rPr>
        <w:t>20</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"_Toc46252823" </w:instrText>
      </w:r>
      <w:r>
        <w:fldChar w:fldCharType="separate"/>
      </w:r>
      <w:r>
        <w:rPr>
          <w:rStyle w:val="24"/>
          <w:rFonts w:hint="eastAsia" w:ascii="仿宋" w:hAnsi="仿宋" w:eastAsia="仿宋"/>
          <w:color w:val="000000" w:themeColor="text1"/>
        </w:rPr>
        <w:t>第四节江川区标准宗地的布设</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_Toc46252823 \h </w:instrText>
      </w:r>
      <w:r>
        <w:rPr>
          <w:rStyle w:val="24"/>
          <w:rFonts w:ascii="仿宋" w:hAnsi="仿宋" w:eastAsia="仿宋"/>
          <w:color w:val="000000" w:themeColor="text1"/>
        </w:rPr>
        <w:fldChar w:fldCharType="separate"/>
      </w:r>
      <w:r>
        <w:rPr>
          <w:rStyle w:val="24"/>
          <w:rFonts w:ascii="仿宋" w:hAnsi="仿宋" w:eastAsia="仿宋"/>
          <w:color w:val="000000" w:themeColor="text1"/>
        </w:rPr>
        <w:t>22</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14"/>
        <w:tabs>
          <w:tab w:val="right" w:leader="dot" w:pos="8302"/>
        </w:tabs>
        <w:rPr>
          <w:rFonts w:asciiTheme="minorHAnsi" w:hAnsiTheme="minorHAnsi" w:eastAsiaTheme="minorEastAsia" w:cstheme="minorBidi"/>
          <w:color w:val="000000" w:themeColor="text1"/>
          <w:kern w:val="2"/>
          <w:sz w:val="21"/>
          <w:szCs w:val="22"/>
        </w:rPr>
      </w:pPr>
      <w:r>
        <w:fldChar w:fldCharType="begin"/>
      </w:r>
      <w:r>
        <w:instrText xml:space="preserve"> HYPERLINK \l "_Toc46252824" </w:instrText>
      </w:r>
      <w:r>
        <w:fldChar w:fldCharType="separate"/>
      </w:r>
      <w:r>
        <w:rPr>
          <w:rStyle w:val="24"/>
          <w:rFonts w:hint="eastAsia" w:ascii="Times New Roman" w:hAnsi="Times New Roman" w:eastAsia="仿宋_GB2312"/>
          <w:b/>
          <w:color w:val="000000" w:themeColor="text1"/>
          <w:spacing w:val="5"/>
        </w:rPr>
        <w:t>第六章江川区标定地价的评估与确定</w:t>
      </w:r>
      <w:r>
        <w:rPr>
          <w:color w:val="000000" w:themeColor="text1"/>
        </w:rPr>
        <w:tab/>
      </w:r>
      <w:r>
        <w:rPr>
          <w:color w:val="000000" w:themeColor="text1"/>
        </w:rPr>
        <w:fldChar w:fldCharType="begin"/>
      </w:r>
      <w:r>
        <w:rPr>
          <w:color w:val="000000" w:themeColor="text1"/>
        </w:rPr>
        <w:instrText xml:space="preserve"> PAGEREF _Toc46252824 \h </w:instrText>
      </w:r>
      <w:r>
        <w:rPr>
          <w:color w:val="000000" w:themeColor="text1"/>
        </w:rPr>
        <w:fldChar w:fldCharType="separate"/>
      </w:r>
      <w:r>
        <w:rPr>
          <w:color w:val="000000" w:themeColor="text1"/>
        </w:rPr>
        <w:t>24</w:t>
      </w:r>
      <w:r>
        <w:rPr>
          <w:color w:val="000000" w:themeColor="text1"/>
        </w:rPr>
        <w:fldChar w:fldCharType="end"/>
      </w:r>
      <w:r>
        <w:rPr>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"_Toc46252825" </w:instrText>
      </w:r>
      <w:r>
        <w:fldChar w:fldCharType="separate"/>
      </w:r>
      <w:r>
        <w:rPr>
          <w:rStyle w:val="24"/>
          <w:rFonts w:hint="eastAsia" w:ascii="仿宋" w:hAnsi="仿宋" w:eastAsia="仿宋"/>
          <w:color w:val="000000" w:themeColor="text1"/>
        </w:rPr>
        <w:t>第一节地价内涵</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_Toc46252825 \h </w:instrText>
      </w:r>
      <w:r>
        <w:rPr>
          <w:rStyle w:val="24"/>
          <w:rFonts w:ascii="仿宋" w:hAnsi="仿宋" w:eastAsia="仿宋"/>
          <w:color w:val="000000" w:themeColor="text1"/>
        </w:rPr>
        <w:fldChar w:fldCharType="separate"/>
      </w:r>
      <w:r>
        <w:rPr>
          <w:rStyle w:val="24"/>
          <w:rFonts w:ascii="仿宋" w:hAnsi="仿宋" w:eastAsia="仿宋"/>
          <w:color w:val="000000" w:themeColor="text1"/>
        </w:rPr>
        <w:t>24</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"_Toc46252826" </w:instrText>
      </w:r>
      <w:r>
        <w:fldChar w:fldCharType="separate"/>
      </w:r>
      <w:r>
        <w:rPr>
          <w:rStyle w:val="24"/>
          <w:rFonts w:hint="eastAsia" w:ascii="仿宋" w:hAnsi="仿宋" w:eastAsia="仿宋"/>
          <w:color w:val="000000" w:themeColor="text1"/>
        </w:rPr>
        <w:t>第二节估价原则</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_Toc46252826 \h </w:instrText>
      </w:r>
      <w:r>
        <w:rPr>
          <w:rStyle w:val="24"/>
          <w:rFonts w:ascii="仿宋" w:hAnsi="仿宋" w:eastAsia="仿宋"/>
          <w:color w:val="000000" w:themeColor="text1"/>
        </w:rPr>
        <w:fldChar w:fldCharType="separate"/>
      </w:r>
      <w:r>
        <w:rPr>
          <w:rStyle w:val="24"/>
          <w:rFonts w:ascii="仿宋" w:hAnsi="仿宋" w:eastAsia="仿宋"/>
          <w:color w:val="000000" w:themeColor="text1"/>
        </w:rPr>
        <w:t>25</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"_Toc46252827" </w:instrText>
      </w:r>
      <w:r>
        <w:fldChar w:fldCharType="separate"/>
      </w:r>
      <w:r>
        <w:rPr>
          <w:rStyle w:val="24"/>
          <w:rFonts w:hint="eastAsia" w:ascii="仿宋" w:hAnsi="仿宋" w:eastAsia="仿宋"/>
          <w:color w:val="000000" w:themeColor="text1"/>
        </w:rPr>
        <w:t>第三节估价假设前提说明</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_Toc46252827 \h </w:instrText>
      </w:r>
      <w:r>
        <w:rPr>
          <w:rStyle w:val="24"/>
          <w:rFonts w:ascii="仿宋" w:hAnsi="仿宋" w:eastAsia="仿宋"/>
          <w:color w:val="000000" w:themeColor="text1"/>
        </w:rPr>
        <w:fldChar w:fldCharType="separate"/>
      </w:r>
      <w:r>
        <w:rPr>
          <w:rStyle w:val="24"/>
          <w:rFonts w:ascii="仿宋" w:hAnsi="仿宋" w:eastAsia="仿宋"/>
          <w:color w:val="000000" w:themeColor="text1"/>
        </w:rPr>
        <w:t>26</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"_Toc46252828" </w:instrText>
      </w:r>
      <w:r>
        <w:fldChar w:fldCharType="separate"/>
      </w:r>
      <w:r>
        <w:rPr>
          <w:rStyle w:val="24"/>
          <w:rFonts w:hint="eastAsia" w:ascii="仿宋" w:hAnsi="仿宋" w:eastAsia="仿宋"/>
          <w:color w:val="000000" w:themeColor="text1"/>
        </w:rPr>
        <w:t>第四节估价方法</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_Toc46252828 \h </w:instrText>
      </w:r>
      <w:r>
        <w:rPr>
          <w:rStyle w:val="24"/>
          <w:rFonts w:ascii="仿宋" w:hAnsi="仿宋" w:eastAsia="仿宋"/>
          <w:color w:val="000000" w:themeColor="text1"/>
        </w:rPr>
        <w:fldChar w:fldCharType="separate"/>
      </w:r>
      <w:r>
        <w:rPr>
          <w:rStyle w:val="24"/>
          <w:rFonts w:ascii="仿宋" w:hAnsi="仿宋" w:eastAsia="仿宋"/>
          <w:color w:val="000000" w:themeColor="text1"/>
        </w:rPr>
        <w:t>27</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7"/>
        <w:tabs>
          <w:tab w:val="right" w:leader="dot" w:pos="8302"/>
        </w:tabs>
        <w:rPr>
          <w:rStyle w:val="24"/>
          <w:rFonts w:ascii="仿宋" w:hAnsi="仿宋" w:eastAsia="仿宋"/>
          <w:color w:val="000000" w:themeColor="text1"/>
        </w:rPr>
      </w:pPr>
      <w:r>
        <w:fldChar w:fldCharType="begin"/>
      </w:r>
      <w:r>
        <w:instrText xml:space="preserve"> HYPERLINK \l "_Toc46252829" </w:instrText>
      </w:r>
      <w:r>
        <w:fldChar w:fldCharType="separate"/>
      </w:r>
      <w:r>
        <w:rPr>
          <w:rStyle w:val="24"/>
          <w:rFonts w:hint="eastAsia" w:ascii="仿宋" w:hAnsi="仿宋" w:eastAsia="仿宋"/>
          <w:color w:val="000000" w:themeColor="text1"/>
        </w:rPr>
        <w:t>第五节标定地价的确定</w:t>
      </w:r>
      <w:r>
        <w:rPr>
          <w:rStyle w:val="24"/>
          <w:rFonts w:ascii="仿宋" w:hAnsi="仿宋" w:eastAsia="仿宋"/>
          <w:color w:val="000000" w:themeColor="text1"/>
        </w:rPr>
        <w:tab/>
      </w:r>
      <w:r>
        <w:rPr>
          <w:rStyle w:val="24"/>
          <w:rFonts w:ascii="仿宋" w:hAnsi="仿宋" w:eastAsia="仿宋"/>
          <w:color w:val="000000" w:themeColor="text1"/>
        </w:rPr>
        <w:fldChar w:fldCharType="begin"/>
      </w:r>
      <w:r>
        <w:rPr>
          <w:rStyle w:val="24"/>
          <w:rFonts w:ascii="仿宋" w:hAnsi="仿宋" w:eastAsia="仿宋"/>
          <w:color w:val="000000" w:themeColor="text1"/>
        </w:rPr>
        <w:instrText xml:space="preserve"> PAGEREF _Toc46252829 \h </w:instrText>
      </w:r>
      <w:r>
        <w:rPr>
          <w:rStyle w:val="24"/>
          <w:rFonts w:ascii="仿宋" w:hAnsi="仿宋" w:eastAsia="仿宋"/>
          <w:color w:val="000000" w:themeColor="text1"/>
        </w:rPr>
        <w:fldChar w:fldCharType="separate"/>
      </w:r>
      <w:r>
        <w:rPr>
          <w:rStyle w:val="24"/>
          <w:rFonts w:ascii="仿宋" w:hAnsi="仿宋" w:eastAsia="仿宋"/>
          <w:color w:val="000000" w:themeColor="text1"/>
        </w:rPr>
        <w:t>29</w:t>
      </w:r>
      <w:r>
        <w:rPr>
          <w:rStyle w:val="24"/>
          <w:rFonts w:ascii="仿宋" w:hAnsi="仿宋" w:eastAsia="仿宋"/>
          <w:color w:val="000000" w:themeColor="text1"/>
        </w:rPr>
        <w:fldChar w:fldCharType="end"/>
      </w:r>
      <w:r>
        <w:rPr>
          <w:rStyle w:val="24"/>
          <w:rFonts w:ascii="仿宋" w:hAnsi="仿宋" w:eastAsia="仿宋"/>
          <w:color w:val="000000" w:themeColor="text1"/>
        </w:rPr>
        <w:fldChar w:fldCharType="end"/>
      </w:r>
    </w:p>
    <w:p>
      <w:pPr>
        <w:pStyle w:val="14"/>
        <w:tabs>
          <w:tab w:val="right" w:leader="dot" w:pos="8302"/>
        </w:tabs>
        <w:rPr>
          <w:rFonts w:asciiTheme="minorHAnsi" w:hAnsiTheme="minorHAnsi" w:eastAsiaTheme="minorEastAsia" w:cstheme="minorBidi"/>
          <w:color w:val="000000" w:themeColor="text1"/>
          <w:kern w:val="2"/>
          <w:sz w:val="21"/>
          <w:szCs w:val="22"/>
        </w:rPr>
      </w:pPr>
      <w:r>
        <w:fldChar w:fldCharType="begin"/>
      </w:r>
      <w:r>
        <w:instrText xml:space="preserve"> HYPERLINK \l "_Toc46252830" </w:instrText>
      </w:r>
      <w:r>
        <w:fldChar w:fldCharType="separate"/>
      </w:r>
      <w:r>
        <w:rPr>
          <w:rStyle w:val="24"/>
          <w:rFonts w:hint="eastAsia" w:ascii="仿宋" w:hAnsi="仿宋" w:eastAsia="仿宋"/>
          <w:b/>
          <w:color w:val="000000" w:themeColor="text1"/>
          <w:spacing w:val="5"/>
        </w:rPr>
        <w:t>第七章标定地价成果及信息公示</w:t>
      </w:r>
      <w:r>
        <w:rPr>
          <w:color w:val="000000" w:themeColor="text1"/>
        </w:rPr>
        <w:tab/>
      </w:r>
      <w:r>
        <w:rPr>
          <w:color w:val="000000" w:themeColor="text1"/>
        </w:rPr>
        <w:fldChar w:fldCharType="begin"/>
      </w:r>
      <w:r>
        <w:rPr>
          <w:color w:val="000000" w:themeColor="text1"/>
        </w:rPr>
        <w:instrText xml:space="preserve"> PAGEREF _Toc46252830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7"/>
        <w:tabs>
          <w:tab w:val="right" w:leader="dot" w:pos="8302"/>
        </w:tabs>
        <w:rPr>
          <w:color w:val="000000" w:themeColor="text1"/>
        </w:rPr>
      </w:pPr>
      <w:r>
        <w:fldChar w:fldCharType="begin"/>
      </w:r>
      <w:r>
        <w:instrText xml:space="preserve"> HYPERLINK \l "_Toc46252831" </w:instrText>
      </w:r>
      <w:r>
        <w:fldChar w:fldCharType="separate"/>
      </w:r>
      <w:r>
        <w:rPr>
          <w:rStyle w:val="24"/>
          <w:rFonts w:hint="eastAsia" w:ascii="仿宋" w:hAnsi="仿宋" w:eastAsia="仿宋" w:cs="Times New Roman"/>
          <w:color w:val="000000" w:themeColor="text1"/>
          <w:spacing w:val="5"/>
        </w:rPr>
        <w:t>第一节成果形式与内容</w:t>
      </w:r>
      <w:r>
        <w:rPr>
          <w:color w:val="000000" w:themeColor="text1"/>
        </w:rPr>
        <w:tab/>
      </w:r>
      <w:r>
        <w:rPr>
          <w:color w:val="000000" w:themeColor="text1"/>
        </w:rPr>
        <w:fldChar w:fldCharType="begin"/>
      </w:r>
      <w:r>
        <w:rPr>
          <w:color w:val="000000" w:themeColor="text1"/>
        </w:rPr>
        <w:instrText xml:space="preserve"> PAGEREF _Toc46252831 \h </w:instrText>
      </w:r>
      <w:r>
        <w:rPr>
          <w:color w:val="000000" w:themeColor="text1"/>
        </w:rPr>
        <w:fldChar w:fldCharType="separate"/>
      </w:r>
      <w:r>
        <w:rPr>
          <w:color w:val="000000" w:themeColor="text1"/>
        </w:rPr>
        <w:t>35</w:t>
      </w:r>
      <w:r>
        <w:rPr>
          <w:color w:val="000000" w:themeColor="text1"/>
        </w:rPr>
        <w:fldChar w:fldCharType="end"/>
      </w:r>
      <w:r>
        <w:rPr>
          <w:color w:val="000000" w:themeColor="text1"/>
        </w:rPr>
        <w:fldChar w:fldCharType="end"/>
      </w:r>
    </w:p>
    <w:p>
      <w:pPr>
        <w:pStyle w:val="7"/>
        <w:tabs>
          <w:tab w:val="right" w:leader="dot" w:pos="8302"/>
        </w:tabs>
        <w:rPr>
          <w:color w:val="000000" w:themeColor="text1"/>
        </w:rPr>
      </w:pPr>
      <w:r>
        <w:fldChar w:fldCharType="begin"/>
      </w:r>
      <w:r>
        <w:instrText xml:space="preserve"> HYPERLINK \l "_Toc46252832" </w:instrText>
      </w:r>
      <w:r>
        <w:fldChar w:fldCharType="separate"/>
      </w:r>
      <w:r>
        <w:rPr>
          <w:rStyle w:val="24"/>
          <w:rFonts w:hint="eastAsia" w:ascii="仿宋" w:hAnsi="仿宋" w:eastAsia="仿宋" w:cs="Times New Roman"/>
          <w:color w:val="000000" w:themeColor="text1"/>
          <w:spacing w:val="5"/>
        </w:rPr>
        <w:t>第二节标定地价信息公示</w:t>
      </w:r>
      <w:r>
        <w:rPr>
          <w:color w:val="000000" w:themeColor="text1"/>
        </w:rPr>
        <w:tab/>
      </w:r>
      <w:r>
        <w:rPr>
          <w:color w:val="000000" w:themeColor="text1"/>
        </w:rPr>
        <w:fldChar w:fldCharType="begin"/>
      </w:r>
      <w:r>
        <w:rPr>
          <w:color w:val="000000" w:themeColor="text1"/>
        </w:rPr>
        <w:instrText xml:space="preserve"> PAGEREF _Toc46252832 \h </w:instrText>
      </w:r>
      <w:r>
        <w:rPr>
          <w:color w:val="000000" w:themeColor="text1"/>
        </w:rPr>
        <w:fldChar w:fldCharType="separate"/>
      </w:r>
      <w:r>
        <w:rPr>
          <w:color w:val="000000" w:themeColor="text1"/>
        </w:rPr>
        <w:t>36</w:t>
      </w:r>
      <w:r>
        <w:rPr>
          <w:color w:val="000000" w:themeColor="text1"/>
        </w:rPr>
        <w:fldChar w:fldCharType="end"/>
      </w:r>
      <w:r>
        <w:rPr>
          <w:color w:val="000000" w:themeColor="text1"/>
        </w:rPr>
        <w:fldChar w:fldCharType="end"/>
      </w:r>
    </w:p>
    <w:p>
      <w:pPr>
        <w:pStyle w:val="7"/>
        <w:tabs>
          <w:tab w:val="right" w:leader="dot" w:pos="8296"/>
        </w:tabs>
        <w:snapToGrid w:val="0"/>
        <w:spacing w:line="240" w:lineRule="exact"/>
        <w:jc w:val="left"/>
        <w:rPr>
          <w:rStyle w:val="24"/>
          <w:rFonts w:ascii="Times New Roman" w:hAnsi="Times New Roman" w:eastAsia="仿宋_GB2312" w:cs="Times New Roman"/>
          <w:color w:val="000000" w:themeColor="text1"/>
          <w:sz w:val="24"/>
          <w:szCs w:val="24"/>
        </w:rPr>
        <w:sectPr>
          <w:footerReference r:id="rId9" w:type="default"/>
          <w:pgSz w:w="11906" w:h="16838"/>
          <w:pgMar w:top="1797" w:right="1797" w:bottom="1440" w:left="1797" w:header="851" w:footer="992" w:gutter="0"/>
          <w:pgNumType w:fmt="lowerRoman"/>
          <w:cols w:space="425" w:num="1"/>
          <w:docGrid w:type="lines" w:linePitch="312" w:charSpace="0"/>
        </w:sectPr>
      </w:pPr>
      <w:r>
        <w:rPr>
          <w:rFonts w:hint="eastAsia" w:ascii="仿宋_GB2312" w:hAnsi="仿宋_GB2312" w:eastAsia="仿宋_GB2312" w:cs="仿宋_GB2312"/>
          <w:color w:val="000000" w:themeColor="text1"/>
          <w:szCs w:val="24"/>
        </w:rPr>
        <w:fldChar w:fldCharType="end"/>
      </w:r>
      <w:bookmarkStart w:id="0" w:name="_Toc437976751"/>
    </w:p>
    <w:p>
      <w:pPr>
        <w:pStyle w:val="17"/>
        <w:spacing w:line="360" w:lineRule="auto"/>
        <w:rPr>
          <w:rFonts w:ascii="Times New Roman" w:hAnsi="Times New Roman" w:eastAsia="仿宋_GB2312" w:cs="Times New Roman"/>
          <w:color w:val="000000" w:themeColor="text1"/>
          <w:sz w:val="28"/>
          <w:szCs w:val="28"/>
        </w:rPr>
      </w:pPr>
      <w:bookmarkStart w:id="1" w:name="_Toc46252804"/>
      <w:bookmarkStart w:id="2" w:name="_Toc361164733"/>
      <w:bookmarkStart w:id="3" w:name="_Toc452381932"/>
      <w:r>
        <w:rPr>
          <w:rFonts w:ascii="Times New Roman" w:hAnsi="Times New Roman" w:eastAsia="仿宋_GB2312" w:cs="Times New Roman"/>
          <w:color w:val="000000" w:themeColor="text1"/>
          <w:sz w:val="28"/>
          <w:szCs w:val="28"/>
        </w:rPr>
        <w:t>前  言</w:t>
      </w:r>
      <w:bookmarkEnd w:id="1"/>
      <w:bookmarkEnd w:id="2"/>
      <w:bookmarkEnd w:id="3"/>
    </w:p>
    <w:p>
      <w:pPr>
        <w:spacing w:line="360" w:lineRule="auto"/>
        <w:ind w:firstLine="5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城镇土地既是城镇经济、社会发展的物质基础，又是国家的重要资产。随着</w:t>
      </w:r>
      <w:r>
        <w:rPr>
          <w:rFonts w:hint="eastAsia" w:ascii="仿宋" w:hAnsi="仿宋" w:eastAsia="仿宋"/>
          <w:color w:val="000000" w:themeColor="text1"/>
          <w:spacing w:val="5"/>
          <w:sz w:val="24"/>
          <w:szCs w:val="24"/>
          <w:lang w:eastAsia="zh-CN"/>
        </w:rPr>
        <w:t>《中华人民共和国土地管理法》</w:t>
      </w:r>
      <w:r>
        <w:rPr>
          <w:rFonts w:hint="eastAsia" w:ascii="仿宋" w:hAnsi="仿宋" w:eastAsia="仿宋"/>
          <w:color w:val="000000" w:themeColor="text1"/>
          <w:spacing w:val="5"/>
          <w:sz w:val="24"/>
          <w:szCs w:val="24"/>
        </w:rPr>
        <w:t>的颁布实施和土地市场管理体制改革的深化，基准地价、标定地价在调控土地市场、推进土地有偿使用中发挥越来越重要的作用。国务院在《关于加强国有土地资产管理的通知》（国发[2001]15号）中要求：“市、县人民政府要依法定期确定、公布当地的基准地价和标定地价，切实加强地价管理。</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原国土资源部会同国家发展改革委、财政部、住房和城乡建设部、农业部、中国人民银行、国家林业局、银监会联合印发《关于扩大国有土地有偿使用范围的意见》(国土资规〔2016〕20号)提出,自2018年开始，各州、市、县、区自然资源局，要全面启动城镇标定地价体系建设，有条件的地区，标定地价可逐步扩展到农村集体建设用地。</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云南省自然资源厅文件《云南省自然资源厅关于推进和规范自然资源评价评估有关工作的通知【云自然资利用〔2019〕615号 】》,提出全面实现城镇标定地价公示，各州（市）、县（市、区）在2018年开展标定地价工作基础上，全面启动辖区内城镇标定地价制定工作，建立覆盖全部州（市）、县（市、区）的标定地价成果体系，并确保在2020年9月30日前完成并公布实施，验收程序参照基准地价的验收规定。</w:t>
      </w:r>
    </w:p>
    <w:p>
      <w:pPr>
        <w:spacing w:line="360" w:lineRule="auto"/>
        <w:ind w:firstLine="5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根据国土资源部、省、市政府的要求，在区委、区政府的直接领导和有关部门的大力支持配合下，玉溪市江川区自然资源局与云南优化房地产土地资产评估咨询有限公司共同组成课题组，开展了江川区标定地价体系建设工作。</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课题组自2020年8月开始，经过组织、技术准备、技术方案确定、资料收集、整理、测算、图件编制、报告撰写等工作，于2020年10月提交了初步成果，历时2个月。</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江川区2020年标定地价体系建设成果主要分为两部分：标定区域的划分及标准宗地的布设与评估。</w:t>
      </w:r>
    </w:p>
    <w:p>
      <w:pPr>
        <w:widowControl/>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标定区域的划分：商服用地共划分3个标定区域，覆盖范围面积为10.04公顷；住宅用地共划分13个标定区域，覆盖范围面积为86.13公顷；商住混合用地共划分11个标定区域，覆盖范围面积为83.55公顷；公共管理与公共服务用地共划分 3个标定区域，覆盖范围面积为24.88公顷；工矿仓储用地共划分4个标定区域，覆盖范围面积为113.25公顷。</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标准宗地的布设与评估：根据上述江川区标准宗地的布设选取，本次江川区标定地价体系建设工作共设立标准宗地34宗，其中商服用地全部为出让土地使用权，共3宗；住宅用地共13宗，6宗为出让土地使用权，7宗为划拨土地使用权；商住混合用地全部为出让土地使用权，共11宗；公共管理与公共服务用地全部为划拨土地使用权，共3宗；工矿仓储用地全部为出让土地使用权。34宗标准宗地中，商服用地共3宗，旅馆用地1宗，其他商服用地2宗；住宅用地共13宗，全部为城镇住宅用地，出让用地6宗，划拨用地7宗，其中1宗为廉租住房用地；商住混合用地共11宗；工矿仓储用地共4宗，工业用地4宗；公共管理与公共服务用地共3宗，其中文化设施用地1宗，公用设施用地1宗，机关团体用地1宗。</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在此基础上，运用收益还原法、剩余法、市场比较法、成本逼近法分别测算了</w:t>
      </w:r>
      <w:r>
        <w:rPr>
          <w:rFonts w:hint="eastAsia" w:ascii="仿宋" w:hAnsi="仿宋" w:eastAsia="仿宋"/>
          <w:color w:val="000000" w:themeColor="text1"/>
          <w:sz w:val="24"/>
          <w:szCs w:val="24"/>
        </w:rPr>
        <w:t>江川区</w:t>
      </w:r>
      <w:r>
        <w:rPr>
          <w:rFonts w:hint="eastAsia" w:ascii="仿宋" w:hAnsi="仿宋" w:eastAsia="仿宋"/>
          <w:color w:val="000000" w:themeColor="text1"/>
          <w:spacing w:val="5"/>
          <w:sz w:val="24"/>
          <w:szCs w:val="24"/>
        </w:rPr>
        <w:t>各用地类型标定地价。为了便于成果的应用，我们还根据规程的要求，编制了</w:t>
      </w:r>
      <w:r>
        <w:rPr>
          <w:rFonts w:hint="eastAsia" w:ascii="仿宋" w:hAnsi="仿宋" w:eastAsia="仿宋"/>
          <w:color w:val="000000" w:themeColor="text1"/>
          <w:sz w:val="24"/>
          <w:szCs w:val="24"/>
        </w:rPr>
        <w:t>江川区</w:t>
      </w:r>
      <w:r>
        <w:rPr>
          <w:rFonts w:hint="eastAsia" w:ascii="仿宋" w:hAnsi="仿宋" w:eastAsia="仿宋"/>
          <w:color w:val="000000" w:themeColor="text1"/>
          <w:spacing w:val="5"/>
          <w:sz w:val="24"/>
          <w:szCs w:val="24"/>
        </w:rPr>
        <w:t>标定地价修正系数表和说明表，并提出了成果应用的建议。</w:t>
      </w:r>
    </w:p>
    <w:p>
      <w:pPr>
        <w:widowControl/>
        <w:spacing w:line="360" w:lineRule="auto"/>
        <w:jc w:val="left"/>
        <w:rPr>
          <w:rFonts w:ascii="Times New Roman" w:hAnsi="Times New Roman" w:eastAsia="仿宋_GB2312" w:cs="Times New Roman"/>
          <w:b/>
          <w:color w:val="000000" w:themeColor="text1"/>
          <w:spacing w:val="5"/>
          <w:kern w:val="0"/>
          <w:sz w:val="32"/>
          <w:szCs w:val="32"/>
        </w:rPr>
      </w:pPr>
      <w:r>
        <w:rPr>
          <w:rFonts w:hint="eastAsia" w:ascii="仿宋" w:hAnsi="仿宋" w:eastAsia="仿宋"/>
          <w:color w:val="000000" w:themeColor="text1"/>
          <w:sz w:val="24"/>
          <w:szCs w:val="24"/>
        </w:rPr>
        <w:t>江川区标定地价体系建设工作的完成，将为本地区土地交易流转提供全面、科学的技术依据，必将对江川区社会经济的发展起到积极的推动作用。</w:t>
      </w:r>
      <w:r>
        <w:rPr>
          <w:rFonts w:ascii="Times New Roman" w:hAnsi="Times New Roman" w:eastAsia="仿宋_GB2312" w:cs="Times New Roman"/>
          <w:b/>
          <w:color w:val="000000" w:themeColor="text1"/>
          <w:spacing w:val="5"/>
          <w:kern w:val="0"/>
          <w:sz w:val="32"/>
          <w:szCs w:val="32"/>
        </w:rPr>
        <w:br w:type="page"/>
      </w:r>
    </w:p>
    <w:p>
      <w:pPr>
        <w:pStyle w:val="2"/>
        <w:rPr>
          <w:rFonts w:ascii="Times New Roman" w:hAnsi="Times New Roman" w:eastAsia="仿宋_GB2312"/>
          <w:b/>
          <w:color w:val="000000" w:themeColor="text1"/>
          <w:spacing w:val="5"/>
          <w:szCs w:val="24"/>
        </w:rPr>
      </w:pPr>
      <w:bookmarkStart w:id="4" w:name="_Toc46252805"/>
      <w:r>
        <w:rPr>
          <w:rFonts w:ascii="Times New Roman" w:hAnsi="Times New Roman" w:eastAsia="仿宋_GB2312"/>
          <w:b/>
          <w:color w:val="000000" w:themeColor="text1"/>
          <w:spacing w:val="5"/>
          <w:szCs w:val="24"/>
        </w:rPr>
        <w:t xml:space="preserve">第一章  </w:t>
      </w:r>
      <w:r>
        <w:rPr>
          <w:rFonts w:hint="eastAsia" w:ascii="Times New Roman" w:hAnsi="Times New Roman" w:eastAsia="仿宋_GB2312"/>
          <w:b/>
          <w:color w:val="000000" w:themeColor="text1"/>
          <w:spacing w:val="5"/>
          <w:szCs w:val="24"/>
        </w:rPr>
        <w:t>江川区县城规划区</w:t>
      </w:r>
      <w:r>
        <w:rPr>
          <w:rFonts w:ascii="Times New Roman" w:hAnsi="Times New Roman" w:eastAsia="仿宋_GB2312"/>
          <w:b/>
          <w:color w:val="000000" w:themeColor="text1"/>
          <w:spacing w:val="5"/>
          <w:szCs w:val="24"/>
        </w:rPr>
        <w:t>标定地价体系建设概述</w:t>
      </w:r>
      <w:bookmarkEnd w:id="0"/>
      <w:bookmarkEnd w:id="4"/>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5" w:name="_Toc437976752"/>
      <w:bookmarkEnd w:id="5"/>
      <w:bookmarkStart w:id="6" w:name="_Toc46252806"/>
      <w:bookmarkStart w:id="7" w:name="_Toc510431175"/>
      <w:bookmarkStart w:id="8" w:name="_Toc42179554"/>
      <w:bookmarkStart w:id="9" w:name="_Toc437973438"/>
      <w:r>
        <w:rPr>
          <w:rFonts w:hint="eastAsia" w:ascii="仿宋" w:hAnsi="仿宋" w:eastAsia="仿宋" w:cs="Times New Roman"/>
          <w:b/>
          <w:color w:val="000000" w:themeColor="text1"/>
          <w:spacing w:val="5"/>
          <w:sz w:val="24"/>
          <w:szCs w:val="24"/>
        </w:rPr>
        <w:t>第一节 编制背景</w:t>
      </w:r>
      <w:bookmarkEnd w:id="6"/>
      <w:bookmarkEnd w:id="7"/>
      <w:bookmarkEnd w:id="8"/>
    </w:p>
    <w:p>
      <w:pPr>
        <w:spacing w:line="360" w:lineRule="auto"/>
        <w:ind w:firstLine="500" w:firstLineChars="200"/>
        <w:rPr>
          <w:rFonts w:ascii="仿宋" w:hAnsi="仿宋" w:eastAsia="仿宋"/>
          <w:color w:val="000000" w:themeColor="text1"/>
          <w:spacing w:val="5"/>
          <w:sz w:val="24"/>
          <w:szCs w:val="24"/>
        </w:rPr>
      </w:pPr>
      <w:bookmarkStart w:id="10" w:name="_Toc437976753"/>
      <w:bookmarkEnd w:id="10"/>
      <w:bookmarkStart w:id="11" w:name="_Toc437973436"/>
      <w:r>
        <w:rPr>
          <w:rFonts w:hint="eastAsia" w:ascii="仿宋" w:hAnsi="仿宋" w:eastAsia="仿宋"/>
          <w:color w:val="000000" w:themeColor="text1"/>
          <w:spacing w:val="5"/>
          <w:sz w:val="24"/>
          <w:szCs w:val="24"/>
        </w:rPr>
        <w:t>随着</w:t>
      </w:r>
      <w:r>
        <w:rPr>
          <w:rFonts w:hint="eastAsia" w:ascii="仿宋" w:hAnsi="仿宋" w:eastAsia="仿宋"/>
          <w:color w:val="000000" w:themeColor="text1"/>
          <w:spacing w:val="5"/>
          <w:sz w:val="24"/>
          <w:szCs w:val="24"/>
          <w:lang w:eastAsia="zh-CN"/>
        </w:rPr>
        <w:t>《中华人民共和国土地管理法》</w:t>
      </w:r>
      <w:r>
        <w:rPr>
          <w:rFonts w:hint="eastAsia" w:ascii="仿宋" w:hAnsi="仿宋" w:eastAsia="仿宋"/>
          <w:color w:val="000000" w:themeColor="text1"/>
          <w:spacing w:val="5"/>
          <w:sz w:val="24"/>
          <w:szCs w:val="24"/>
        </w:rPr>
        <w:t>的颁布实施和土地市场管理体制改革的深化，基准地价、标定地价在调控土地市场、推进土地有偿使用中发挥越来越重要的作用。国务院在《关于加强国有土地资产管理的通知》（国发[2001]15号）中要求：“市、县人民政府要依法定期确定、公布当地的基准地价和标定地价，切实加强地价管理。</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原国土资源部会同国家发展改革委、财政部、住房和城乡建设部、农业部、中国人民银行、国家林业局、银监会联合印发《关于扩大国有土地有偿使用范围的意见》(国土资规〔2016〕20号)提出,自2018年开始，各州、市、县、区自然资源局，要全面启动城镇标定地价体系建设，有条件的地区，标定地价可逐步扩展到农村集体建设用地。</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根据《标定地价规程》（TD/T1052-2017）要求，标定地价评估及公示工作应以年度为周期开展，每年第一季度完成对标准宗地在当年1月1日的标定地价公示工作，根据云南省自然资源厅文件《云南省自然资源厅关于推进和规范自然资源评价评估有关工作的通知〔云自然资利用〔2019〕615号〕》文件等的要求开展江川区2020年标定地价体系建设工作。</w:t>
      </w:r>
    </w:p>
    <w:p>
      <w:pPr>
        <w:rPr>
          <w:rFonts w:ascii="仿宋" w:hAnsi="仿宋" w:eastAsia="仿宋" w:cs="Times New Roman"/>
          <w:b/>
          <w:color w:val="000000" w:themeColor="text1"/>
          <w:spacing w:val="5"/>
          <w:sz w:val="28"/>
          <w:szCs w:val="28"/>
        </w:rPr>
      </w:pPr>
      <w:bookmarkStart w:id="12" w:name="_Toc510431176"/>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13" w:name="_Toc42179555"/>
      <w:bookmarkStart w:id="14" w:name="_Toc46252807"/>
      <w:r>
        <w:rPr>
          <w:rFonts w:hint="eastAsia" w:ascii="仿宋" w:hAnsi="仿宋" w:eastAsia="仿宋" w:cs="Times New Roman"/>
          <w:b/>
          <w:color w:val="000000" w:themeColor="text1"/>
          <w:spacing w:val="5"/>
          <w:sz w:val="24"/>
          <w:szCs w:val="24"/>
        </w:rPr>
        <w:t>第二节 工作目标</w:t>
      </w:r>
      <w:bookmarkEnd w:id="11"/>
      <w:bookmarkEnd w:id="12"/>
      <w:bookmarkEnd w:id="13"/>
      <w:bookmarkEnd w:id="14"/>
    </w:p>
    <w:p>
      <w:pPr>
        <w:spacing w:line="360" w:lineRule="auto"/>
        <w:ind w:firstLine="750" w:firstLineChars="3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通过标定地价体系建设及其公示，探索标准宗地布设、标定地价定期评估、公示及管理、应用等各环节的技术要点、规范程序及管理措施，为适时出台相关政策、规范，逐步建立全国标定地价公示制度奠定基础，从而丰富我国地价管理工具，建立以基准地价、监测地价、标定地价为核心的公示地价体系，更好地服务于宏观调控、不动产税基评估等相关工作，并满足公众的信息需求。</w:t>
      </w:r>
    </w:p>
    <w:p>
      <w:pPr>
        <w:spacing w:line="360" w:lineRule="auto"/>
        <w:ind w:firstLine="580" w:firstLineChars="200"/>
        <w:rPr>
          <w:rFonts w:ascii="仿宋" w:hAnsi="仿宋" w:eastAsia="仿宋" w:cs="Times New Roman"/>
          <w:color w:val="000000" w:themeColor="text1"/>
          <w:spacing w:val="5"/>
          <w:sz w:val="28"/>
          <w:szCs w:val="28"/>
        </w:rPr>
      </w:pPr>
    </w:p>
    <w:p>
      <w:pPr>
        <w:spacing w:line="360" w:lineRule="auto"/>
        <w:ind w:firstLine="580" w:firstLineChars="200"/>
        <w:rPr>
          <w:rFonts w:ascii="仿宋" w:hAnsi="仿宋" w:eastAsia="仿宋" w:cs="Times New Roman"/>
          <w:color w:val="000000" w:themeColor="text1"/>
          <w:spacing w:val="5"/>
          <w:sz w:val="28"/>
          <w:szCs w:val="28"/>
        </w:rPr>
      </w:pP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15" w:name="_Toc437976754"/>
      <w:bookmarkEnd w:id="15"/>
      <w:bookmarkStart w:id="16" w:name="_Toc510431177"/>
      <w:bookmarkStart w:id="17" w:name="_Toc42179556"/>
      <w:bookmarkStart w:id="18" w:name="_Toc437973437"/>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19" w:name="_Toc46252808"/>
      <w:r>
        <w:rPr>
          <w:rFonts w:hint="eastAsia" w:ascii="仿宋" w:hAnsi="仿宋" w:eastAsia="仿宋" w:cs="Times New Roman"/>
          <w:b/>
          <w:color w:val="000000" w:themeColor="text1"/>
          <w:spacing w:val="5"/>
          <w:sz w:val="24"/>
          <w:szCs w:val="24"/>
        </w:rPr>
        <w:t>第三节 开展标定地价公示工作的意义</w:t>
      </w:r>
      <w:bookmarkEnd w:id="16"/>
      <w:bookmarkEnd w:id="17"/>
      <w:bookmarkEnd w:id="18"/>
      <w:bookmarkEnd w:id="19"/>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标定地价公示工作的意义主要体现在以下几个方面：</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1、标定地价体系的建设可以完善我国公示地价体系</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地价与基准地价是地价管理的基础。在我国，由基准地价体系、地价动态监测体系和标定地价体系共同构成了公示地价体系。三者联系紧密，但又各有侧重。通过标定地价公示体系的试点和推广，构建由基准地价体系、地价动态监测体系和标定地价公示体系组成的“三位一体”公示地价体系，将有助于完善我国公示地价体系。</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2、标定地价成果可作为政府管理的重要参考依据</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土地出让、补交地价款、课税等多项公共事务均需要政府对城市地价分布与趋势具有科学客观的认识。标定地价可以为国有土地使用权出让评估提供依据，为政府进行土地管理及制定宏观政策提供参考，有利于进一步规范房地产市场交易主体的行为，落实地价政策。通过对标定地价建立比准基础，从而达到全市范围内的“一地一价”，在土地出让过程中，就可以精准确定具体宗地允许的溢价幅度，真正遏制“地王”的产生、避免土地市场过热，从而实现土地市场调控政策的真正落实。</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3、标定地价成果的公示可促进土地市场价格水平信息公开，建立公平、公开地产市场</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长期以来，社会各界都一致认为土地市场是一个不完全的市场，其原因之一在于土地市场的信息不对称。虽然各地目前普遍采取网上公开招标拍卖挂牌的方式进行土地交易，保障了交易信息对外可查询，但是，由于交易土地数量相对于当地土地总量来说仍属于绝对的少数，因此，将标定地价体系中的标准宗地及其评估结果作为公示地价进行公示公开，将有利于促进全市范围的土地市场价格水平信息的公开。</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4、标定地价成果可用于衡量区域间地价水平，从而实现城镇土地的合理配置</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通过建立标定地价体系，不仅能掌握同一城镇内由于区位条件不同而引起的地价水平差异，而且还可通过由不同用途的标准宗地选出的代表性宗地衡量各城镇不同用途的地价水平。通过标定地价的合理定价，促使不同城镇和同一城镇内不同区位的土地得到最优化、合理的利用，从而通过经济手段调节用地结构和布局，最终实现城镇土地的合理配置。</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5、标定地价公示成果可作为土地评估的参考</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地价成果可作为参考和数据来源直接应用于土地评估，包括基准地价评估和宗地评估。在土地评估过程中，可以以标定地价成果作为参考依据，对基准地价评估结果和宗地地价评估结果高低情况进行类比，进而检验评估技术过程以发现并修正问题。</w:t>
      </w: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20" w:name="_Toc437976755"/>
      <w:bookmarkEnd w:id="20"/>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21" w:name="_Toc46252809"/>
      <w:r>
        <w:rPr>
          <w:rFonts w:hint="eastAsia" w:ascii="仿宋" w:hAnsi="仿宋" w:eastAsia="仿宋" w:cs="Times New Roman"/>
          <w:b/>
          <w:color w:val="000000" w:themeColor="text1"/>
          <w:spacing w:val="5"/>
          <w:sz w:val="24"/>
          <w:szCs w:val="24"/>
        </w:rPr>
        <w:t>第四节 开展标定地价公示工作的依据</w:t>
      </w:r>
      <w:bookmarkEnd w:id="21"/>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（一）、法律及相关文件依据</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1、《中华人民共和国土地管理法》(2019年8月26日第十三届全国人民代表大会常务委员会第十二次会议通过)</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2、《国务院关于加强国有土地资产管理的通知》(国发(2001)15号)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3、《国务院关于深化改革严格土地管理的决定》(国发(2004)28号);</w:t>
      </w:r>
    </w:p>
    <w:p>
      <w:pPr>
        <w:spacing w:line="360" w:lineRule="auto"/>
        <w:ind w:firstLine="500" w:firstLineChars="200"/>
        <w:rPr>
          <w:rFonts w:ascii="仿宋" w:hAnsi="仿宋" w:eastAsia="仿宋" w:cs="Times New Roman"/>
          <w:color w:val="000000" w:themeColor="text1"/>
          <w:spacing w:val="5"/>
          <w:sz w:val="24"/>
          <w:szCs w:val="24"/>
        </w:rPr>
      </w:pPr>
      <w:r>
        <w:rPr>
          <w:rFonts w:ascii="仿宋" w:hAnsi="仿宋" w:eastAsia="仿宋" w:cs="Times New Roman"/>
          <w:color w:val="000000" w:themeColor="text1"/>
          <w:spacing w:val="5"/>
          <w:sz w:val="24"/>
          <w:szCs w:val="24"/>
        </w:rPr>
        <w:t>4、</w:t>
      </w:r>
      <w:r>
        <w:rPr>
          <w:rFonts w:hint="eastAsia" w:ascii="仿宋" w:hAnsi="仿宋" w:eastAsia="仿宋" w:cs="Times New Roman"/>
          <w:color w:val="000000" w:themeColor="text1"/>
          <w:spacing w:val="5"/>
          <w:sz w:val="24"/>
          <w:szCs w:val="24"/>
        </w:rPr>
        <w:t>《关于扩大国有土地有偿使用范围的意见》(国土资规〔2016〕20号)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5、《国土资源部办公厅关于实施《城镇土地分等定级规程》和《城镇土地估价规程》有关问题的通知》(国土资厅发(2015)12号)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6、《国土资源部办公厅关于加强公示地价体系建设和管理有关问题的通知》(国土资厅发[2017]27号);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7、《云南省国土资源厅转发国土资源部办公厅关于加强公示地价体系建设和管理有关问题的通知》（云国土资用〔2017〕20号）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8、《云南省国土资源厅印发《关于推行工业用地先租后让等供应方式的实  施意见》的通知》(云国土资(2017)242号);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9、《云南省人民政府关于印发云南省降低实体经济企业成本实施细则的通知》（云政发〔2017〕50号）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10、《云南省自然资源厅关于推进和规范自然资源评价评估有关工作的通知》（云自然资利用〔2019〕615号）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11、省有关法规和政策</w:t>
      </w:r>
    </w:p>
    <w:p>
      <w:pPr>
        <w:spacing w:line="360" w:lineRule="auto"/>
        <w:ind w:firstLine="502" w:firstLineChars="200"/>
        <w:rPr>
          <w:rFonts w:ascii="仿宋" w:hAnsi="仿宋" w:eastAsia="仿宋" w:cs="Times New Roman"/>
          <w:b/>
          <w:color w:val="000000" w:themeColor="text1"/>
          <w:spacing w:val="5"/>
          <w:sz w:val="24"/>
          <w:szCs w:val="24"/>
        </w:rPr>
      </w:pPr>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（二）技术及其他依据</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1、中华人民共和国国家标准 GB/T 18507-2014《城镇土地分等定级规程》</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2、中华人民共和国国家标准 GB/T 18508-2014《城镇土地估价规程》</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3、中华人民共和国土地管理行业标准 </w:t>
      </w:r>
      <w:r>
        <w:rPr>
          <w:rFonts w:hint="eastAsia" w:ascii="仿宋" w:hAnsi="仿宋" w:eastAsia="仿宋"/>
          <w:color w:val="000000" w:themeColor="text1"/>
          <w:spacing w:val="5"/>
          <w:sz w:val="24"/>
          <w:szCs w:val="24"/>
        </w:rPr>
        <w:t>（TD/T1052-2017</w:t>
      </w:r>
      <w:r>
        <w:rPr>
          <w:rFonts w:hint="eastAsia" w:ascii="仿宋" w:hAnsi="仿宋" w:eastAsia="仿宋" w:cs="Times New Roman"/>
          <w:color w:val="000000" w:themeColor="text1"/>
          <w:spacing w:val="5"/>
          <w:sz w:val="24"/>
          <w:szCs w:val="24"/>
        </w:rPr>
        <w:t>《标定地价规程》</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4、中华人民共和国土地管理行业标准 </w:t>
      </w:r>
      <w:r>
        <w:rPr>
          <w:rFonts w:hint="eastAsia" w:ascii="仿宋" w:hAnsi="仿宋" w:eastAsia="仿宋"/>
          <w:color w:val="000000" w:themeColor="text1"/>
          <w:spacing w:val="5"/>
          <w:sz w:val="24"/>
          <w:szCs w:val="24"/>
        </w:rPr>
        <w:t>（TD/T1009-2007</w:t>
      </w:r>
      <w:r>
        <w:rPr>
          <w:rFonts w:hint="eastAsia" w:ascii="仿宋" w:hAnsi="仿宋" w:eastAsia="仿宋" w:cs="Times New Roman"/>
          <w:color w:val="000000" w:themeColor="text1"/>
          <w:spacing w:val="5"/>
          <w:sz w:val="24"/>
          <w:szCs w:val="24"/>
        </w:rPr>
        <w:t>《城市地价动态监测技术规范》</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5、</w:t>
      </w:r>
      <w:r>
        <w:rPr>
          <w:rFonts w:hint="eastAsia" w:ascii="仿宋" w:hAnsi="仿宋" w:eastAsia="仿宋"/>
          <w:color w:val="000000" w:themeColor="text1"/>
          <w:spacing w:val="5"/>
          <w:sz w:val="24"/>
          <w:szCs w:val="24"/>
        </w:rPr>
        <w:t>（TD/T1001-2012）</w:t>
      </w:r>
      <w:r>
        <w:rPr>
          <w:rFonts w:hint="eastAsia" w:ascii="仿宋" w:hAnsi="仿宋" w:eastAsia="仿宋" w:cs="Times New Roman"/>
          <w:color w:val="000000" w:themeColor="text1"/>
          <w:spacing w:val="5"/>
          <w:sz w:val="24"/>
          <w:szCs w:val="24"/>
        </w:rPr>
        <w:t>《地籍调查规程》</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6、中华人民共和国国家标准《土地利用现状分类》（GB/T 21010-2017, 2017年11月01日）</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7、自然资源部办公厅《国有建设用地使用权出让地价评估技术规范》（国土资发【2018】4号）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8、自然资源办公厅关于印发《划拨国有建设用地使用权地价评估指导意见（试行）的通知》（自然资办函【2019】922号）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9、《江川区城市总体规划（2011-2030年）》</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10、调查及资料收集的相关资料</w:t>
      </w:r>
    </w:p>
    <w:p>
      <w:pPr>
        <w:widowControl/>
        <w:jc w:val="left"/>
        <w:rPr>
          <w:rFonts w:ascii="Times New Roman" w:hAnsi="Times New Roman" w:eastAsia="仿宋_GB2312" w:cs="Times New Roman"/>
          <w:color w:val="000000" w:themeColor="text1"/>
          <w:spacing w:val="5"/>
          <w:sz w:val="24"/>
          <w:szCs w:val="24"/>
        </w:rPr>
      </w:pPr>
      <w:r>
        <w:rPr>
          <w:rFonts w:ascii="Times New Roman" w:hAnsi="Times New Roman" w:eastAsia="仿宋_GB2312" w:cs="Times New Roman"/>
          <w:color w:val="000000" w:themeColor="text1"/>
          <w:spacing w:val="5"/>
          <w:sz w:val="24"/>
          <w:szCs w:val="24"/>
        </w:rPr>
        <w:br w:type="page"/>
      </w:r>
    </w:p>
    <w:bookmarkEnd w:id="9"/>
    <w:p>
      <w:pPr>
        <w:pStyle w:val="2"/>
        <w:rPr>
          <w:rFonts w:ascii="仿宋" w:hAnsi="仿宋" w:eastAsia="仿宋"/>
          <w:b/>
          <w:color w:val="000000" w:themeColor="text1"/>
          <w:spacing w:val="5"/>
          <w:szCs w:val="24"/>
        </w:rPr>
      </w:pPr>
      <w:bookmarkStart w:id="22" w:name="_Toc46252810"/>
      <w:bookmarkStart w:id="23" w:name="_Toc42179562"/>
      <w:r>
        <w:rPr>
          <w:rFonts w:hint="eastAsia" w:ascii="仿宋" w:hAnsi="仿宋" w:eastAsia="仿宋"/>
          <w:b/>
          <w:color w:val="000000" w:themeColor="text1"/>
          <w:spacing w:val="5"/>
          <w:szCs w:val="24"/>
        </w:rPr>
        <w:t>第二章  江川区标定地价体系建设工作内容及技术路线</w:t>
      </w:r>
      <w:bookmarkEnd w:id="22"/>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24" w:name="_Toc437976756"/>
      <w:bookmarkEnd w:id="24"/>
      <w:bookmarkStart w:id="25" w:name="_Toc437973439"/>
      <w:bookmarkStart w:id="26" w:name="_Toc510431179"/>
      <w:bookmarkStart w:id="27" w:name="_Toc42179563"/>
      <w:bookmarkStart w:id="28" w:name="_Toc46252811"/>
      <w:r>
        <w:rPr>
          <w:rFonts w:hint="eastAsia" w:ascii="仿宋" w:hAnsi="仿宋" w:eastAsia="仿宋" w:cs="Times New Roman"/>
          <w:b/>
          <w:color w:val="000000" w:themeColor="text1"/>
          <w:spacing w:val="5"/>
          <w:sz w:val="24"/>
          <w:szCs w:val="24"/>
        </w:rPr>
        <w:t>第一节</w:t>
      </w:r>
      <w:bookmarkEnd w:id="25"/>
      <w:r>
        <w:rPr>
          <w:rFonts w:hint="eastAsia" w:ascii="仿宋" w:hAnsi="仿宋" w:eastAsia="仿宋" w:cs="Times New Roman"/>
          <w:b/>
          <w:color w:val="000000" w:themeColor="text1"/>
          <w:spacing w:val="5"/>
          <w:sz w:val="24"/>
          <w:szCs w:val="24"/>
        </w:rPr>
        <w:t>与标定地价有关的术语和定义</w:t>
      </w:r>
      <w:bookmarkEnd w:id="26"/>
      <w:bookmarkEnd w:id="27"/>
      <w:bookmarkEnd w:id="28"/>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区域：在均质区域基础上划定的，土地条件、土地利用状况等特征基本相似、地价水平基本接近的空间闭合区域。其中，土地条件包括土地的位置、面积、形状、宽度、深度、临街状况、地形、地势等；土地利用状况包括土地的用途、开发程度、建筑密度、建筑容积率及地上地下主要建构筑物的用途、建筑结构、建筑成新度等。</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标准宗地：在标定区域内，土地条件、土地利用状况等特征具有代表性，且利用状况相对稳定，地价水平能够起示范和比较标准作用的宗地。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标定地价：以维护经济和市场的平稳健康发展为目标，遵循公开市场价值原则评估，并经政府确认、公布的，宗地在正常市场、现状条件下、于某一估价期日法定最高使用年期下的国有建设用地使用权价格。</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标定地价公示：政府或其职能部门按照规定的程序和途径，将所辖区域内标定地价有关信息公开发布，作为供市场主体或相关管理工作参考的价值标准，并接受公众咨询的管理和专业技术的行为。</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标定地价系数修正法：利用标定地价及其修正体系，按照替代原则，将待估宗地的条件与标定地价的条件相比较，进而通过修正求取待估宗地在估价期日价格的方法。</w:t>
      </w: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29" w:name="_Toc437976760"/>
      <w:bookmarkEnd w:id="29"/>
      <w:bookmarkStart w:id="30" w:name="_Toc437976759"/>
      <w:bookmarkEnd w:id="30"/>
      <w:bookmarkStart w:id="31" w:name="_Toc46252812"/>
      <w:bookmarkStart w:id="32" w:name="_Toc42179568"/>
      <w:bookmarkStart w:id="33" w:name="_Toc510431185"/>
      <w:r>
        <w:rPr>
          <w:rFonts w:hint="eastAsia" w:ascii="仿宋" w:hAnsi="仿宋" w:eastAsia="仿宋" w:cs="Times New Roman"/>
          <w:b/>
          <w:color w:val="000000" w:themeColor="text1"/>
          <w:spacing w:val="5"/>
          <w:sz w:val="24"/>
          <w:szCs w:val="24"/>
        </w:rPr>
        <w:t>第二节 标定地价的用途分类</w:t>
      </w:r>
      <w:bookmarkEnd w:id="31"/>
      <w:bookmarkEnd w:id="32"/>
      <w:bookmarkEnd w:id="33"/>
    </w:p>
    <w:p>
      <w:pPr>
        <w:widowControl/>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标定地价评估及公示中涉及的土地用途，应涵盖公示区范围内的主要土地利用类型，土地用途参照 GBT 21010-2017设定，宜细分至二级类。本次江川区标定地价体系建设标准宗地的用途分类以二级类土地用途划定。</w:t>
      </w: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b/>
          <w:color w:val="000000" w:themeColor="text1"/>
          <w:spacing w:val="5"/>
          <w:sz w:val="24"/>
          <w:szCs w:val="24"/>
        </w:rPr>
      </w:pPr>
    </w:p>
    <w:p>
      <w:pPr>
        <w:widowControl/>
        <w:jc w:val="center"/>
        <w:rPr>
          <w:rFonts w:ascii="仿宋" w:hAnsi="仿宋" w:eastAsia="仿宋" w:cs="Times New Roman"/>
          <w:b/>
          <w:color w:val="000000" w:themeColor="text1"/>
          <w:spacing w:val="5"/>
          <w:kern w:val="0"/>
          <w:sz w:val="24"/>
          <w:szCs w:val="24"/>
          <w:lang w:val="en-GB"/>
        </w:rPr>
      </w:pPr>
      <w:r>
        <w:rPr>
          <w:rFonts w:hint="eastAsia" w:ascii="仿宋" w:hAnsi="仿宋" w:eastAsia="仿宋"/>
          <w:b/>
          <w:color w:val="000000" w:themeColor="text1"/>
          <w:spacing w:val="5"/>
          <w:sz w:val="24"/>
          <w:szCs w:val="24"/>
        </w:rPr>
        <w:t>表2-1 土地利用现状分类表</w:t>
      </w:r>
    </w:p>
    <w:bookmarkEnd w:id="23"/>
    <w:tbl>
      <w:tblPr>
        <w:tblStyle w:val="20"/>
        <w:tblpPr w:leftFromText="180" w:rightFromText="180" w:vertAnchor="page" w:horzAnchor="page" w:tblpX="1695" w:tblpY="2323"/>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709"/>
        <w:gridCol w:w="1417"/>
        <w:gridCol w:w="5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84" w:type="dxa"/>
            <w:gridSpan w:val="2"/>
            <w:vAlign w:val="center"/>
          </w:tcPr>
          <w:p>
            <w:pPr>
              <w:spacing w:line="200" w:lineRule="exact"/>
              <w:jc w:val="center"/>
              <w:rPr>
                <w:rFonts w:ascii="仿宋" w:hAnsi="仿宋" w:eastAsia="仿宋"/>
                <w:color w:val="000000" w:themeColor="text1"/>
                <w:sz w:val="18"/>
                <w:szCs w:val="18"/>
              </w:rPr>
            </w:pPr>
            <w:bookmarkStart w:id="34" w:name="_Toc437976762"/>
            <w:r>
              <w:rPr>
                <w:rFonts w:hint="eastAsia" w:ascii="仿宋" w:hAnsi="仿宋" w:eastAsia="仿宋"/>
                <w:color w:val="000000" w:themeColor="text1"/>
                <w:sz w:val="18"/>
                <w:szCs w:val="18"/>
              </w:rPr>
              <w:t>一级类</w:t>
            </w:r>
          </w:p>
        </w:tc>
        <w:tc>
          <w:tcPr>
            <w:tcW w:w="2126" w:type="dxa"/>
            <w:gridSpan w:val="2"/>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二级类</w:t>
            </w:r>
          </w:p>
        </w:tc>
        <w:tc>
          <w:tcPr>
            <w:tcW w:w="5812" w:type="dxa"/>
            <w:vMerge w:val="restart"/>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含义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编码</w:t>
            </w: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名称</w:t>
            </w: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编码</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名称</w:t>
            </w:r>
          </w:p>
        </w:tc>
        <w:tc>
          <w:tcPr>
            <w:tcW w:w="5812" w:type="dxa"/>
            <w:vMerge w:val="continue"/>
          </w:tcPr>
          <w:p>
            <w:pPr>
              <w:spacing w:line="200" w:lineRule="exact"/>
              <w:jc w:val="center"/>
              <w:rPr>
                <w:rFonts w:ascii="仿宋" w:hAnsi="仿宋" w:eastAsia="仿宋"/>
                <w:color w:val="000000" w:themeColor="text1"/>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restart"/>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05</w:t>
            </w:r>
          </w:p>
        </w:tc>
        <w:tc>
          <w:tcPr>
            <w:tcW w:w="709" w:type="dxa"/>
            <w:vMerge w:val="restart"/>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商服用地</w:t>
            </w:r>
          </w:p>
        </w:tc>
        <w:tc>
          <w:tcPr>
            <w:tcW w:w="709" w:type="dxa"/>
            <w:vAlign w:val="center"/>
          </w:tcPr>
          <w:p>
            <w:pPr>
              <w:spacing w:line="200" w:lineRule="exact"/>
              <w:jc w:val="center"/>
              <w:rPr>
                <w:rFonts w:ascii="仿宋" w:hAnsi="仿宋" w:eastAsia="仿宋"/>
                <w:color w:val="000000" w:themeColor="text1"/>
                <w:sz w:val="18"/>
                <w:szCs w:val="18"/>
              </w:rPr>
            </w:pPr>
          </w:p>
        </w:tc>
        <w:tc>
          <w:tcPr>
            <w:tcW w:w="1417" w:type="dxa"/>
            <w:vAlign w:val="center"/>
          </w:tcPr>
          <w:p>
            <w:pPr>
              <w:spacing w:line="200" w:lineRule="exact"/>
              <w:jc w:val="center"/>
              <w:rPr>
                <w:rFonts w:ascii="仿宋" w:hAnsi="仿宋" w:eastAsia="仿宋"/>
                <w:color w:val="000000" w:themeColor="text1"/>
                <w:sz w:val="18"/>
                <w:szCs w:val="18"/>
              </w:rPr>
            </w:pP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指主要用于商业、服务业的土地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0501</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零售商业用地</w:t>
            </w:r>
          </w:p>
        </w:tc>
        <w:tc>
          <w:tcPr>
            <w:tcW w:w="5812" w:type="dxa"/>
            <w:vAlign w:val="center"/>
          </w:tcPr>
          <w:p>
            <w:pPr>
              <w:widowControl/>
              <w:spacing w:line="200" w:lineRule="exact"/>
              <w:jc w:val="center"/>
              <w:rPr>
                <w:rFonts w:ascii="仿宋" w:hAnsi="仿宋" w:eastAsia="仿宋" w:cs="Times New Roman"/>
                <w:b/>
                <w:color w:val="000000" w:themeColor="text1"/>
                <w:spacing w:val="5"/>
                <w:kern w:val="0"/>
                <w:sz w:val="18"/>
                <w:szCs w:val="18"/>
                <w:lang w:val="en-GB"/>
              </w:rPr>
            </w:pPr>
            <w:r>
              <w:rPr>
                <w:rFonts w:hint="eastAsia" w:ascii="仿宋" w:hAnsi="仿宋" w:eastAsia="仿宋"/>
                <w:color w:val="000000" w:themeColor="text1"/>
                <w:sz w:val="18"/>
                <w:szCs w:val="18"/>
              </w:rPr>
              <w:t>以零售功能为主的商铺、商场、超市、市场和加油、加气、充换电站等</w:t>
            </w:r>
          </w:p>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的用地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0502</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批发市场用地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以批发功能为主的市场用地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0503</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餐饮用地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饭店、餐厅、酒吧等用地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0504</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旅馆用地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宾馆、旅馆、招待所、服务型公寓、度假村等用地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0505</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商务金融用地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指商务服务用地，以及经营性的办公场所用地。包括写字楼、商业性办公场所、金融活动场所和企业厂区外独立的办公场所；信息网络服务、信息技术服务、电子商务服务、广告传媒等用地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0506</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娱乐用地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指剧院、音乐厅、电影院、歌舞厅、网吧、影视城、仿古城以及绿地率小于65%的大型游乐等设施用地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0507</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其他商服用地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零售商业、批发市场、餐饮、旅馆、商务金融、娱乐用地以外的其他商业、服务业用地。包括洗衣场、洗染店、照相馆、理发美容店、洗浴场所、赛马场、高尔夫球场、废弃物资回收站、机动车、电子产品和日用产品修理网点、物流营业网点，及居住小区及小区级以下的配套服务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restart"/>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06</w:t>
            </w:r>
          </w:p>
        </w:tc>
        <w:tc>
          <w:tcPr>
            <w:tcW w:w="709" w:type="dxa"/>
            <w:vMerge w:val="restart"/>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工矿仓储用地</w:t>
            </w:r>
          </w:p>
        </w:tc>
        <w:tc>
          <w:tcPr>
            <w:tcW w:w="709" w:type="dxa"/>
            <w:vAlign w:val="center"/>
          </w:tcPr>
          <w:p>
            <w:pPr>
              <w:spacing w:line="200" w:lineRule="exact"/>
              <w:jc w:val="center"/>
              <w:rPr>
                <w:rFonts w:ascii="仿宋" w:hAnsi="仿宋" w:eastAsia="仿宋"/>
                <w:color w:val="000000" w:themeColor="text1"/>
                <w:sz w:val="18"/>
                <w:szCs w:val="18"/>
              </w:rPr>
            </w:pPr>
          </w:p>
        </w:tc>
        <w:tc>
          <w:tcPr>
            <w:tcW w:w="1417" w:type="dxa"/>
            <w:vAlign w:val="center"/>
          </w:tcPr>
          <w:p>
            <w:pPr>
              <w:spacing w:line="200" w:lineRule="exact"/>
              <w:jc w:val="center"/>
              <w:rPr>
                <w:rFonts w:ascii="仿宋" w:hAnsi="仿宋" w:eastAsia="仿宋"/>
                <w:color w:val="000000" w:themeColor="text1"/>
                <w:sz w:val="18"/>
                <w:szCs w:val="18"/>
              </w:rPr>
            </w:pP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指主要用于工业生产、物资存放场所的土地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0601</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工业用地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指工业生产、产品加工制造、机械和设备修理及直接为工业生产等服务的附属设施用地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0602</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采矿用地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指采矿、采石、采砂（沙）场，砖瓦窑等地面生产用地，排土（石）及尾矿堆放地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0603</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盐田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指用于生产盐的土地，包括晒盐场所、盐池及附属设施用地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0604</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仓储用地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指用于物资储备、中转的场所用地，包括物资仓储设施、配送中心、转运中心等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restart"/>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07</w:t>
            </w:r>
          </w:p>
        </w:tc>
        <w:tc>
          <w:tcPr>
            <w:tcW w:w="709" w:type="dxa"/>
            <w:vMerge w:val="restart"/>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住宅用地</w:t>
            </w:r>
          </w:p>
        </w:tc>
        <w:tc>
          <w:tcPr>
            <w:tcW w:w="709" w:type="dxa"/>
            <w:vAlign w:val="center"/>
          </w:tcPr>
          <w:p>
            <w:pPr>
              <w:spacing w:line="200" w:lineRule="exact"/>
              <w:jc w:val="center"/>
              <w:rPr>
                <w:rFonts w:ascii="仿宋" w:hAnsi="仿宋" w:eastAsia="仿宋"/>
                <w:color w:val="000000" w:themeColor="text1"/>
                <w:sz w:val="18"/>
                <w:szCs w:val="18"/>
              </w:rPr>
            </w:pPr>
          </w:p>
        </w:tc>
        <w:tc>
          <w:tcPr>
            <w:tcW w:w="1417" w:type="dxa"/>
            <w:vAlign w:val="center"/>
          </w:tcPr>
          <w:p>
            <w:pPr>
              <w:spacing w:line="200" w:lineRule="exact"/>
              <w:jc w:val="center"/>
              <w:rPr>
                <w:rFonts w:ascii="仿宋" w:hAnsi="仿宋" w:eastAsia="仿宋"/>
                <w:color w:val="000000" w:themeColor="text1"/>
                <w:sz w:val="18"/>
                <w:szCs w:val="18"/>
              </w:rPr>
            </w:pP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指主要用于人们生活居住的房基地及其附属设施用地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0701</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城镇住宅用地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指城镇用于生活居住的各类房屋用地及其附属设施用地，不含配套的商业服务设施用地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0702</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农村宅基地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指农村用于生活居住的宅基地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restart"/>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w:t>
            </w:r>
          </w:p>
        </w:tc>
        <w:tc>
          <w:tcPr>
            <w:tcW w:w="709" w:type="dxa"/>
            <w:vMerge w:val="restart"/>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公共管理与公共服务用地</w:t>
            </w:r>
          </w:p>
        </w:tc>
        <w:tc>
          <w:tcPr>
            <w:tcW w:w="709" w:type="dxa"/>
            <w:vAlign w:val="center"/>
          </w:tcPr>
          <w:p>
            <w:pPr>
              <w:spacing w:line="200" w:lineRule="exact"/>
              <w:jc w:val="center"/>
              <w:rPr>
                <w:rFonts w:ascii="仿宋" w:hAnsi="仿宋" w:eastAsia="仿宋"/>
                <w:color w:val="000000" w:themeColor="text1"/>
                <w:sz w:val="18"/>
                <w:szCs w:val="18"/>
              </w:rPr>
            </w:pPr>
          </w:p>
        </w:tc>
        <w:tc>
          <w:tcPr>
            <w:tcW w:w="1417" w:type="dxa"/>
            <w:vAlign w:val="center"/>
          </w:tcPr>
          <w:p>
            <w:pPr>
              <w:spacing w:line="200" w:lineRule="exact"/>
              <w:jc w:val="center"/>
              <w:rPr>
                <w:rFonts w:ascii="仿宋" w:hAnsi="仿宋" w:eastAsia="仿宋"/>
                <w:color w:val="000000" w:themeColor="text1"/>
                <w:sz w:val="18"/>
                <w:szCs w:val="18"/>
              </w:rPr>
            </w:pP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指用于机关团体、新闻出版、教教文卫、公用设施等的土地。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0801</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机关团体用地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指用于党政机关、社会团体、群众自治组织等的用地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0802</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新闻出版用地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指用于广播电台、电视台、电影厂、报社、杂志社、通讯社、出版社等的用地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0803</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教育用地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指用于各类教育用地，包括高等院校、中等专业学校、中学、小学、幼儿园及其附属设施用地，聋、哑、盲人学校及工读学校用地，以及为学校配建的独立地段的学生生活用地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0804</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科研用地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指独立的科研、勘察、研发、设计、检验检测、技术推广、环境评估与监测、科普等科研事业单位及其附属设施用地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0805</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医疗卫生用地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医疗、保健、卫生、防疫、康复和急救设施等用地。包括综合医院、专科医院、社区卫生服务中心等用地；卫生防疫站、专科防治所、检验中心和动物检疫站等用地；对环境有特殊要求的传染病、精神病等专科医院用地；急救中心、血库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0806</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社会福利用地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指为社会提供福利和慈善服务的设施及其附属设施用地。包括福利院、养老院、孤儿院等用地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0807</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文化设施用地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指图书、展览等公共文化活动设施用地。包括公共图书馆、博物馆、档案馆、科技馆、纪念馆、美术馆和展览馆等设施用地；综合文化活动中心 、文化馆、亲少年宫、儿童活动中心、老年活动中心等设施用地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0808</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体育用地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体育场馆和体育训练基地等用地，包括室内外体育运动用地，如体育场馆、游泳场馆、各类球场及其附属的业余体校等用地，溜冰场、跳伞场、摩托车场、射击场，以及水上运动的陆域部分等用地，以及为体育运动专设的训练基地用地，不包括学校等机构专用的体育设施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0809</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公用设施用地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指用于城乡基础设施的用地。包括供水、排水、污水处理、供电、供热、供气、邮政、电信、消防、环卫、公用设施维修等用地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75" w:type="dxa"/>
            <w:vMerge w:val="continue"/>
            <w:vAlign w:val="center"/>
          </w:tcPr>
          <w:p>
            <w:pPr>
              <w:spacing w:line="200" w:lineRule="exact"/>
              <w:jc w:val="center"/>
              <w:rPr>
                <w:rFonts w:ascii="仿宋" w:hAnsi="仿宋" w:eastAsia="仿宋"/>
                <w:color w:val="000000" w:themeColor="text1"/>
                <w:sz w:val="18"/>
                <w:szCs w:val="18"/>
              </w:rPr>
            </w:pPr>
          </w:p>
        </w:tc>
        <w:tc>
          <w:tcPr>
            <w:tcW w:w="709" w:type="dxa"/>
            <w:vMerge w:val="continue"/>
            <w:vAlign w:val="center"/>
          </w:tcPr>
          <w:p>
            <w:pPr>
              <w:spacing w:line="200" w:lineRule="exact"/>
              <w:jc w:val="center"/>
              <w:rPr>
                <w:rFonts w:ascii="仿宋" w:hAnsi="仿宋" w:eastAsia="仿宋"/>
                <w:color w:val="000000" w:themeColor="text1"/>
                <w:sz w:val="18"/>
                <w:szCs w:val="18"/>
              </w:rPr>
            </w:pPr>
          </w:p>
        </w:tc>
        <w:tc>
          <w:tcPr>
            <w:tcW w:w="709"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0810</w:t>
            </w:r>
          </w:p>
        </w:tc>
        <w:tc>
          <w:tcPr>
            <w:tcW w:w="1417" w:type="dxa"/>
            <w:vAlign w:val="center"/>
          </w:tcPr>
          <w:p>
            <w:pPr>
              <w:spacing w:line="200" w:lineRule="exact"/>
              <w:jc w:val="center"/>
              <w:rPr>
                <w:rFonts w:ascii="仿宋" w:hAnsi="仿宋" w:eastAsia="仿宋"/>
                <w:color w:val="000000" w:themeColor="text1"/>
                <w:sz w:val="18"/>
                <w:szCs w:val="18"/>
              </w:rPr>
            </w:pPr>
            <w:r>
              <w:rPr>
                <w:rFonts w:hint="eastAsia" w:ascii="仿宋" w:hAnsi="仿宋" w:eastAsia="仿宋"/>
                <w:color w:val="000000" w:themeColor="text1"/>
                <w:sz w:val="18"/>
                <w:szCs w:val="18"/>
              </w:rPr>
              <w:t>公园与绿地</w:t>
            </w:r>
          </w:p>
        </w:tc>
        <w:tc>
          <w:tcPr>
            <w:tcW w:w="5812" w:type="dxa"/>
            <w:vAlign w:val="center"/>
          </w:tcPr>
          <w:p>
            <w:pPr>
              <w:spacing w:line="200" w:lineRule="exact"/>
              <w:rPr>
                <w:rFonts w:ascii="仿宋" w:hAnsi="仿宋" w:eastAsia="仿宋"/>
                <w:color w:val="000000" w:themeColor="text1"/>
                <w:sz w:val="18"/>
                <w:szCs w:val="18"/>
              </w:rPr>
            </w:pPr>
            <w:r>
              <w:rPr>
                <w:rFonts w:hint="eastAsia" w:ascii="仿宋" w:hAnsi="仿宋" w:eastAsia="仿宋"/>
                <w:color w:val="000000" w:themeColor="text1"/>
                <w:sz w:val="18"/>
                <w:szCs w:val="18"/>
              </w:rPr>
              <w:t>指城镇、村庄范围内的公园、动物园、植物园、街心花园、广场和用于休憩、美化环境及防护的绿化用地</w:t>
            </w:r>
          </w:p>
        </w:tc>
      </w:tr>
    </w:tbl>
    <w:p>
      <w:pPr>
        <w:widowControl/>
        <w:jc w:val="center"/>
        <w:rPr>
          <w:rFonts w:ascii="仿宋" w:hAnsi="仿宋" w:eastAsia="仿宋" w:cs="Times New Roman"/>
          <w:b/>
          <w:color w:val="000000" w:themeColor="text1"/>
          <w:spacing w:val="5"/>
          <w:sz w:val="24"/>
          <w:szCs w:val="24"/>
        </w:rPr>
      </w:pPr>
    </w:p>
    <w:bookmarkEnd w:id="34"/>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35" w:name="_Toc42179570"/>
      <w:bookmarkStart w:id="36" w:name="_Toc46252813"/>
    </w:p>
    <w:p>
      <w:pPr>
        <w:spacing w:line="360" w:lineRule="auto"/>
        <w:ind w:firstLine="437" w:firstLineChars="174"/>
        <w:jc w:val="center"/>
        <w:outlineLvl w:val="2"/>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第三节 技术路线</w:t>
      </w:r>
      <w:bookmarkEnd w:id="35"/>
      <w:bookmarkEnd w:id="36"/>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在土地级别或均质地域基础上划定标定区域，设立标准宗地，跟踪标准宗地及其所在标定区域的地价影响因素变化，采用规范的评估方法，定期评估标准宗地的标定地价，按约定内容与规范格式向社会公布，形成区域内土地市场的正常价值参考。</w:t>
      </w:r>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一、标定地价公示范围的确定</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2020年江川区标定地价体系工作将江川区土地利用现状图（全国第二次土地调查地籍图城镇部分）的宗地图斑，《江川区城市总体规划（2011-2030年）》等规划用地图斑等进行叠加，结合江川区现状城市发展趋势作适当调整，公示范围覆盖了江川区县城规划区和龙泉工业园区，江川区2020年标定地价体系建设工作公示范围为：</w:t>
      </w:r>
    </w:p>
    <w:p>
      <w:pPr>
        <w:widowControl/>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主要为北至健康主题公园、赵官村、小街；南至县第一中学、小石洞、上头营小学；东至金家庄、气象局、江华公路；西至龙泉庄、紫红坝、紫红坝休闲山庄；面积为1530.57公顷。</w:t>
      </w:r>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二、标定区域的确定</w:t>
      </w:r>
    </w:p>
    <w:p>
      <w:pPr>
        <w:spacing w:line="360" w:lineRule="auto"/>
        <w:ind w:firstLine="500" w:firstLineChars="200"/>
        <w:rPr>
          <w:rFonts w:ascii="仿宋" w:hAnsi="仿宋" w:eastAsia="仿宋" w:cs="Times New Roman"/>
          <w:color w:val="000000" w:themeColor="text1"/>
          <w:spacing w:val="5"/>
          <w:sz w:val="24"/>
          <w:szCs w:val="24"/>
        </w:rPr>
      </w:pPr>
      <w:r>
        <w:rPr>
          <w:rFonts w:ascii="仿宋" w:hAnsi="仿宋" w:eastAsia="仿宋" w:cs="Times New Roman"/>
          <w:color w:val="000000" w:themeColor="text1"/>
          <w:spacing w:val="5"/>
          <w:sz w:val="24"/>
          <w:szCs w:val="24"/>
        </w:rPr>
        <w:t>根据</w:t>
      </w:r>
      <w:r>
        <w:rPr>
          <w:rFonts w:hint="eastAsia" w:ascii="仿宋" w:hAnsi="仿宋" w:eastAsia="仿宋" w:cs="Times New Roman"/>
          <w:color w:val="000000" w:themeColor="text1"/>
          <w:spacing w:val="5"/>
          <w:sz w:val="24"/>
          <w:szCs w:val="24"/>
        </w:rPr>
        <w:t>《标定地价规程》（TD/T1052-2017），江川区标定区域的确定与划分主要采用叠加法为主，专家评判法为辅，主要叠加了《江川区城市总体规划（2011-2030年）》等规划用地图斑，土地利用现状图（全国第二次土地调查地籍图城镇部分）的宗地图斑、地类图斑，现状地物图斑、街道区划分区等图斑，最后根据土地利用条件各要素的等值线及其作用边界、城市总体规划的功能分区界线与地价水平要素依次叠加后形成的封闭区域为基础，结合实地调查调整，形成标定区域。</w:t>
      </w:r>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b/>
          <w:color w:val="000000" w:themeColor="text1"/>
          <w:spacing w:val="5"/>
          <w:sz w:val="24"/>
          <w:szCs w:val="24"/>
        </w:rPr>
        <w:t>三、标准宗地的确定</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布设的标准宗地需能够反映其所在均质区域内容积率总体水平和土地利用强度差异、土地开发程度、土地面积等土地利用状况，地上建筑物常见业态，以及其所在均质区域的地价水平，具有一定的代表性。</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2020年标准宗地的布设在标定区域划分的基础上，在各个标定区域内选择符合条件的宗地作为初步选取的宗地，对初步选取的标准宗地进行跟踪调查，实地调查其土地利用状况、地价影响因素的变化，对标准宗地地上建筑物灭失，土地用途、土地利用条件发生变化、宗地被分割或长期低效利用已不具备标定区域内代表性的标准宗地进行替换。</w:t>
      </w:r>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四、标定地价评估的方法</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根据《标定地价规程》，每宗标准宗地的价格由两名土地估价师分别独立负责评估，并按标准格式填写相应表格，编制评估报告；分别汇总两名土地评估师的评估结果，分析其评估结果的差异率，对差异率超过20%的标准宗地要求土地估价师重新核实评估结果，最后采用两名土地估价师的算术平均值作为标定地价评估结果建议值；根据评估出的标准宗地估价价格，由自然资源局相关工作人员进行审核确认，最终形成本次江川区标定地价标准宗地价格建议值。</w:t>
      </w:r>
    </w:p>
    <w:p>
      <w:pPr>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br w:type="page"/>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drawing>
          <wp:anchor distT="0" distB="0" distL="114300" distR="114300" simplePos="0" relativeHeight="251662336" behindDoc="0" locked="0" layoutInCell="1" allowOverlap="1">
            <wp:simplePos x="0" y="0"/>
            <wp:positionH relativeFrom="column">
              <wp:posOffset>59055</wp:posOffset>
            </wp:positionH>
            <wp:positionV relativeFrom="paragraph">
              <wp:posOffset>236220</wp:posOffset>
            </wp:positionV>
            <wp:extent cx="5273675" cy="3857625"/>
            <wp:effectExtent l="0" t="0" r="3175" b="9525"/>
            <wp:wrapNone/>
            <wp:docPr id="12" name="图片 1" descr="http://www.czgtzy.gov.cn/gtzyyw/dcgl/jzdj_17048/201512/W020151217382843443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 descr="http://www.czgtzy.gov.cn/gtzyyw/dcgl/jzdj_17048/201512/W020151217382843443508.jpg"/>
                    <pic:cNvPicPr>
                      <a:picLocks noChangeAspect="1" noChangeArrowheads="1"/>
                    </pic:cNvPicPr>
                  </pic:nvPicPr>
                  <pic:blipFill>
                    <a:blip r:embed="rId13" cstate="print"/>
                    <a:srcRect/>
                    <a:stretch>
                      <a:fillRect/>
                    </a:stretch>
                  </pic:blipFill>
                  <pic:spPr>
                    <a:xfrm>
                      <a:off x="0" y="0"/>
                      <a:ext cx="5273675" cy="3857625"/>
                    </a:xfrm>
                    <a:prstGeom prst="rect">
                      <a:avLst/>
                    </a:prstGeom>
                    <a:noFill/>
                    <a:ln w="9525">
                      <a:noFill/>
                      <a:miter lim="800000"/>
                      <a:headEnd/>
                      <a:tailEnd/>
                    </a:ln>
                  </pic:spPr>
                </pic:pic>
              </a:graphicData>
            </a:graphic>
          </wp:anchor>
        </w:drawing>
      </w:r>
      <w:r>
        <w:rPr>
          <w:rFonts w:hint="eastAsia" w:ascii="仿宋" w:hAnsi="仿宋" w:eastAsia="仿宋" w:cs="Times New Roman"/>
          <w:color w:val="000000" w:themeColor="text1"/>
          <w:spacing w:val="5"/>
          <w:sz w:val="24"/>
          <w:szCs w:val="24"/>
        </w:rPr>
        <w:t>技术路线过程图如下：</w:t>
      </w:r>
    </w:p>
    <w:p>
      <w:pPr>
        <w:widowControl/>
        <w:shd w:val="clear" w:color="auto" w:fill="FFFFFF"/>
        <w:spacing w:before="100" w:beforeAutospacing="1" w:after="100" w:afterAutospacing="1"/>
        <w:jc w:val="left"/>
        <w:rPr>
          <w:rFonts w:ascii="仿宋" w:hAnsi="仿宋" w:eastAsia="仿宋" w:cs="宋体"/>
          <w:color w:val="000000" w:themeColor="text1"/>
          <w:kern w:val="0"/>
          <w:sz w:val="28"/>
          <w:szCs w:val="28"/>
        </w:rPr>
      </w:pPr>
    </w:p>
    <w:p>
      <w:pPr>
        <w:widowControl/>
        <w:shd w:val="clear" w:color="auto" w:fill="FFFFFF"/>
        <w:spacing w:before="100" w:beforeAutospacing="1" w:after="156"/>
        <w:jc w:val="center"/>
        <w:rPr>
          <w:rFonts w:ascii="仿宋" w:hAnsi="仿宋" w:eastAsia="仿宋" w:cs="宋体"/>
          <w:b/>
          <w:bCs/>
          <w:color w:val="000000" w:themeColor="text1"/>
          <w:kern w:val="0"/>
          <w:sz w:val="24"/>
          <w:szCs w:val="24"/>
        </w:rPr>
      </w:pPr>
      <w:bookmarkStart w:id="37" w:name="_Ref376374521"/>
      <w:bookmarkEnd w:id="37"/>
      <w:bookmarkStart w:id="38" w:name="_Ref376974385"/>
    </w:p>
    <w:p>
      <w:pPr>
        <w:widowControl/>
        <w:shd w:val="clear" w:color="auto" w:fill="FFFFFF"/>
        <w:spacing w:before="100" w:beforeAutospacing="1" w:after="156"/>
        <w:jc w:val="center"/>
        <w:rPr>
          <w:rFonts w:ascii="仿宋" w:hAnsi="仿宋" w:eastAsia="仿宋" w:cs="宋体"/>
          <w:b/>
          <w:bCs/>
          <w:color w:val="000000" w:themeColor="text1"/>
          <w:kern w:val="0"/>
          <w:sz w:val="24"/>
          <w:szCs w:val="24"/>
        </w:rPr>
      </w:pPr>
    </w:p>
    <w:p>
      <w:pPr>
        <w:widowControl/>
        <w:shd w:val="clear" w:color="auto" w:fill="FFFFFF"/>
        <w:spacing w:before="100" w:beforeAutospacing="1" w:after="156"/>
        <w:jc w:val="center"/>
        <w:rPr>
          <w:rFonts w:ascii="仿宋" w:hAnsi="仿宋" w:eastAsia="仿宋" w:cs="宋体"/>
          <w:b/>
          <w:bCs/>
          <w:color w:val="000000" w:themeColor="text1"/>
          <w:kern w:val="0"/>
          <w:sz w:val="24"/>
          <w:szCs w:val="24"/>
        </w:rPr>
      </w:pPr>
    </w:p>
    <w:p>
      <w:pPr>
        <w:widowControl/>
        <w:shd w:val="clear" w:color="auto" w:fill="FFFFFF"/>
        <w:spacing w:before="100" w:beforeAutospacing="1" w:after="156"/>
        <w:jc w:val="center"/>
        <w:rPr>
          <w:rFonts w:ascii="仿宋" w:hAnsi="仿宋" w:eastAsia="仿宋" w:cs="宋体"/>
          <w:b/>
          <w:bCs/>
          <w:color w:val="000000" w:themeColor="text1"/>
          <w:kern w:val="0"/>
          <w:sz w:val="24"/>
          <w:szCs w:val="24"/>
        </w:rPr>
      </w:pPr>
    </w:p>
    <w:p>
      <w:pPr>
        <w:widowControl/>
        <w:shd w:val="clear" w:color="auto" w:fill="FFFFFF"/>
        <w:spacing w:before="100" w:beforeAutospacing="1" w:after="156"/>
        <w:jc w:val="center"/>
        <w:rPr>
          <w:rFonts w:ascii="仿宋" w:hAnsi="仿宋" w:eastAsia="仿宋" w:cs="宋体"/>
          <w:b/>
          <w:bCs/>
          <w:color w:val="000000" w:themeColor="text1"/>
          <w:kern w:val="0"/>
          <w:sz w:val="24"/>
          <w:szCs w:val="24"/>
        </w:rPr>
      </w:pPr>
    </w:p>
    <w:p>
      <w:pPr>
        <w:widowControl/>
        <w:shd w:val="clear" w:color="auto" w:fill="FFFFFF"/>
        <w:spacing w:before="100" w:beforeAutospacing="1" w:after="156"/>
        <w:jc w:val="center"/>
        <w:rPr>
          <w:rFonts w:ascii="仿宋" w:hAnsi="仿宋" w:eastAsia="仿宋" w:cs="宋体"/>
          <w:b/>
          <w:bCs/>
          <w:color w:val="000000" w:themeColor="text1"/>
          <w:kern w:val="0"/>
          <w:sz w:val="24"/>
          <w:szCs w:val="24"/>
        </w:rPr>
      </w:pPr>
    </w:p>
    <w:p>
      <w:pPr>
        <w:widowControl/>
        <w:shd w:val="clear" w:color="auto" w:fill="FFFFFF"/>
        <w:spacing w:before="100" w:beforeAutospacing="1" w:after="156"/>
        <w:jc w:val="center"/>
        <w:rPr>
          <w:rFonts w:ascii="仿宋" w:hAnsi="仿宋" w:eastAsia="仿宋" w:cs="宋体"/>
          <w:b/>
          <w:bCs/>
          <w:color w:val="000000" w:themeColor="text1"/>
          <w:kern w:val="0"/>
          <w:sz w:val="24"/>
          <w:szCs w:val="24"/>
        </w:rPr>
      </w:pPr>
    </w:p>
    <w:p>
      <w:pPr>
        <w:widowControl/>
        <w:shd w:val="clear" w:color="auto" w:fill="FFFFFF"/>
        <w:spacing w:before="100" w:beforeAutospacing="1" w:after="156"/>
        <w:jc w:val="center"/>
        <w:rPr>
          <w:rFonts w:ascii="仿宋" w:hAnsi="仿宋" w:eastAsia="仿宋" w:cs="宋体"/>
          <w:b/>
          <w:bCs/>
          <w:color w:val="000000" w:themeColor="text1"/>
          <w:kern w:val="0"/>
          <w:sz w:val="24"/>
          <w:szCs w:val="24"/>
        </w:rPr>
      </w:pPr>
    </w:p>
    <w:p>
      <w:pPr>
        <w:widowControl/>
        <w:shd w:val="clear" w:color="auto" w:fill="FFFFFF"/>
        <w:spacing w:before="100" w:beforeAutospacing="1" w:after="156"/>
        <w:jc w:val="center"/>
        <w:rPr>
          <w:rFonts w:ascii="仿宋" w:hAnsi="仿宋" w:eastAsia="仿宋" w:cs="宋体"/>
          <w:color w:val="000000" w:themeColor="text1"/>
          <w:kern w:val="0"/>
          <w:sz w:val="24"/>
          <w:szCs w:val="24"/>
        </w:rPr>
      </w:pPr>
      <w:r>
        <w:rPr>
          <w:rFonts w:hint="eastAsia" w:ascii="仿宋" w:hAnsi="仿宋" w:eastAsia="仿宋" w:cs="宋体"/>
          <w:b/>
          <w:bCs/>
          <w:color w:val="000000" w:themeColor="text1"/>
          <w:kern w:val="0"/>
          <w:sz w:val="24"/>
          <w:szCs w:val="24"/>
        </w:rPr>
        <w:t>图</w:t>
      </w:r>
      <w:bookmarkEnd w:id="38"/>
      <w:r>
        <w:rPr>
          <w:rFonts w:hint="eastAsia" w:ascii="仿宋" w:hAnsi="仿宋" w:eastAsia="仿宋" w:cs="宋体"/>
          <w:b/>
          <w:bCs/>
          <w:color w:val="000000" w:themeColor="text1"/>
          <w:kern w:val="0"/>
          <w:sz w:val="24"/>
          <w:szCs w:val="24"/>
        </w:rPr>
        <w:t>2-1 标定地价公示工作技术路线图</w:t>
      </w: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39" w:name="_Toc42179571"/>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40" w:name="_Toc46252814"/>
      <w:r>
        <w:rPr>
          <w:rFonts w:hint="eastAsia" w:ascii="仿宋" w:hAnsi="仿宋" w:eastAsia="仿宋" w:cs="Times New Roman"/>
          <w:b/>
          <w:color w:val="000000" w:themeColor="text1"/>
          <w:spacing w:val="5"/>
          <w:sz w:val="24"/>
          <w:szCs w:val="24"/>
        </w:rPr>
        <w:t>第四节 标定地价体系建设程序</w:t>
      </w:r>
      <w:bookmarkEnd w:id="39"/>
      <w:bookmarkEnd w:id="40"/>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1 、确定各用途标定地价公示范围；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2 、在明确土地级别或均质地域的基础上，划定标定区域；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3 、设立标准宗地,并采集更新信息；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4、 评估标定地价；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5、 确定标定地价；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6 、发布标定地价及相关信息。</w:t>
      </w:r>
    </w:p>
    <w:p>
      <w:pPr>
        <w:widowControl/>
        <w:jc w:val="left"/>
        <w:rPr>
          <w:rFonts w:ascii="仿宋" w:hAnsi="仿宋" w:eastAsia="仿宋" w:cs="Times New Roman"/>
          <w:b/>
          <w:color w:val="000000" w:themeColor="text1"/>
          <w:spacing w:val="5"/>
          <w:kern w:val="0"/>
          <w:sz w:val="24"/>
          <w:szCs w:val="24"/>
          <w:lang w:val="en-GB"/>
        </w:rPr>
      </w:pPr>
      <w:r>
        <w:rPr>
          <w:rFonts w:ascii="仿宋" w:hAnsi="仿宋" w:eastAsia="仿宋"/>
          <w:b/>
          <w:color w:val="000000" w:themeColor="text1"/>
          <w:spacing w:val="5"/>
          <w:szCs w:val="24"/>
        </w:rPr>
        <w:br w:type="page"/>
      </w:r>
    </w:p>
    <w:p>
      <w:pPr>
        <w:pStyle w:val="2"/>
        <w:rPr>
          <w:rFonts w:ascii="仿宋" w:hAnsi="仿宋" w:eastAsia="仿宋"/>
          <w:b/>
          <w:color w:val="000000" w:themeColor="text1"/>
          <w:spacing w:val="5"/>
          <w:szCs w:val="24"/>
        </w:rPr>
      </w:pPr>
      <w:bookmarkStart w:id="41" w:name="_Toc46252815"/>
      <w:bookmarkStart w:id="42" w:name="_Toc437976771"/>
      <w:r>
        <w:rPr>
          <w:rFonts w:hint="eastAsia" w:ascii="仿宋" w:hAnsi="仿宋" w:eastAsia="仿宋"/>
          <w:b/>
          <w:color w:val="000000" w:themeColor="text1"/>
          <w:spacing w:val="5"/>
          <w:szCs w:val="24"/>
        </w:rPr>
        <w:t>第三</w:t>
      </w:r>
      <w:r>
        <w:rPr>
          <w:rFonts w:hint="eastAsia" w:ascii="仿宋" w:hAnsi="仿宋" w:eastAsia="仿宋"/>
          <w:b/>
          <w:color w:val="000000" w:themeColor="text1"/>
          <w:spacing w:val="5"/>
          <w:szCs w:val="24"/>
          <w:lang w:val="en-US"/>
        </w:rPr>
        <w:t>章</w:t>
      </w:r>
      <w:r>
        <w:rPr>
          <w:rFonts w:hint="eastAsia" w:ascii="仿宋" w:hAnsi="仿宋" w:eastAsia="仿宋"/>
          <w:b/>
          <w:color w:val="000000" w:themeColor="text1"/>
          <w:spacing w:val="5"/>
          <w:szCs w:val="24"/>
        </w:rPr>
        <w:t xml:space="preserve"> 标定地价体系公示范围的确定</w:t>
      </w:r>
      <w:bookmarkEnd w:id="41"/>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根据《标定地价规程》（TD/T1052-2017），标定地价公示范围划定应以“行政辖区为基础，根据市场发育和政府的服务监管需求灵活确定；宜覆盖建成区、开发区，逐步拓展至近期城镇规划建设区及农村集体土地市场发育较好的乡镇，工业用地标定地价公示范围应以开发区、集中区为主导划定”。根据范围确定原则与依据：</w:t>
      </w:r>
    </w:p>
    <w:p>
      <w:pPr>
        <w:numPr>
          <w:ilvl w:val="0"/>
          <w:numId w:val="1"/>
        </w:numPr>
        <w:spacing w:line="360" w:lineRule="auto"/>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以土地利用总体规划确定的建设区范围为主（允许建设区）；</w:t>
      </w:r>
    </w:p>
    <w:p>
      <w:pPr>
        <w:numPr>
          <w:ilvl w:val="0"/>
          <w:numId w:val="1"/>
        </w:numPr>
        <w:spacing w:line="360" w:lineRule="auto"/>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参考城市土地利用现状图和实际调查确定现状建成区；</w:t>
      </w:r>
    </w:p>
    <w:p>
      <w:pPr>
        <w:numPr>
          <w:ilvl w:val="0"/>
          <w:numId w:val="1"/>
        </w:numPr>
        <w:spacing w:line="360" w:lineRule="auto"/>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参考城市总体规划范围；</w:t>
      </w:r>
    </w:p>
    <w:p>
      <w:pPr>
        <w:numPr>
          <w:ilvl w:val="0"/>
          <w:numId w:val="1"/>
        </w:numPr>
        <w:spacing w:line="360" w:lineRule="auto"/>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保证宗地完整性。</w:t>
      </w:r>
    </w:p>
    <w:p>
      <w:pPr>
        <w:numPr>
          <w:ilvl w:val="0"/>
          <w:numId w:val="1"/>
        </w:numPr>
        <w:spacing w:line="360" w:lineRule="auto"/>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以建成区为主，部分扩展到近期发展区域。</w:t>
      </w:r>
    </w:p>
    <w:p>
      <w:pPr>
        <w:numPr>
          <w:ilvl w:val="0"/>
          <w:numId w:val="1"/>
        </w:numPr>
        <w:spacing w:line="360" w:lineRule="auto"/>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工业园区纳入标定地价公示范围。</w:t>
      </w:r>
    </w:p>
    <w:p>
      <w:pPr>
        <w:widowControl/>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本次江川区标定地价体系建设工作将江川区土地利用现状图（全国第二次土地调查地籍图城镇部分）的宗地图斑，《江川区城市总体规划（2011-2030年）》等规划用地图斑等进行叠加，结合江川区现状城市发展趋势作适当调整，公示范围覆盖了江川区县城规划区</w:t>
      </w:r>
      <w:r>
        <w:rPr>
          <w:rFonts w:hint="eastAsia"/>
          <w:color w:val="000000" w:themeColor="text1"/>
        </w:rPr>
        <w:t>和龙泉工业园区</w:t>
      </w:r>
      <w:r>
        <w:rPr>
          <w:rFonts w:hint="eastAsia" w:ascii="仿宋" w:hAnsi="仿宋" w:eastAsia="仿宋" w:cs="Times New Roman"/>
          <w:color w:val="000000" w:themeColor="text1"/>
          <w:spacing w:val="5"/>
          <w:sz w:val="24"/>
          <w:szCs w:val="24"/>
        </w:rPr>
        <w:t>，江川区2020年标定地价体系建设工作公示范围为：</w:t>
      </w:r>
    </w:p>
    <w:p>
      <w:pPr>
        <w:widowControl/>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主要为北至健康主题公园、赵官村、小街；南至县第一中学、小石洞、上头营小学；东至金家庄、气象局、江华公路；西至龙泉庄、紫红坝、紫红坝休闲山庄；面积为1530.57公顷。</w:t>
      </w:r>
    </w:p>
    <w:p>
      <w:pPr>
        <w:widowControl/>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江川区商服用地覆盖范围面积为10.04公顷；住宅用地覆盖范围面积为86.13公顷；商住混合用地公示覆盖面积为83.55公顷；公共管理与公共服务用地公示覆盖面积为24.88公顷；工矿仓储用地覆盖范围面积为113.25公顷。</w:t>
      </w:r>
    </w:p>
    <w:p>
      <w:pPr>
        <w:widowControl/>
        <w:spacing w:line="360" w:lineRule="auto"/>
        <w:ind w:firstLine="500" w:firstLineChars="200"/>
        <w:jc w:val="left"/>
        <w:rPr>
          <w:rFonts w:ascii="仿宋" w:hAnsi="仿宋" w:eastAsia="仿宋"/>
          <w:color w:val="000000" w:themeColor="text1"/>
          <w:spacing w:val="5"/>
          <w:sz w:val="24"/>
          <w:szCs w:val="24"/>
        </w:rPr>
      </w:pPr>
    </w:p>
    <w:p>
      <w:pPr>
        <w:widowControl/>
        <w:spacing w:line="360" w:lineRule="auto"/>
        <w:ind w:firstLine="500" w:firstLineChars="200"/>
        <w:jc w:val="left"/>
        <w:rPr>
          <w:rFonts w:ascii="仿宋" w:hAnsi="仿宋" w:eastAsia="仿宋"/>
          <w:color w:val="000000" w:themeColor="text1"/>
          <w:spacing w:val="5"/>
          <w:sz w:val="24"/>
          <w:szCs w:val="24"/>
        </w:rPr>
      </w:pPr>
    </w:p>
    <w:p>
      <w:pPr>
        <w:widowControl/>
        <w:spacing w:line="360" w:lineRule="auto"/>
        <w:ind w:firstLine="500" w:firstLineChars="200"/>
        <w:jc w:val="left"/>
        <w:rPr>
          <w:rFonts w:ascii="仿宋" w:hAnsi="仿宋" w:eastAsia="仿宋"/>
          <w:color w:val="000000" w:themeColor="text1"/>
          <w:spacing w:val="5"/>
          <w:sz w:val="24"/>
          <w:szCs w:val="24"/>
        </w:rPr>
      </w:pPr>
    </w:p>
    <w:p>
      <w:pPr>
        <w:widowControl/>
        <w:spacing w:line="360" w:lineRule="auto"/>
        <w:ind w:firstLine="500" w:firstLineChars="200"/>
        <w:jc w:val="left"/>
        <w:rPr>
          <w:rFonts w:ascii="仿宋" w:hAnsi="仿宋" w:eastAsia="仿宋"/>
          <w:color w:val="000000" w:themeColor="text1"/>
          <w:spacing w:val="5"/>
          <w:sz w:val="24"/>
          <w:szCs w:val="24"/>
        </w:rPr>
      </w:pPr>
    </w:p>
    <w:p>
      <w:pPr>
        <w:widowControl/>
        <w:spacing w:line="360" w:lineRule="auto"/>
        <w:ind w:firstLine="500" w:firstLineChars="200"/>
        <w:jc w:val="left"/>
        <w:rPr>
          <w:rFonts w:ascii="仿宋" w:hAnsi="仿宋" w:eastAsia="仿宋"/>
          <w:color w:val="000000" w:themeColor="text1"/>
          <w:spacing w:val="5"/>
          <w:sz w:val="24"/>
          <w:szCs w:val="24"/>
        </w:rPr>
      </w:pPr>
    </w:p>
    <w:p>
      <w:pPr>
        <w:pStyle w:val="2"/>
        <w:rPr>
          <w:rFonts w:ascii="Times New Roman" w:hAnsi="Times New Roman" w:eastAsia="仿宋_GB2312"/>
          <w:b/>
          <w:color w:val="000000" w:themeColor="text1"/>
          <w:spacing w:val="5"/>
          <w:szCs w:val="24"/>
        </w:rPr>
      </w:pPr>
      <w:bookmarkStart w:id="43" w:name="_Toc46252816"/>
      <w:r>
        <w:rPr>
          <w:rFonts w:ascii="Times New Roman" w:hAnsi="Times New Roman" w:eastAsia="仿宋_GB2312"/>
          <w:b/>
          <w:color w:val="000000" w:themeColor="text1"/>
          <w:spacing w:val="5"/>
          <w:szCs w:val="24"/>
        </w:rPr>
        <w:t xml:space="preserve">第四章 </w:t>
      </w:r>
      <w:r>
        <w:rPr>
          <w:rFonts w:hint="eastAsia" w:ascii="Times New Roman" w:hAnsi="Times New Roman" w:eastAsia="仿宋_GB2312"/>
          <w:b/>
          <w:color w:val="000000" w:themeColor="text1"/>
          <w:spacing w:val="5"/>
          <w:szCs w:val="24"/>
        </w:rPr>
        <w:t>江川区</w:t>
      </w:r>
      <w:r>
        <w:rPr>
          <w:rFonts w:ascii="Times New Roman" w:hAnsi="Times New Roman" w:eastAsia="仿宋_GB2312"/>
          <w:b/>
          <w:color w:val="000000" w:themeColor="text1"/>
          <w:spacing w:val="5"/>
          <w:szCs w:val="24"/>
        </w:rPr>
        <w:t>标定区域的划分</w:t>
      </w:r>
      <w:bookmarkEnd w:id="43"/>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44" w:name="_Toc46252817"/>
      <w:bookmarkStart w:id="45" w:name="_Toc42179574"/>
      <w:r>
        <w:rPr>
          <w:rFonts w:hint="eastAsia" w:ascii="仿宋" w:hAnsi="仿宋" w:eastAsia="仿宋" w:cs="Times New Roman"/>
          <w:b/>
          <w:color w:val="000000" w:themeColor="text1"/>
          <w:spacing w:val="5"/>
          <w:sz w:val="24"/>
          <w:szCs w:val="24"/>
        </w:rPr>
        <w:t xml:space="preserve">第一节 </w:t>
      </w:r>
      <w:r>
        <w:rPr>
          <w:rFonts w:hint="eastAsia" w:ascii="仿宋" w:hAnsi="仿宋" w:eastAsia="仿宋"/>
          <w:b/>
          <w:color w:val="000000" w:themeColor="text1"/>
          <w:spacing w:val="5"/>
          <w:sz w:val="24"/>
          <w:szCs w:val="24"/>
        </w:rPr>
        <w:t>标定区域划分的基本事项</w:t>
      </w:r>
      <w:bookmarkEnd w:id="44"/>
      <w:bookmarkEnd w:id="45"/>
    </w:p>
    <w:p>
      <w:pPr>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一、划分原则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均质均价原则：同一标定区域内，土地利用状况、主导地价影响因素等相似，地价水平基本接近。</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管理便利原则：标定区域界线不宜突破区县行政区划、产业区划、商业商务区、成片保障性住房等规划范围边界。</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宗地完整原则：标定区域界线应保持内部的宗地完整性</w:t>
      </w:r>
    </w:p>
    <w:p>
      <w:pPr>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二、划分要求</w:t>
      </w:r>
    </w:p>
    <w:p>
      <w:pPr>
        <w:spacing w:line="360" w:lineRule="auto"/>
        <w:ind w:firstLine="500" w:firstLineChars="200"/>
        <w:rPr>
          <w:rFonts w:ascii="仿宋" w:hAnsi="仿宋" w:eastAsia="仿宋" w:cs="Times New Roman"/>
          <w:color w:val="000000" w:themeColor="text1"/>
          <w:spacing w:val="5"/>
          <w:sz w:val="24"/>
          <w:szCs w:val="24"/>
        </w:rPr>
      </w:pPr>
      <w:bookmarkStart w:id="46" w:name="_Toc510431193"/>
      <w:bookmarkStart w:id="47" w:name="_Toc7198"/>
      <w:bookmarkStart w:id="48" w:name="_Toc20275"/>
      <w:r>
        <w:rPr>
          <w:rFonts w:hint="eastAsia" w:ascii="仿宋" w:hAnsi="仿宋" w:eastAsia="仿宋" w:cs="Times New Roman"/>
          <w:color w:val="000000" w:themeColor="text1"/>
          <w:spacing w:val="5"/>
          <w:sz w:val="24"/>
          <w:szCs w:val="24"/>
        </w:rPr>
        <w:t>1、</w:t>
      </w:r>
      <w:bookmarkEnd w:id="46"/>
      <w:bookmarkEnd w:id="47"/>
      <w:bookmarkEnd w:id="48"/>
      <w:r>
        <w:rPr>
          <w:rFonts w:hint="eastAsia" w:ascii="仿宋" w:hAnsi="仿宋" w:eastAsia="仿宋" w:cs="Times New Roman"/>
          <w:color w:val="000000" w:themeColor="text1"/>
          <w:spacing w:val="5"/>
          <w:sz w:val="24"/>
          <w:szCs w:val="24"/>
        </w:rPr>
        <w:t>标定区域的划分应在已有土地级别或均质地域的基础上，结合地质地貌、水土条件、土地利用和市场发育程度等进行；在已建立地价动态监测体系的地区，标定区域的划分宜参照具有较好现势性的地价区段。</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2、建设用地标定区域划分时，除区位因素外，还应关注土地的位置、面积、形状、宽度、深度、临街状况、地形、地势等土地条件及土地的用途、开发程度、建筑密度、建筑容积率、地上地下主要建构筑物的用途、建筑结构、建筑成新等土地利用状况；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3、标定区域的分界线，宜采用河流、沟渠、道路、堤坝等线状地物，产业、商业商务区、成片住宅等的规划或现状范围边界，行政区划界线以及有明显标志的权属界线；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4、标定区域的数量和空间界线宜根据市场发育的水平差异及政府的服务与监管需求动态调整；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5、每个商业商务区原则上应划分为独立的标定区域， 如果区域内土地利用条件和地价水平差异较大,可划分为两个或多个标定区域；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6、每个产业园区原则上应划分为独立的标定区域,如果区域内土地利用条件和地价水平差异较大,可划分为两个或多个标定区域；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7、商业商务区、产业园区等范围内成片的现状住宅用地，应划为住宅用途标定区域；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8、以宗地混合利用为主的区域，可单独划分为特定类型的混合利用标定区域；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9、独立的大型城市综合体、地标性建筑物，可划分为单独的标定区域； </w:t>
      </w:r>
    </w:p>
    <w:p>
      <w:pPr>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三、划分方法</w:t>
      </w:r>
    </w:p>
    <w:p>
      <w:pPr>
        <w:spacing w:line="360" w:lineRule="auto"/>
        <w:ind w:firstLine="500" w:firstLineChars="200"/>
        <w:rPr>
          <w:rFonts w:ascii="仿宋" w:hAnsi="仿宋" w:eastAsia="仿宋" w:cs="Times New Roman"/>
          <w:color w:val="000000" w:themeColor="text1"/>
          <w:spacing w:val="5"/>
          <w:sz w:val="24"/>
          <w:szCs w:val="24"/>
        </w:rPr>
      </w:pPr>
      <w:bookmarkStart w:id="49" w:name="_Toc510431195"/>
      <w:bookmarkStart w:id="50" w:name="_Toc7026"/>
      <w:bookmarkStart w:id="51" w:name="_Toc30286"/>
      <w:r>
        <w:rPr>
          <w:rFonts w:hint="eastAsia" w:ascii="仿宋" w:hAnsi="仿宋" w:eastAsia="仿宋" w:cs="Times New Roman"/>
          <w:color w:val="000000" w:themeColor="text1"/>
          <w:spacing w:val="5"/>
          <w:sz w:val="24"/>
          <w:szCs w:val="24"/>
        </w:rPr>
        <w:t>1、多因素综合评价法</w:t>
      </w:r>
      <w:bookmarkEnd w:id="49"/>
      <w:bookmarkEnd w:id="50"/>
      <w:bookmarkEnd w:id="51"/>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根据《城镇土地分等定级规程》的相关规定，综合评价交通条件、基础设施状况、环境条件等地价影响因素，按照综合分值分布情况勾勒各用途均质区域边界。</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2、地价水平归纳法</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按照标定区域的划分要求，参考市场交易样本、地价监测点等样点地价水平，将土地利用类型与利用状况相似、地价水平接近且位置相邻的区段归并为同一标定区域。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3、专家评判法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依据专家经验，以现有的基准地价、地价动态监测等地价成果为基础，结合各用途地价分布的空间特征，根据土地市场变动情况和地价影响因素作出综合判断，划分标定区域。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4、叠加法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以地形图及土壤图、土地利用条件各要素的等值线及其作用边界、城乡相关规划的功能分区界线与地价水平要素逐步叠加后形成的封闭区域为基础，结合实地调查调整，形成标定区域。</w:t>
      </w:r>
    </w:p>
    <w:p>
      <w:pPr>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四、划分程序</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1、初步划分</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在已有土地级别或均质区域的基础上，参照地价监测中的地价区段，调查并整理土地利用与地价信息，通过综合评价、地价水平归纳、专家评分、叠加等方法，初步划分各用途标定区域；</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2、实地核查</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实地核查土地利用现状，核实内业信息；</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3、确定划分</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根据内业与外业调查资料，结合区域内宗地的分布情况，通过综合平衡与局部调整，确定标定区域。</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4、编码登记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对各标定区域进行编码与登记，编码原则参见标定地价成果编制要求。</w:t>
      </w: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52" w:name="_Toc42179575"/>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53" w:name="_Toc46252818"/>
      <w:r>
        <w:rPr>
          <w:rFonts w:hint="eastAsia" w:ascii="仿宋" w:hAnsi="仿宋" w:eastAsia="仿宋" w:cs="Times New Roman"/>
          <w:b/>
          <w:color w:val="000000" w:themeColor="text1"/>
          <w:spacing w:val="5"/>
          <w:sz w:val="24"/>
          <w:szCs w:val="24"/>
        </w:rPr>
        <w:t>第二节  江川区标定区域的划分</w:t>
      </w:r>
      <w:bookmarkEnd w:id="52"/>
      <w:bookmarkEnd w:id="53"/>
    </w:p>
    <w:p>
      <w:pPr>
        <w:spacing w:line="360" w:lineRule="auto"/>
        <w:ind w:firstLine="500" w:firstLineChars="200"/>
        <w:rPr>
          <w:rFonts w:ascii="仿宋" w:hAnsi="仿宋" w:eastAsia="仿宋" w:cs="Times New Roman"/>
          <w:color w:val="000000" w:themeColor="text1"/>
          <w:spacing w:val="5"/>
          <w:sz w:val="24"/>
          <w:szCs w:val="24"/>
        </w:rPr>
      </w:pPr>
      <w:r>
        <w:rPr>
          <w:rFonts w:ascii="仿宋" w:hAnsi="仿宋" w:eastAsia="仿宋" w:cs="Times New Roman"/>
          <w:color w:val="000000" w:themeColor="text1"/>
          <w:spacing w:val="5"/>
          <w:sz w:val="24"/>
          <w:szCs w:val="24"/>
        </w:rPr>
        <w:t>根据</w:t>
      </w:r>
      <w:r>
        <w:rPr>
          <w:rFonts w:hint="eastAsia" w:ascii="仿宋" w:hAnsi="仿宋" w:eastAsia="仿宋" w:cs="Times New Roman"/>
          <w:color w:val="000000" w:themeColor="text1"/>
          <w:spacing w:val="5"/>
          <w:sz w:val="24"/>
          <w:szCs w:val="24"/>
        </w:rPr>
        <w:t>《标定地价规程》（TD/T1052-2017），江川区标定区域的确定与划分主要采用叠加法为主，专家评判法为辅，主要叠加了《江川区城市总体规划（2011-2030年）》等规划用地图斑，土地利用现状图（全国第二次土地调查地籍图城镇部分）的宗地图斑、地类图斑，现状地物图斑、街道区划分区等图斑，最后根据土地利用条件各要素的等值线及其作用边界、城市总体规划的功能分区界线与地价水平要素依次叠加后形成的封闭区域为基础，结合实地调查调整，形成标定区域。</w:t>
      </w:r>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一、2020年江川区标定区域的划分过程</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1、土地利用现状图（全国第二次土地调查地籍图）的宗地图斑、地类图斑）的提取</w:t>
      </w:r>
    </w:p>
    <w:p>
      <w:pPr>
        <w:spacing w:line="360" w:lineRule="auto"/>
        <w:ind w:firstLine="482"/>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标定地价体系建设工作是以卫星影像图作为本次更新测算的工作地图，将土地利用现状图（全国第二次土地调查地籍图）的宗地图斑、地类图斑两个图层叠加到工作底图上，根据土地利用现状宗地图斑初步确定各空间分布范围内的用地类型并同时提取各用地类型的土地利用现状图斑。</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2、以城镇土地定级的土地级别为控制</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江川区县城规划区现行公布实施的城镇土地定级及基准地价更新成果基准日为2014年8月31日，已公布实施，2020年组织开展了城镇土地定级及基准地价更新成果，</w:t>
      </w:r>
      <w:r>
        <w:rPr>
          <w:color w:val="000000" w:themeColor="text1"/>
        </w:rPr>
        <w:t>已通过验收但尚未公布实施</w:t>
      </w:r>
      <w:r>
        <w:rPr>
          <w:rFonts w:hint="eastAsia" w:ascii="仿宋" w:hAnsi="仿宋" w:eastAsia="仿宋" w:cs="Times New Roman"/>
          <w:color w:val="000000" w:themeColor="text1"/>
          <w:spacing w:val="5"/>
          <w:sz w:val="24"/>
          <w:szCs w:val="24"/>
        </w:rPr>
        <w:t>。</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本次2020年标定地价体系工作主要以已公布实施的各用途土地级别线为基础，将城镇土地定级与基准地价更新的各用途土地级别范围线叠加到土地利用现状图斑上，再根据微观区位条件、用地规划条件、土地的个别因素、土地利用条件、建筑物状况、地价水平及发展趋势等因素初步划分各用途均质区域。</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3、与《城市总体规划》的用地布局图斑的叠加</w:t>
      </w:r>
    </w:p>
    <w:p>
      <w:pPr>
        <w:spacing w:line="360" w:lineRule="auto"/>
        <w:ind w:firstLine="500" w:firstLineChars="200"/>
        <w:rPr>
          <w:rFonts w:ascii="仿宋" w:hAnsi="仿宋" w:eastAsia="仿宋" w:cs="Times New Roman"/>
          <w:color w:val="000000" w:themeColor="text1"/>
          <w:spacing w:val="5"/>
          <w:sz w:val="24"/>
          <w:szCs w:val="24"/>
        </w:rPr>
      </w:pPr>
      <w:r>
        <w:rPr>
          <w:rFonts w:ascii="仿宋" w:hAnsi="仿宋" w:eastAsia="仿宋" w:cs="Times New Roman"/>
          <w:color w:val="000000" w:themeColor="text1"/>
          <w:spacing w:val="5"/>
          <w:sz w:val="24"/>
          <w:szCs w:val="24"/>
        </w:rPr>
        <w:t>为保证标定区域内布设的标准宗地的标定地价对地价动态变化的有效预测，应充分考虑同一标定区域内各用地类型</w:t>
      </w:r>
      <w:r>
        <w:rPr>
          <w:rFonts w:hint="eastAsia" w:ascii="仿宋" w:hAnsi="仿宋" w:eastAsia="仿宋" w:cs="Times New Roman"/>
          <w:color w:val="000000" w:themeColor="text1"/>
          <w:spacing w:val="5"/>
          <w:sz w:val="24"/>
          <w:szCs w:val="24"/>
        </w:rPr>
        <w:t>土地利用类型与利用状况相似、地价水平接近。结合《江川区城市总体规划（2011-2030年）》规划用地布局图斑，在初步划分的均质区域基础上，以土地利用状况和规划用地布局图斑为主要依据，调整合并标定区域，调整标定区域主要考虑以下三点：</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①土地利用现状和城市总体规划相一致的区域，结合现状和规划划分标定区域；</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②土地利用现状和城市总体规划、控制性详细规划不一致的区域，以现状为主划分标定区域；</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③城市近期规划发展区域以近几年土地利用供应数据及城市总体规划、控制性详细规划、相关规划条件划分标定区域；</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最后，划分出的标定区域根据行政区划界线，道路及河流、铁路等主要线状地物，对标定区域进行调整。</w:t>
      </w:r>
    </w:p>
    <w:p>
      <w:pPr>
        <w:widowControl/>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从上述城市总体规划及控制性详细规划的用地布局中可以看出江川区县城规划区建成区及近期规划发展区域现状土地利用类型最多的是住宅用地，宝凤路、兴江路两侧，景兴路北侧基本以住宅用地布局为主；星云路两侧有部分商业用地布局；玉江高速一侧、抚仙路两侧，宁海路、星云路、湖滨路一侧有商住混合用地；公共管理与公共服务用地均有用地布局；龙泉工业园区从用地布局来看主要为工矿仓储用地但目前尚未有项目落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④江川区标定地价用途分类、城市用地分类及其适用范围</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本次江川区标定地价总共选取了34个标准宗地，涉及5个一级类(商服、 住宅、商住混合、公共管理与公共服务、工矿仓储用地。根据中华人民共和国国家标准《土地利用现状分类》(GBT21010-2017, 2017年11月1日)和《城市用地分类与规划建设用地标准》(GB50137-2011)对标定区域进行归类。</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4、与近期（2009-2020）年土地利用供应（一级市场）图斑的叠加</w:t>
      </w:r>
    </w:p>
    <w:p>
      <w:pPr>
        <w:widowControl/>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w:t>
      </w:r>
      <w:r>
        <w:rPr>
          <w:rFonts w:ascii="仿宋" w:hAnsi="仿宋" w:eastAsia="仿宋" w:cs="Times New Roman"/>
          <w:color w:val="000000" w:themeColor="text1"/>
          <w:spacing w:val="5"/>
          <w:sz w:val="24"/>
          <w:szCs w:val="24"/>
        </w:rPr>
        <w:t>的城市总体规划于</w:t>
      </w:r>
      <w:r>
        <w:rPr>
          <w:rFonts w:hint="eastAsia" w:ascii="仿宋" w:hAnsi="仿宋" w:eastAsia="仿宋" w:cs="Times New Roman"/>
          <w:color w:val="000000" w:themeColor="text1"/>
          <w:spacing w:val="5"/>
          <w:sz w:val="24"/>
          <w:szCs w:val="24"/>
        </w:rPr>
        <w:t>2011年修改完善，城市总体规划的用地布局与江川区现状土地利用的用地布局吻合度较高，在与城市规划用地布局图斑叠加调整后的标定区域基础上将近期土地利用供应（一级市场）图斑的数据叠加，因一级市场供应的土地为完全产权，在近期内具有稳定性，结合土地利用供应的图斑再次核查标定区域的用地类型及地价水平等均质性，并对与规划用地布局叠加后的标定区域修改调整。</w:t>
      </w:r>
    </w:p>
    <w:p>
      <w:pPr>
        <w:widowControl/>
        <w:numPr>
          <w:ilvl w:val="0"/>
          <w:numId w:val="2"/>
        </w:numPr>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根据上述资料的叠加后，根据土地利用现状用途、规划用途进行城镇建设用地用途分类，首先根据《土地利用现状分类》一级地类对商服用地、住宅用地、公共管理与公共服务用地、工矿仓储用地进行分类。，</w:t>
      </w:r>
    </w:p>
    <w:p>
      <w:pPr>
        <w:widowControl/>
        <w:spacing w:line="360" w:lineRule="auto"/>
        <w:ind w:firstLine="500" w:firstLineChars="200"/>
        <w:jc w:val="left"/>
        <w:rPr>
          <w:rFonts w:ascii="Times New Roman" w:hAnsi="Times New Roman" w:eastAsia="仿宋_GB2312" w:cs="Times New Roman"/>
          <w:b/>
          <w:color w:val="000000" w:themeColor="text1"/>
          <w:spacing w:val="5"/>
          <w:sz w:val="24"/>
          <w:szCs w:val="24"/>
        </w:rPr>
      </w:pPr>
      <w:r>
        <w:rPr>
          <w:rFonts w:hint="eastAsia" w:ascii="仿宋" w:hAnsi="仿宋" w:eastAsia="仿宋" w:cs="Times New Roman"/>
          <w:color w:val="000000" w:themeColor="text1"/>
          <w:spacing w:val="5"/>
          <w:sz w:val="24"/>
          <w:szCs w:val="24"/>
        </w:rPr>
        <w:t>6、江川区县城规划区土地利用条件——容积率分类图</w:t>
      </w:r>
    </w:p>
    <w:p>
      <w:pPr>
        <w:widowControl/>
        <w:spacing w:line="360" w:lineRule="auto"/>
        <w:ind w:firstLine="750" w:firstLineChars="300"/>
        <w:jc w:val="left"/>
        <w:rPr>
          <w:rFonts w:ascii="Times New Roman" w:hAnsi="Times New Roman" w:eastAsia="仿宋_GB2312" w:cs="Times New Roman"/>
          <w:b/>
          <w:color w:val="000000" w:themeColor="text1"/>
          <w:spacing w:val="5"/>
          <w:sz w:val="24"/>
          <w:szCs w:val="24"/>
        </w:rPr>
      </w:pPr>
      <w:r>
        <w:rPr>
          <w:rFonts w:ascii="仿宋" w:hAnsi="仿宋" w:eastAsia="仿宋" w:cs="Times New Roman"/>
          <w:color w:val="000000" w:themeColor="text1"/>
          <w:spacing w:val="5"/>
          <w:sz w:val="24"/>
          <w:szCs w:val="24"/>
        </w:rPr>
        <w:t>据</w:t>
      </w:r>
      <w:r>
        <w:rPr>
          <w:rFonts w:hint="eastAsia" w:ascii="仿宋" w:hAnsi="仿宋" w:eastAsia="仿宋" w:cs="Times New Roman"/>
          <w:color w:val="000000" w:themeColor="text1"/>
          <w:spacing w:val="5"/>
          <w:sz w:val="24"/>
          <w:szCs w:val="24"/>
        </w:rPr>
        <w:t>《江川区城市总体规划（2011-2030年）》等规划对江川区县城规划区土地利用条件——容积率指标的设定，结合县城规划区现状用地容积率指标，对县城规划区容积率指标进行分类归并。</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7、综合以上因素叠加后，将江川区县城规划区现状地物（如河流、道路及街道行政区划及宗地界线叠加），以便确定标定区域的边界范围。</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8、江川区标定区域的编码登记</w:t>
      </w:r>
    </w:p>
    <w:p>
      <w:pPr>
        <w:spacing w:line="360" w:lineRule="auto"/>
        <w:ind w:firstLine="500" w:firstLineChars="200"/>
        <w:rPr>
          <w:rFonts w:ascii="仿宋" w:hAnsi="仿宋" w:eastAsia="仿宋"/>
          <w:color w:val="000000" w:themeColor="text1"/>
          <w:sz w:val="24"/>
          <w:szCs w:val="24"/>
        </w:rPr>
      </w:pPr>
      <w:r>
        <w:rPr>
          <w:rFonts w:hint="eastAsia" w:ascii="仿宋" w:hAnsi="仿宋" w:eastAsia="仿宋" w:cs="Times New Roman"/>
          <w:color w:val="000000" w:themeColor="text1"/>
          <w:spacing w:val="5"/>
          <w:sz w:val="24"/>
          <w:szCs w:val="24"/>
        </w:rPr>
        <w:t>标定区域的确定与划分主要采用叠加法为主，专家评判法为辅，根据和上述的划分程序，本次江川区商服用地标定地</w:t>
      </w:r>
      <w:r>
        <w:rPr>
          <w:rFonts w:hint="eastAsia" w:ascii="仿宋" w:hAnsi="仿宋" w:eastAsia="仿宋"/>
          <w:color w:val="000000" w:themeColor="text1"/>
          <w:spacing w:val="5"/>
          <w:sz w:val="24"/>
          <w:szCs w:val="24"/>
        </w:rPr>
        <w:t>价共划分3个标定区域，住宅用地标定地价共划分13个标定区域，商住混合用地共划分11个标定区域，工矿仓储用地标定地价共划分4个标定区域，公共管理与公共服务用地标定地价共划分3个标定区域。</w:t>
      </w:r>
    </w:p>
    <w:p>
      <w:pPr>
        <w:widowControl/>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各用途标定区域均按照编码原则进行编码登记。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标定区域编码由12位数字（或英文字母）组成，包括6位行政区划代码、3位土地用途类别代码和3位标定区域顺序码，编码结构如下：</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drawing>
          <wp:anchor distT="0" distB="0" distL="114300" distR="114300" simplePos="0" relativeHeight="251664384" behindDoc="0" locked="0" layoutInCell="1" allowOverlap="1">
            <wp:simplePos x="0" y="0"/>
            <wp:positionH relativeFrom="column">
              <wp:posOffset>559435</wp:posOffset>
            </wp:positionH>
            <wp:positionV relativeFrom="paragraph">
              <wp:posOffset>41275</wp:posOffset>
            </wp:positionV>
            <wp:extent cx="4001135" cy="1091565"/>
            <wp:effectExtent l="0" t="0" r="6985" b="5715"/>
            <wp:wrapNone/>
            <wp:docPr id="2" name="图片 2" descr="县级区域编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县级区域编码"/>
                    <pic:cNvPicPr>
                      <a:picLocks noChangeAspect="1"/>
                    </pic:cNvPicPr>
                  </pic:nvPicPr>
                  <pic:blipFill>
                    <a:blip r:embed="rId14"/>
                    <a:stretch>
                      <a:fillRect/>
                    </a:stretch>
                  </pic:blipFill>
                  <pic:spPr>
                    <a:xfrm>
                      <a:off x="0" y="0"/>
                      <a:ext cx="4001135" cy="1091565"/>
                    </a:xfrm>
                    <a:prstGeom prst="rect">
                      <a:avLst/>
                    </a:prstGeom>
                  </pic:spPr>
                </pic:pic>
              </a:graphicData>
            </a:graphic>
          </wp:anchor>
        </w:drawing>
      </w: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行政区划代码由6位数字代码组成，直接引用国家行政代码标准GB/T 2260。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土地用途代码共3位，由1位英文代码和两位数字代码组成。其中，英文代码包括商服、住宅、商住混合、工业、公服等多种类型，用大写英文字母表示，商服为“S”，住宅为“Z”，商住混合为“H”，工业为“G”，公服为“L”；两位数字代码按GB/T21010-2017中二级类编码的后两位取值。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标定区域顺序码由3位数字代码组成，在各二级类用途下，从“001”开始，按自然编号顺序编制，如“001”、“002”、“003”….，原则上遵循先高级别后低级别的顺序。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例如:江川区商服用地标定区域1的编码: 530403S05001</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江川区住宅用地标定区域1的编码: 530403Z07001</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江川区商住混合用地标定区域1的编码: 530403H05001</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江川区工矿仓储用地标定区域1的编码: 530403G06001</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江川区公共管理与公共服务用地标定区域1的编码: 530403L08001</w:t>
      </w:r>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二、江川区标定区域划分的结果</w:t>
      </w:r>
    </w:p>
    <w:p>
      <w:pPr>
        <w:widowControl/>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本次2020年标定地价体系建设工作商服用地共划分3个标定区域，覆盖范围面积为10.04公顷；住宅用地共划分13个标定区域，覆盖范围面积为86.13公顷；商住混合用地共划分11个标定区域，覆盖范围面积为83.55公顷；公共管理与公共服务用地共划分 3个标定区域，覆盖范围面积为24.88公顷；工矿仓储用地共划分4个标定区域，覆盖范围面积为113.25公顷。</w:t>
      </w: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rPr>
          <w:rFonts w:ascii="Times New Roman" w:hAnsi="Times New Roman" w:eastAsia="仿宋_GB2312" w:cs="Times New Roman"/>
          <w:b/>
          <w:color w:val="000000" w:themeColor="text1"/>
          <w:spacing w:val="5"/>
          <w:sz w:val="24"/>
          <w:szCs w:val="24"/>
        </w:rPr>
      </w:pPr>
    </w:p>
    <w:p>
      <w:pPr>
        <w:pStyle w:val="2"/>
        <w:jc w:val="both"/>
        <w:rPr>
          <w:rFonts w:ascii="仿宋" w:hAnsi="仿宋" w:eastAsia="仿宋"/>
          <w:b/>
          <w:color w:val="000000" w:themeColor="text1"/>
          <w:spacing w:val="5"/>
          <w:szCs w:val="24"/>
        </w:rPr>
      </w:pPr>
    </w:p>
    <w:p>
      <w:pPr>
        <w:rPr>
          <w:color w:val="000000" w:themeColor="text1"/>
        </w:rPr>
      </w:pPr>
    </w:p>
    <w:p>
      <w:pPr>
        <w:pStyle w:val="2"/>
        <w:rPr>
          <w:rFonts w:ascii="仿宋" w:hAnsi="仿宋" w:eastAsia="仿宋"/>
          <w:b/>
          <w:color w:val="000000" w:themeColor="text1"/>
          <w:spacing w:val="5"/>
          <w:szCs w:val="24"/>
        </w:rPr>
      </w:pPr>
      <w:bookmarkStart w:id="54" w:name="_Toc46252819"/>
      <w:r>
        <w:rPr>
          <w:rFonts w:hint="eastAsia" w:ascii="仿宋" w:hAnsi="仿宋" w:eastAsia="仿宋"/>
          <w:b/>
          <w:color w:val="000000" w:themeColor="text1"/>
          <w:spacing w:val="5"/>
          <w:szCs w:val="24"/>
        </w:rPr>
        <w:t>第五章  江川区标准宗地的布设</w:t>
      </w:r>
      <w:bookmarkEnd w:id="54"/>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55" w:name="_Toc46252820"/>
      <w:bookmarkStart w:id="56" w:name="_Toc42179577"/>
      <w:r>
        <w:rPr>
          <w:rFonts w:hint="eastAsia" w:ascii="仿宋" w:hAnsi="仿宋" w:eastAsia="仿宋" w:cs="Times New Roman"/>
          <w:b/>
          <w:color w:val="000000" w:themeColor="text1"/>
          <w:spacing w:val="5"/>
          <w:sz w:val="24"/>
          <w:szCs w:val="24"/>
        </w:rPr>
        <w:t>第一节 设立原则</w:t>
      </w:r>
      <w:bookmarkEnd w:id="55"/>
      <w:bookmarkEnd w:id="56"/>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1、代表性原则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布设的标准宗地需能够反映其所在均质区域内容积率总体水平和土地利用强度差异、土地开发程度、土地面积等土地利用状况，地上建筑物常见业态，以及其所在均质区域的地价水平，具有一定的代表性。</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标准宗地的土地用途应严格按照《土地利用现状分类》中的建设用地二级地类进行布设，体现如加油站用地（二级分类为零售商业用地）与其它类型的商服用地的价格差异。</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容积率是表征土地利用状况和土地利用强度的重要指标。它的大小直接关系着用地效益的高低和地价水平的高低。地价与容积率的关系遵循报酬递增递减原则，一般来说，容积率越高，则地面单价也越高；反之，则地面单价也越低。城市控制性详细规划对城镇范围内的具体区位和具体宗地都有规划容积率限制。而土地的利用现状也都可以通过建筑面积除以土地面积计算得出土地现状容积率。在标准宗地布设过程中，除了选择容积率与基准地价平均容积率水平相一致或相接近的宗地，还应考量标定区域内土地利用强度的不同，同时选取容积率较高和较低的标准宗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2、确定性原则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布设的标准宗地的土地利用状况和土地利用强度等指标可以确定。</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3、标识性原则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布设的标准宗地，其地上建筑物应在该均质区域内甚或建成区范围内均有较强的标识性，为人所知，易于识别，便于在社会大众心理上构建比准基础。</w:t>
      </w: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57" w:name="_Toc42179578"/>
      <w:bookmarkStart w:id="58" w:name="_Toc46252821"/>
      <w:r>
        <w:rPr>
          <w:rFonts w:hint="eastAsia" w:ascii="仿宋" w:hAnsi="仿宋" w:eastAsia="仿宋" w:cs="Times New Roman"/>
          <w:b/>
          <w:color w:val="000000" w:themeColor="text1"/>
          <w:spacing w:val="5"/>
          <w:sz w:val="24"/>
          <w:szCs w:val="24"/>
        </w:rPr>
        <w:t>第二节 设立要求</w:t>
      </w:r>
      <w:bookmarkEnd w:id="57"/>
      <w:bookmarkEnd w:id="58"/>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1.1每个标定区域内有且仅有1宗标准宗地；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1.2标准宗地的土地用途以证载用途为准，现状开发利用应符合法律法规及城市规划的相关要求，地上建筑物的实际用途与土地用途原则上应一致；</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1.3标准宗地的土地用途及其实际利用方式应与所在标定区域的主导用途、普遍利用方式一致；</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1.4标准宗地宜完成开发建设并正常经营与使用，或具有明确的修建性规划条件；</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1.5优先选取符合要求的地价监测点；</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1.6确有公示必要的地标性建筑用地可单独设立，视同标准宗地管理；</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1.7原则上不选择空地做为标准宗地。</w:t>
      </w: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59" w:name="_Toc42179580"/>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60" w:name="_Toc46252822"/>
      <w:r>
        <w:rPr>
          <w:rFonts w:hint="eastAsia" w:ascii="仿宋" w:hAnsi="仿宋" w:eastAsia="仿宋" w:cs="Times New Roman"/>
          <w:b/>
          <w:color w:val="000000" w:themeColor="text1"/>
          <w:spacing w:val="5"/>
          <w:sz w:val="24"/>
          <w:szCs w:val="24"/>
        </w:rPr>
        <w:t>第三节 标准宗地的布设</w:t>
      </w:r>
      <w:bookmarkEnd w:id="59"/>
      <w:r>
        <w:rPr>
          <w:rFonts w:hint="eastAsia" w:ascii="仿宋" w:hAnsi="仿宋" w:eastAsia="仿宋" w:cs="Times New Roman"/>
          <w:b/>
          <w:color w:val="000000" w:themeColor="text1"/>
          <w:spacing w:val="5"/>
          <w:sz w:val="24"/>
          <w:szCs w:val="24"/>
        </w:rPr>
        <w:t>程序</w:t>
      </w:r>
      <w:bookmarkEnd w:id="60"/>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江川区标准宗地的选取与布设主要分为五个步骤：初步选取、现场踏勘、样点核实、标准宗地的确定及编码登记。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1、初步选取</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准宗地的评估需要确定完整的土地权属，标准宗地需要能够代表其所在标定区域的属性，其土地利用状况、地上建筑物业态及地价水平等要能够反映其所在标定区域的客观状况。根据设立要求初步选取了52宗标准宗地；其次，根据初步选取的样点到玉溪市江川区自然资源局相关科室查询档案资料，查询内容主要为土地利用状况及土地权属资料，初步填写标准宗地基本信息登记表。</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2、现场踏勘</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根据初步填写的标准宗地基本信息登记表和样点布设图进行现场踏勘，踏勘的主要内容为：</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（1）调查所选样点是否存在，土地用途是否改变，地理位置与图件标示位置是否一致；</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（2）观察周边环境，所选样点能否代表各用地类型的市场状况；</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（3）对地上建筑物情况进行记录，观察成新度及利用状况，调查周边区域房屋出租情况；</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（4）拍摄样点照片，作为评估的附件；</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（5）调查宗地的商服繁华度、交通条件、基础配套设施等影响样点地价评估的影响因素指标；</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根据现场踏勘，对不符合标准宗地布设条件的样点进行剔除，如土地实际利用用途与登记不符，企业停产破产等情况，同时根据现场调查，补充符合标准宗地布设的新样点，进行核实，选取了34宗标准宗地。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3、样点核实</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对现场踏勘后的34宗样点再次核实相关资料，初步征询自然资源相关工作人员的意见。</w:t>
      </w:r>
    </w:p>
    <w:p>
      <w:pPr>
        <w:spacing w:line="360" w:lineRule="auto"/>
        <w:ind w:firstLine="500" w:firstLineChars="200"/>
        <w:rPr>
          <w:rFonts w:ascii="仿宋" w:hAnsi="仿宋" w:eastAsia="仿宋" w:cs="Times New Roman"/>
          <w:color w:val="000000" w:themeColor="text1"/>
          <w:spacing w:val="5"/>
          <w:sz w:val="24"/>
          <w:szCs w:val="24"/>
        </w:rPr>
      </w:pPr>
      <w:bookmarkStart w:id="61" w:name="_Toc6561"/>
      <w:r>
        <w:rPr>
          <w:rFonts w:hint="eastAsia" w:ascii="仿宋" w:hAnsi="仿宋" w:eastAsia="仿宋" w:cs="Times New Roman"/>
          <w:color w:val="000000" w:themeColor="text1"/>
          <w:spacing w:val="5"/>
          <w:sz w:val="24"/>
          <w:szCs w:val="24"/>
        </w:rPr>
        <w:t>4、</w:t>
      </w:r>
      <w:bookmarkEnd w:id="61"/>
      <w:r>
        <w:rPr>
          <w:rFonts w:hint="eastAsia" w:ascii="仿宋" w:hAnsi="仿宋" w:eastAsia="仿宋" w:cs="Times New Roman"/>
          <w:color w:val="000000" w:themeColor="text1"/>
          <w:spacing w:val="5"/>
          <w:sz w:val="24"/>
          <w:szCs w:val="24"/>
        </w:rPr>
        <w:t>标准宗地的确定</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结合标准宗地基本信息登记表和现场核查资料，分析样点的宗地条件和土地利用状况，根据标准宗地选取标准，筛选并确定标准宗地；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5、编码登记：对标准宗地进行编码与登记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标准宗地编码由14位数字（或英文字母）组成，包括12位标定区域代码和2位标准宗地顺序号代码。标准宗地编码结构图如下：</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drawing>
          <wp:anchor distT="0" distB="0" distL="114300" distR="114300" simplePos="0" relativeHeight="251663360" behindDoc="0" locked="0" layoutInCell="1" allowOverlap="1">
            <wp:simplePos x="0" y="0"/>
            <wp:positionH relativeFrom="column">
              <wp:posOffset>728345</wp:posOffset>
            </wp:positionH>
            <wp:positionV relativeFrom="paragraph">
              <wp:posOffset>44450</wp:posOffset>
            </wp:positionV>
            <wp:extent cx="3761105" cy="1276350"/>
            <wp:effectExtent l="0" t="0" r="3175" b="3810"/>
            <wp:wrapNone/>
            <wp:docPr id="1" name="图片 1" descr="县级标准宗地示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县级标准宗地示例图"/>
                    <pic:cNvPicPr>
                      <a:picLocks noChangeAspect="1"/>
                    </pic:cNvPicPr>
                  </pic:nvPicPr>
                  <pic:blipFill>
                    <a:blip r:embed="rId15"/>
                    <a:stretch>
                      <a:fillRect/>
                    </a:stretch>
                  </pic:blipFill>
                  <pic:spPr>
                    <a:xfrm>
                      <a:off x="0" y="0"/>
                      <a:ext cx="3761105" cy="1276350"/>
                    </a:xfrm>
                    <a:prstGeom prst="rect">
                      <a:avLst/>
                    </a:prstGeom>
                  </pic:spPr>
                </pic:pic>
              </a:graphicData>
            </a:graphic>
          </wp:anchor>
        </w:drawing>
      </w:r>
    </w:p>
    <w:p>
      <w:pPr>
        <w:widowControl/>
        <w:shd w:val="clear" w:color="auto" w:fill="FFFFFF"/>
        <w:spacing w:before="100" w:beforeAutospacing="1" w:after="100" w:afterAutospacing="1"/>
        <w:ind w:firstLine="465"/>
        <w:jc w:val="left"/>
        <w:rPr>
          <w:rFonts w:ascii="仿宋" w:hAnsi="仿宋" w:eastAsia="仿宋" w:cs="宋体"/>
          <w:color w:val="000000" w:themeColor="text1"/>
          <w:kern w:val="0"/>
          <w:sz w:val="24"/>
          <w:szCs w:val="24"/>
        </w:rPr>
      </w:pPr>
    </w:p>
    <w:p>
      <w:pPr>
        <w:widowControl/>
        <w:shd w:val="clear" w:color="auto" w:fill="FFFFFF"/>
        <w:spacing w:before="100" w:beforeAutospacing="1" w:after="100" w:afterAutospacing="1"/>
        <w:ind w:firstLine="465"/>
        <w:jc w:val="left"/>
        <w:rPr>
          <w:rFonts w:ascii="仿宋" w:hAnsi="仿宋" w:eastAsia="仿宋" w:cs="宋体"/>
          <w:color w:val="000000" w:themeColor="text1"/>
          <w:kern w:val="0"/>
          <w:sz w:val="24"/>
          <w:szCs w:val="24"/>
        </w:rPr>
      </w:pPr>
    </w:p>
    <w:p>
      <w:pPr>
        <w:widowControl/>
        <w:jc w:val="left"/>
        <w:rPr>
          <w:rFonts w:ascii="仿宋" w:hAnsi="仿宋" w:eastAsia="仿宋" w:cs="宋体"/>
          <w:color w:val="000000" w:themeColor="text1"/>
          <w:kern w:val="0"/>
          <w:sz w:val="24"/>
          <w:szCs w:val="24"/>
        </w:rPr>
      </w:pPr>
    </w:p>
    <w:p>
      <w:pPr>
        <w:widowControl/>
        <w:spacing w:line="360" w:lineRule="auto"/>
        <w:ind w:firstLine="480" w:firstLineChars="200"/>
        <w:jc w:val="left"/>
        <w:rPr>
          <w:rFonts w:ascii="仿宋" w:hAnsi="仿宋" w:eastAsia="仿宋" w:cs="宋体"/>
          <w:b/>
          <w:bCs/>
          <w:color w:val="000000" w:themeColor="text1"/>
          <w:kern w:val="0"/>
          <w:sz w:val="24"/>
          <w:szCs w:val="24"/>
        </w:rPr>
      </w:pPr>
      <w:r>
        <w:rPr>
          <w:rFonts w:hint="eastAsia" w:ascii="仿宋" w:hAnsi="仿宋" w:eastAsia="仿宋" w:cs="宋体"/>
          <w:color w:val="000000" w:themeColor="text1"/>
          <w:kern w:val="0"/>
          <w:sz w:val="24"/>
          <w:szCs w:val="24"/>
        </w:rPr>
        <w:t>标定区域代码依据上图编制; 标准宗地顺序号在所在标定区域内从“01”开始依次编序。</w:t>
      </w:r>
    </w:p>
    <w:p>
      <w:pPr>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例如:</w:t>
      </w:r>
    </w:p>
    <w:p>
      <w:pPr>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江川区商服用地标定区域1的第1宗标准宗地编码: 530403S0500101</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江川区住宅用地标定区域1的第1宗标准宗地编码: 530403Z0700101</w:t>
      </w:r>
    </w:p>
    <w:p>
      <w:pPr>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江川区商住混合用地标定区域1的第1宗标准宗地编码:530403H0500101</w:t>
      </w:r>
    </w:p>
    <w:p>
      <w:pPr>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江川区工矿仓储用地标定区域1的第1宗标准宗地编码:530403G0600101</w:t>
      </w:r>
    </w:p>
    <w:p>
      <w:pPr>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江川区公共管理与公共服务用地标定区域1的第1宗标准宗地编码:  530403L0800101</w:t>
      </w:r>
    </w:p>
    <w:p>
      <w:pPr>
        <w:jc w:val="center"/>
        <w:rPr>
          <w:rFonts w:ascii="仿宋" w:hAnsi="仿宋" w:eastAsia="仿宋"/>
          <w:b/>
          <w:color w:val="000000" w:themeColor="text1"/>
          <w:spacing w:val="5"/>
          <w:sz w:val="28"/>
          <w:szCs w:val="28"/>
        </w:rPr>
      </w:pPr>
    </w:p>
    <w:p>
      <w:pPr>
        <w:widowControl/>
        <w:jc w:val="left"/>
        <w:rPr>
          <w:rFonts w:ascii="仿宋" w:hAnsi="仿宋" w:eastAsia="仿宋"/>
          <w:b/>
          <w:color w:val="000000" w:themeColor="text1"/>
          <w:spacing w:val="5"/>
          <w:sz w:val="28"/>
          <w:szCs w:val="28"/>
        </w:rPr>
      </w:pPr>
      <w:r>
        <w:rPr>
          <w:rFonts w:ascii="仿宋" w:hAnsi="仿宋" w:eastAsia="仿宋"/>
          <w:b/>
          <w:color w:val="000000" w:themeColor="text1"/>
          <w:spacing w:val="5"/>
          <w:sz w:val="28"/>
          <w:szCs w:val="28"/>
        </w:rPr>
        <w:br w:type="page"/>
      </w: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62" w:name="_Toc42179579"/>
      <w:bookmarkStart w:id="63" w:name="_Toc46252823"/>
      <w:r>
        <w:rPr>
          <w:rFonts w:hint="eastAsia" w:ascii="仿宋" w:hAnsi="仿宋" w:eastAsia="仿宋" w:cs="Times New Roman"/>
          <w:b/>
          <w:color w:val="000000" w:themeColor="text1"/>
          <w:spacing w:val="5"/>
          <w:sz w:val="24"/>
          <w:szCs w:val="24"/>
        </w:rPr>
        <w:t>第四节 江川区标准宗地的</w:t>
      </w:r>
      <w:bookmarkEnd w:id="62"/>
      <w:r>
        <w:rPr>
          <w:rFonts w:hint="eastAsia" w:ascii="仿宋" w:hAnsi="仿宋" w:eastAsia="仿宋" w:cs="Times New Roman"/>
          <w:b/>
          <w:color w:val="000000" w:themeColor="text1"/>
          <w:spacing w:val="5"/>
          <w:sz w:val="24"/>
          <w:szCs w:val="24"/>
        </w:rPr>
        <w:t>布设</w:t>
      </w:r>
      <w:bookmarkEnd w:id="63"/>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准宗地布设工作是标定地价体系建设工作的重点，它既要考虑布设的数量以及空间分布，又要考虑标准宗地的类型符合标准宗地设立的要求。由于标准宗地需要能够代表其所在标定区域的属性，所以其土地利用状况、地上建筑物业态及地价水平等要能够反映其所在标定区域的客观状况。根据《土地利用现状分类》，城镇土地用途类型主要有商服用地、住宅用地、工矿仓储用地、公共管理与公共服务用地（非经营性用地）等四大类型，以及由商服用地和住宅用地构成的商住混合用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此次各用地类型标准宗地的布设情况如下:</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(1)商服、住宅用地标准宗地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江川区县城建成区主要为商服用地和住宅用地，本次标准宗地选择了商服用地3宗，住宅用地13宗(含1宗</w:t>
      </w:r>
      <w:r>
        <w:rPr>
          <w:rFonts w:hint="eastAsia" w:ascii="仿宋" w:hAnsi="仿宋" w:eastAsia="仿宋"/>
          <w:color w:val="000000" w:themeColor="text1"/>
          <w:spacing w:val="5"/>
          <w:sz w:val="24"/>
          <w:szCs w:val="24"/>
        </w:rPr>
        <w:t>廉租住房用地</w:t>
      </w:r>
      <w:r>
        <w:rPr>
          <w:rFonts w:hint="eastAsia" w:ascii="仿宋" w:hAnsi="仿宋" w:eastAsia="仿宋" w:cs="Times New Roman"/>
          <w:color w:val="000000" w:themeColor="text1"/>
          <w:spacing w:val="5"/>
          <w:sz w:val="24"/>
          <w:szCs w:val="24"/>
        </w:rPr>
        <w:t>)。</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 (2)商住混合用途标准宗地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江川区早期的用地存在大部分商住混合用地。由于商服、住宅用地的商住比 例各不相同，难以筛选具有代表性的标准宗地用于代表其所在区域的商服、住宅用地价格水平，并且商服、住宅用地的价格水平也可以通过商服用地和住宅用地的价格水平结合具体宗地的商住比来加权类比确定，因此本次江川区标定地价体系建设布设商住混合用地标准宗地11宗。</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(3)公共管理与公共服务用地、交通运输用地等非经营性标准宗地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江川区公共管理与公共服务用地、交通运输用地以及特殊用地等非经营性用 地多采取划拨方式供地，难以形成有效供销的土地二级市场，采取出让方式供地的非经营性用地土地交易也相对较少，并且这些非经营性用地分布较零散，但在一定程度上能代表江川区该类用地的价格和市场发育水平，因此本次江川区标定地价公共管理与公共服务用地标准宗地共布设了3宗。</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 (4)工矿仓储用地标准宗地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江川区工矿仓储用地主要存量分布在龙泉工业园区区域。 由于工矿仓储用地主要分布于江川区县城规划区城乡结合部，故本次标定地价体系建设工矿仓储用地的标准宗地主要布设在龙泉工业园区，因此本次江川区标定地价工矿仓储用地标准宗地共布设了4宗。</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根据上述江川区标准宗地的布设选取，本次江川区2020年标定地价体系建设工作共设立标准宗地34宗，具体情况如下：</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1、商服用地共3宗，旅馆用地1宗，其他商服用地2宗；</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2、住宅用地共13宗，全部为城镇住宅用地，出让用地6宗；划拨用地7宗，其中1宗为廉租住房用地；</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3、商住混合用地共11宗；</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4、工矿仓储用地共4宗，工业用地4宗；</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5、公共管理与公共服务用地共3宗，其中文化设施用地1宗，公用设施用地1宗，机关团体用地1宗。</w:t>
      </w:r>
    </w:p>
    <w:p>
      <w:pPr>
        <w:widowControl/>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具体情况如下表：</w:t>
      </w:r>
    </w:p>
    <w:p>
      <w:pPr>
        <w:widowControl/>
        <w:ind w:firstLine="502" w:firstLineChars="200"/>
        <w:jc w:val="center"/>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表5-1  江川区标准宗地布设用地类型一览表</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84"/>
        <w:gridCol w:w="2598"/>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用地类型</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标准宗地数量（宗）</w:t>
            </w:r>
          </w:p>
        </w:tc>
        <w:tc>
          <w:tcPr>
            <w:tcW w:w="2840"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土地使用权属性质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一、商服用地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w:t>
            </w:r>
          </w:p>
        </w:tc>
        <w:tc>
          <w:tcPr>
            <w:tcW w:w="2840"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其中：旅馆用地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其他商服用地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二、商住混合用地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11</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ind w:firstLine="220" w:firstLineChars="100"/>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三、住宅用地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13</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出让/划拨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其中：城镇住宅用地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12</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出让/划拨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廉租住房用地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四、工矿仓储用地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其中：工业用地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出让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五、公共管理与公共服务用地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其中：文化设施用地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公用设施用地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划拨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084"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机关团体用地</w:t>
            </w:r>
          </w:p>
        </w:tc>
        <w:tc>
          <w:tcPr>
            <w:tcW w:w="2598" w:type="dxa"/>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2840" w:type="dxa"/>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划拨</w:t>
            </w:r>
          </w:p>
        </w:tc>
      </w:tr>
    </w:tbl>
    <w:p>
      <w:pPr>
        <w:rPr>
          <w:rFonts w:ascii="仿宋" w:hAnsi="仿宋" w:eastAsia="仿宋"/>
          <w:b/>
          <w:color w:val="000000" w:themeColor="text1"/>
          <w:spacing w:val="5"/>
          <w:sz w:val="28"/>
          <w:szCs w:val="28"/>
        </w:rPr>
      </w:pPr>
    </w:p>
    <w:p>
      <w:pPr>
        <w:widowControl/>
        <w:jc w:val="left"/>
        <w:rPr>
          <w:rFonts w:ascii="Times New Roman" w:hAnsi="Times New Roman" w:eastAsia="仿宋_GB2312" w:cs="Times New Roman"/>
          <w:color w:val="000000" w:themeColor="text1"/>
          <w:spacing w:val="5"/>
          <w:sz w:val="24"/>
          <w:szCs w:val="24"/>
        </w:rPr>
      </w:pPr>
      <w:r>
        <w:rPr>
          <w:rFonts w:ascii="Times New Roman" w:hAnsi="Times New Roman" w:eastAsia="仿宋_GB2312" w:cs="Times New Roman"/>
          <w:color w:val="000000" w:themeColor="text1"/>
          <w:spacing w:val="5"/>
          <w:sz w:val="24"/>
          <w:szCs w:val="24"/>
        </w:rPr>
        <w:br w:type="page"/>
      </w:r>
    </w:p>
    <w:p>
      <w:pPr>
        <w:spacing w:line="320" w:lineRule="exact"/>
        <w:jc w:val="center"/>
        <w:rPr>
          <w:rFonts w:ascii="Times New Roman" w:hAnsi="Times New Roman" w:eastAsia="仿宋_GB2312" w:cs="Times New Roman"/>
          <w:b/>
          <w:color w:val="000000" w:themeColor="text1"/>
          <w:spacing w:val="5"/>
          <w:sz w:val="24"/>
          <w:szCs w:val="24"/>
        </w:rPr>
      </w:pPr>
    </w:p>
    <w:p>
      <w:pPr>
        <w:pStyle w:val="2"/>
        <w:rPr>
          <w:rFonts w:ascii="Times New Roman" w:hAnsi="Times New Roman" w:eastAsia="仿宋_GB2312"/>
          <w:b/>
          <w:color w:val="000000" w:themeColor="text1"/>
          <w:spacing w:val="5"/>
          <w:szCs w:val="24"/>
        </w:rPr>
      </w:pPr>
      <w:bookmarkStart w:id="64" w:name="_Toc46252824"/>
      <w:r>
        <w:rPr>
          <w:rFonts w:ascii="Times New Roman" w:hAnsi="Times New Roman" w:eastAsia="仿宋_GB2312"/>
          <w:b/>
          <w:color w:val="000000" w:themeColor="text1"/>
          <w:spacing w:val="5"/>
          <w:szCs w:val="24"/>
        </w:rPr>
        <w:t xml:space="preserve">第六章 </w:t>
      </w:r>
      <w:r>
        <w:rPr>
          <w:rFonts w:hint="eastAsia" w:ascii="Times New Roman" w:hAnsi="Times New Roman" w:eastAsia="仿宋_GB2312"/>
          <w:b/>
          <w:color w:val="000000" w:themeColor="text1"/>
          <w:spacing w:val="5"/>
          <w:szCs w:val="24"/>
        </w:rPr>
        <w:t>江川区</w:t>
      </w:r>
      <w:r>
        <w:rPr>
          <w:rFonts w:ascii="Times New Roman" w:hAnsi="Times New Roman" w:eastAsia="仿宋_GB2312"/>
          <w:b/>
          <w:color w:val="000000" w:themeColor="text1"/>
          <w:spacing w:val="5"/>
          <w:szCs w:val="24"/>
        </w:rPr>
        <w:t>标定地价的评估与确定</w:t>
      </w:r>
      <w:bookmarkEnd w:id="64"/>
    </w:p>
    <w:p>
      <w:pPr>
        <w:spacing w:line="360" w:lineRule="auto"/>
        <w:ind w:firstLine="437" w:firstLineChars="174"/>
        <w:jc w:val="center"/>
        <w:outlineLvl w:val="2"/>
        <w:rPr>
          <w:rFonts w:ascii="Times New Roman" w:hAnsi="Times New Roman" w:eastAsia="仿宋_GB2312" w:cs="Times New Roman"/>
          <w:b/>
          <w:color w:val="000000" w:themeColor="text1"/>
          <w:spacing w:val="5"/>
          <w:sz w:val="24"/>
          <w:szCs w:val="24"/>
        </w:rPr>
      </w:pPr>
      <w:bookmarkStart w:id="65" w:name="_Toc515008776"/>
      <w:bookmarkStart w:id="66" w:name="_Toc46252825"/>
      <w:r>
        <w:rPr>
          <w:rFonts w:ascii="Times New Roman" w:hAnsi="Times New Roman" w:eastAsia="仿宋_GB2312" w:cs="Times New Roman"/>
          <w:b/>
          <w:color w:val="000000" w:themeColor="text1"/>
          <w:spacing w:val="5"/>
          <w:sz w:val="24"/>
          <w:szCs w:val="24"/>
        </w:rPr>
        <w:t>第一节 地价内涵</w:t>
      </w:r>
      <w:bookmarkEnd w:id="65"/>
      <w:bookmarkEnd w:id="66"/>
      <w:bookmarkStart w:id="67" w:name="_Toc8743"/>
    </w:p>
    <w:bookmarkEnd w:id="67"/>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1、估价期日</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本次江川区标定地价体系建设地价期日为2020年1月1日；</w:t>
      </w:r>
    </w:p>
    <w:p>
      <w:pPr>
        <w:spacing w:line="360" w:lineRule="auto"/>
        <w:ind w:left="290" w:leftChars="138" w:firstLine="250" w:firstLineChars="100"/>
        <w:rPr>
          <w:rFonts w:ascii="仿宋" w:hAnsi="仿宋" w:eastAsia="仿宋" w:cs="Times New Roman"/>
          <w:color w:val="000000" w:themeColor="text1"/>
          <w:spacing w:val="5"/>
          <w:sz w:val="24"/>
          <w:szCs w:val="24"/>
        </w:rPr>
      </w:pPr>
      <w:bookmarkStart w:id="68" w:name="_Toc9776"/>
      <w:r>
        <w:rPr>
          <w:rFonts w:hint="eastAsia" w:ascii="仿宋" w:hAnsi="仿宋" w:eastAsia="仿宋" w:cs="Times New Roman"/>
          <w:color w:val="000000" w:themeColor="text1"/>
          <w:spacing w:val="5"/>
          <w:sz w:val="24"/>
          <w:szCs w:val="24"/>
        </w:rPr>
        <w:t>2、权利特征</w:t>
      </w:r>
    </w:p>
    <w:p>
      <w:pPr>
        <w:spacing w:line="360" w:lineRule="auto"/>
        <w:ind w:left="290" w:leftChars="138" w:firstLine="250" w:firstLineChars="1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商服、住宅、工业权利特征为国有出让建设用地使用权，不考虑抵押权、地役权等他项权利的限制；</w:t>
      </w:r>
      <w:bookmarkEnd w:id="68"/>
      <w:r>
        <w:rPr>
          <w:rFonts w:hint="eastAsia" w:ascii="仿宋" w:hAnsi="仿宋" w:eastAsia="仿宋" w:cs="Times New Roman"/>
          <w:color w:val="000000" w:themeColor="text1"/>
          <w:spacing w:val="5"/>
          <w:sz w:val="24"/>
          <w:szCs w:val="24"/>
        </w:rPr>
        <w:t>公共管理与公共服务用地权利特征为国有划拨建设用地使用权。</w:t>
      </w:r>
    </w:p>
    <w:p>
      <w:pPr>
        <w:spacing w:line="360" w:lineRule="auto"/>
        <w:ind w:left="290" w:leftChars="138" w:firstLine="250" w:firstLineChars="1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3、价格类型</w:t>
      </w:r>
    </w:p>
    <w:p>
      <w:pPr>
        <w:spacing w:line="360" w:lineRule="auto"/>
        <w:ind w:firstLine="500" w:firstLineChars="200"/>
        <w:rPr>
          <w:rFonts w:ascii="仿宋" w:hAnsi="仿宋" w:eastAsia="仿宋" w:cs="Times New Roman"/>
          <w:color w:val="000000" w:themeColor="text1"/>
          <w:spacing w:val="5"/>
          <w:sz w:val="24"/>
          <w:szCs w:val="24"/>
        </w:rPr>
      </w:pPr>
      <w:bookmarkStart w:id="69" w:name="_Toc30466"/>
      <w:r>
        <w:rPr>
          <w:rFonts w:hint="eastAsia" w:ascii="仿宋" w:hAnsi="仿宋" w:eastAsia="仿宋" w:cs="Times New Roman"/>
          <w:color w:val="000000" w:themeColor="text1"/>
          <w:spacing w:val="5"/>
          <w:sz w:val="24"/>
          <w:szCs w:val="24"/>
        </w:rPr>
        <w:t>商服、住宅、工业用地价格类型为国有出让建设用地土地使用权</w:t>
      </w:r>
      <w:bookmarkEnd w:id="69"/>
      <w:r>
        <w:rPr>
          <w:rFonts w:hint="eastAsia" w:ascii="仿宋" w:hAnsi="仿宋" w:eastAsia="仿宋" w:cs="Times New Roman"/>
          <w:color w:val="000000" w:themeColor="text1"/>
          <w:spacing w:val="5"/>
          <w:sz w:val="24"/>
          <w:szCs w:val="24"/>
        </w:rPr>
        <w:t>，公共管理与公共服务用地价格类型为国有划拨建设用地土地使用权。</w:t>
      </w:r>
    </w:p>
    <w:p>
      <w:pPr>
        <w:spacing w:line="360" w:lineRule="auto"/>
        <w:ind w:firstLine="500" w:firstLineChars="200"/>
        <w:rPr>
          <w:rFonts w:ascii="仿宋" w:hAnsi="仿宋" w:eastAsia="仿宋" w:cs="Times New Roman"/>
          <w:color w:val="000000" w:themeColor="text1"/>
          <w:spacing w:val="5"/>
          <w:sz w:val="24"/>
          <w:szCs w:val="24"/>
        </w:rPr>
      </w:pPr>
      <w:bookmarkStart w:id="70" w:name="_Toc5624"/>
      <w:r>
        <w:rPr>
          <w:rFonts w:hint="eastAsia" w:ascii="仿宋" w:hAnsi="仿宋" w:eastAsia="仿宋" w:cs="Times New Roman"/>
          <w:color w:val="000000" w:themeColor="text1"/>
          <w:spacing w:val="5"/>
          <w:sz w:val="24"/>
          <w:szCs w:val="24"/>
        </w:rPr>
        <w:t>4、土地用途</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根据标准宗地的现状实际使用用途设定；</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5、容积率</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标准宗地现状容积率和设定容积率均按现状实际容积率设定。</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6、开发程度</w:t>
      </w:r>
    </w:p>
    <w:bookmarkEnd w:id="70"/>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标准宗地的开发程度按现状实际开发程度设定。</w:t>
      </w:r>
    </w:p>
    <w:p>
      <w:pPr>
        <w:spacing w:line="360" w:lineRule="auto"/>
        <w:ind w:firstLine="500" w:firstLineChars="200"/>
        <w:rPr>
          <w:rFonts w:ascii="仿宋" w:hAnsi="仿宋" w:eastAsia="仿宋" w:cs="Times New Roman"/>
          <w:color w:val="000000" w:themeColor="text1"/>
          <w:spacing w:val="5"/>
          <w:sz w:val="24"/>
          <w:szCs w:val="24"/>
        </w:rPr>
      </w:pPr>
      <w:bookmarkStart w:id="71" w:name="_Toc19525"/>
      <w:r>
        <w:rPr>
          <w:rFonts w:hint="eastAsia" w:ascii="仿宋" w:hAnsi="仿宋" w:eastAsia="仿宋" w:cs="Times New Roman"/>
          <w:color w:val="000000" w:themeColor="text1"/>
          <w:spacing w:val="5"/>
          <w:sz w:val="24"/>
          <w:szCs w:val="24"/>
        </w:rPr>
        <w:t>7、使用年期</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出让土地按各用途的法定最高年期设定，</w:t>
      </w:r>
      <w:bookmarkEnd w:id="71"/>
      <w:bookmarkStart w:id="72" w:name="_Toc22913"/>
      <w:r>
        <w:rPr>
          <w:rFonts w:hint="eastAsia" w:ascii="仿宋" w:hAnsi="仿宋" w:eastAsia="仿宋" w:cs="Times New Roman"/>
          <w:color w:val="000000" w:themeColor="text1"/>
          <w:spacing w:val="5"/>
          <w:sz w:val="24"/>
          <w:szCs w:val="24"/>
        </w:rPr>
        <w:t>商服用地40年，住宅用地70年，工矿仓储用地50年，公共管理与公共服务用地50年，划拨土地设定为无年期限制。</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8、市场特征为平稳正常情况、公开竞争市场条件；</w:t>
      </w:r>
      <w:bookmarkEnd w:id="72"/>
    </w:p>
    <w:p>
      <w:pPr>
        <w:spacing w:line="360" w:lineRule="auto"/>
        <w:ind w:firstLine="500" w:firstLineChars="200"/>
        <w:rPr>
          <w:rFonts w:ascii="仿宋" w:hAnsi="仿宋" w:eastAsia="仿宋" w:cs="Times New Roman"/>
          <w:color w:val="000000" w:themeColor="text1"/>
          <w:spacing w:val="5"/>
          <w:sz w:val="24"/>
          <w:szCs w:val="24"/>
        </w:rPr>
      </w:pPr>
      <w:bookmarkStart w:id="73" w:name="_Toc9298"/>
      <w:r>
        <w:rPr>
          <w:rFonts w:hint="eastAsia" w:ascii="仿宋" w:hAnsi="仿宋" w:eastAsia="仿宋" w:cs="Times New Roman"/>
          <w:color w:val="000000" w:themeColor="text1"/>
          <w:spacing w:val="5"/>
          <w:sz w:val="24"/>
          <w:szCs w:val="24"/>
        </w:rPr>
        <w:t>9、价格表现形式：商服用地、住宅用地、商住混合用地建筑容积率高于1.0时，标定地价评估价格以楼面地价和地面地价形式表示</w:t>
      </w:r>
      <w:bookmarkEnd w:id="73"/>
      <w:r>
        <w:rPr>
          <w:rFonts w:hint="eastAsia" w:ascii="仿宋" w:hAnsi="仿宋" w:eastAsia="仿宋" w:cs="Times New Roman"/>
          <w:color w:val="000000" w:themeColor="text1"/>
          <w:spacing w:val="5"/>
          <w:sz w:val="24"/>
          <w:szCs w:val="24"/>
        </w:rPr>
        <w:t>；公共管理与公共服务用地和工矿仓储用地以地面地价形式表示。</w:t>
      </w: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74" w:name="_Toc46252826"/>
      <w:bookmarkStart w:id="75" w:name="_Toc42179584"/>
      <w:r>
        <w:rPr>
          <w:rFonts w:hint="eastAsia" w:ascii="仿宋" w:hAnsi="仿宋" w:eastAsia="仿宋" w:cs="Times New Roman"/>
          <w:b/>
          <w:color w:val="000000" w:themeColor="text1"/>
          <w:spacing w:val="5"/>
          <w:sz w:val="24"/>
          <w:szCs w:val="24"/>
        </w:rPr>
        <w:t>第二节 估价原则</w:t>
      </w:r>
      <w:bookmarkEnd w:id="74"/>
      <w:bookmarkEnd w:id="75"/>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土地价格是由其效用、相对稀缺性及有效需求三者相互作用、相互影响所形成的。而这些因素又经常处于变动之中，宗地地价评估需要对此做细致分析并正确判断其变动趋向，了解土地价格组成的各项因素及各项因素间的相互作用，才能做出正确的地价评估。因此在探讨宗地地价评估方法之前，首先要研究宗地地价评估的基本原则，以此作为指南，认真分析影响宗地价格的因素，灵活选用各种宗地地价评估方法，对宗地价格做出最准确的判断。</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本次标准宗地评估遵循以下估价原则：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（1）替代原则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土地估价应以相邻地区或类似地区功能相同或相近、条件相似的土地市场交易价格为依据，估价结果不得明显偏离具有替代性质的土地客观价格。</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（2）最有效利用原则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土地估价应以估价对象的最有效利用为前提估价。判断土地的最有效利用以土地利用符合其自身利用条件、法律法规政策及规划限制、市场要求和最佳利用程度等为依据。</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（3）预期收益原则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土地估价应以估价对象在正常利用条件下的未来客观有效的预期收益为依据。</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（4）供需原则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土地估价要以市场供需决定土地价格为依据，并充分考虑土地供需的特殊性和土地市场的地域性。</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（5）贡献原则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不动产总收益是由土地及其他生产要素共同作用的结果，土地价格可依据土地对不动产收益的贡献大小确定。</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（6）价值主导原则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土地综合质量优劣是对土地价格产生影响的主要因素。</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（7）审慎原则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在评估中确定相关参数和结果时，应分析并充分考虑土地市场运行状况、有关行业发展状况，以及存在的风险。</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（8）公开市场原则</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评估结果在公平、公正、公开的土地市场上可实现。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除GB/T 18508-2014、GB/T 28406-2012规定的上述土地估价基本技术原则外，标定地价评估还需考虑以下原则：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a）公开市场原则：评估结果在公平、公正、公开的土地市场上可实现；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b）价值主导原则：土地综合质量优劣是对土地价格产生影响的主要因素；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c）审慎原则：在评估中确定相关参数和结果时，应分析并充分考虑土地市场运行状况、有关行业发展状况以及存在的各种风险。</w:t>
      </w: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76" w:name="_Toc42179585"/>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77" w:name="_Toc46252827"/>
      <w:r>
        <w:rPr>
          <w:rFonts w:hint="eastAsia" w:ascii="仿宋" w:hAnsi="仿宋" w:eastAsia="仿宋" w:cs="Times New Roman"/>
          <w:b/>
          <w:color w:val="000000" w:themeColor="text1"/>
          <w:spacing w:val="5"/>
          <w:sz w:val="24"/>
          <w:szCs w:val="24"/>
        </w:rPr>
        <w:t>第三节 估价假设前提说明</w:t>
      </w:r>
      <w:bookmarkEnd w:id="77"/>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标准宗地估价的原则和方法遵循《城镇土地估价规程》和《标定地价规程》(TD/T 1052-2017)，若设立的标准宗地土地交易日期在一年以内的交易样本，其地价可直接通过日期、土地开发程度、土地使用年限、容积率修正得到。标准宗地地价评估要求如下:</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1、不适用基准地价系数修正法。</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江川区县县城规划区虽然有完善的基准地价体系，根据《标定地价规程》(TD/T 1052-2017)要求，为了避免进入公示地价体系互推的循环过程，此次标定地价的评估不宜采用基准地价系数修正法。</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2、分别评估标准宗地现状条件与设定内涵条件下的标定地价，评估值为地面地价，价格表现形式以地面地价和楼面地价两种表现形式。</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3、标准宗地标定地价为土地使用权出让或划拨价格，不考虑他项权利的影响。</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4、标准宗地标定地价在设定内涵条件下为法定最高使用年期，在现状条件下为标准宗地实际剩余使用年期，划拨用地为无年期限制地价。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5、各用地类型标准宗地标定地价评估采用两种评估方法。</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6、每一个标准宗地标定地价由两名注册土地估价师分别独立负责评估。</w:t>
      </w:r>
    </w:p>
    <w:p>
      <w:pPr>
        <w:spacing w:line="360" w:lineRule="auto"/>
        <w:outlineLvl w:val="2"/>
        <w:rPr>
          <w:rFonts w:ascii="仿宋" w:hAnsi="仿宋" w:eastAsia="仿宋" w:cs="Times New Roman"/>
          <w:b/>
          <w:color w:val="000000" w:themeColor="text1"/>
          <w:spacing w:val="5"/>
          <w:sz w:val="24"/>
          <w:szCs w:val="24"/>
        </w:rPr>
      </w:pPr>
    </w:p>
    <w:p>
      <w:pPr>
        <w:spacing w:line="360" w:lineRule="auto"/>
        <w:ind w:firstLine="437" w:firstLineChars="174"/>
        <w:jc w:val="center"/>
        <w:outlineLvl w:val="2"/>
        <w:rPr>
          <w:rFonts w:ascii="仿宋" w:hAnsi="仿宋" w:eastAsia="仿宋" w:cs="Times New Roman"/>
          <w:b/>
          <w:color w:val="000000" w:themeColor="text1"/>
          <w:spacing w:val="5"/>
          <w:sz w:val="24"/>
          <w:szCs w:val="24"/>
        </w:rPr>
      </w:pPr>
    </w:p>
    <w:p>
      <w:pPr>
        <w:spacing w:line="360" w:lineRule="auto"/>
        <w:ind w:firstLine="437" w:firstLineChars="174"/>
        <w:jc w:val="center"/>
        <w:outlineLvl w:val="2"/>
        <w:rPr>
          <w:rFonts w:ascii="仿宋" w:hAnsi="仿宋" w:eastAsia="仿宋" w:cs="Times New Roman"/>
          <w:b/>
          <w:color w:val="000000" w:themeColor="text1"/>
          <w:spacing w:val="5"/>
          <w:sz w:val="24"/>
          <w:szCs w:val="24"/>
        </w:rPr>
      </w:pPr>
      <w:bookmarkStart w:id="78" w:name="_Toc46252828"/>
    </w:p>
    <w:p>
      <w:pPr>
        <w:spacing w:line="360" w:lineRule="auto"/>
        <w:ind w:firstLine="437" w:firstLineChars="174"/>
        <w:jc w:val="center"/>
        <w:outlineLvl w:val="2"/>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第四节  估价方法</w:t>
      </w:r>
      <w:bookmarkEnd w:id="76"/>
      <w:bookmarkEnd w:id="78"/>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一、估价方法的选择</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根据《城镇土地估价规程》和《标定地价规程》（TD/T1052-2017），土地估价方法包括公示地价系数修正法（包括基准地价系数修正法、路线价法和标定地价系数修正法）、市场比较法、剩余法、收益还原法和成本逼近法等几种主要宗地评估方法。</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标定地价系数修正法不应用于评估标定地价；原则上不宜使用基准地价系数修正法评估标定地价，确需使用的，另一种方法慎用成本逼近法； 对于距估价期日一年内发生交易的标准宗地， 可根据其交易价格直接修正评估标定地价内涵下的价格。</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a）收益还原法：确定土地收益，通过调查市场案例经比较后得出，符合当前市场的正常客观收益水平，并假设该收益水平在评估设定年期内保持稳定；确定还原率时应充分考虑投资年期与收益风险之间的关系；测算农用地年收益时，应以所在宗地作为评估单位，而不是该宗地内的收益面积，计算的年纯收益应与其权利状况相对应。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b）市场比较法：优先选用正常市场环境下的实际交易案例，原则上不采用竞价轮次较多、溢价率较高或建设用地楼面地价为历史极值的交易案例； 各比较案例的修正幅度不宜超过 30％； 进行期日修正时，应根据用地类型选择适宜的价格指数，合理确定期日修正系数。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c）剩余法：设定项目开发周期一般不超过 3 年；不动产售价取评估期日当地市场同类不动产正常价格水平；评估建设用地时，利润率应反映当地同类型建筑开发项目的平均利润水平；评估农用地时，利润率宜根据当地类似农用地开发项目的平均利润率确定。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 d）成本逼近法：土地取得成本通过调查正常情况下取得土地实际发生的客观费用水平确定。</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1、商服用地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本次江川区商服用地标准宗地的标定地价评估方法的选用：①已建成并运营使用有收益的商服用地选取了市场比较法、收益还原法和剩余法三种方法中选择其中两种方法测算标准宗地的标定地价；②对于在建或具有详细规划设计条件即将开发的待开发地块，采用了剩余法（假设开发法）和市场比较法测算标准宗地的标定地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2、住宅用地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本次江川区住宅用地标准宗地的标定地价评估方法的选用：①已建成并正常居住的住宅用地选取了市场比较法、收益还原法、剩余法和成本法四种方法中选择其中两种方法测算标准宗地的标定地价；②对于在建或具有详细规划设计条件即将开发的待开发地块，采用了剩余法（假设开发法）和市场比较法测算标准宗地的标定地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3、商住混合用地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本次江川区住宅用地标准宗地的标定地价评估方法的选用：①已建成并正常居住的住宅用地选取了市场比较法、收益还原法和剩余法三种方法中选择其中两种方法测算标准宗地的标定地价；②对于在建或具有详细规划设计条件即将开发的待开发地块，采用了剩余法（假设开发法）和市场比较法测算标准宗地的标定地价。</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4、工矿仓储用地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工矿仓储用地标准宗地的标定地价评估采用市场比较法和成本逼近法进行评估测算。</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5、公共管理与公共服务用地</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公共管理与公共服务用地标准宗地的标定地价评估评估主要采用成本逼近法和收益还原法。</w:t>
      </w: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p>
      <w:pPr>
        <w:spacing w:line="360" w:lineRule="auto"/>
        <w:ind w:firstLine="500" w:firstLineChars="200"/>
        <w:rPr>
          <w:rFonts w:ascii="仿宋" w:hAnsi="仿宋" w:eastAsia="仿宋" w:cs="Times New Roman"/>
          <w:color w:val="000000" w:themeColor="text1"/>
          <w:spacing w:val="5"/>
          <w:sz w:val="24"/>
          <w:szCs w:val="24"/>
        </w:rPr>
      </w:pPr>
    </w:p>
    <w:bookmarkEnd w:id="42"/>
    <w:p>
      <w:pPr>
        <w:spacing w:line="360" w:lineRule="auto"/>
        <w:ind w:firstLine="419" w:firstLineChars="174"/>
        <w:jc w:val="center"/>
        <w:outlineLvl w:val="2"/>
        <w:rPr>
          <w:rFonts w:ascii="仿宋" w:hAnsi="仿宋" w:eastAsia="仿宋" w:cs="Times New Roman"/>
          <w:b/>
          <w:color w:val="000000" w:themeColor="text1"/>
          <w:spacing w:val="5"/>
          <w:sz w:val="24"/>
          <w:szCs w:val="24"/>
        </w:rPr>
      </w:pPr>
      <w:bookmarkStart w:id="79" w:name="_Toc46252829"/>
      <w:r>
        <w:rPr>
          <w:rFonts w:hint="eastAsia" w:ascii="仿宋" w:hAnsi="仿宋" w:eastAsia="仿宋" w:cs="宋体"/>
          <w:b/>
          <w:bCs/>
          <w:color w:val="000000" w:themeColor="text1"/>
          <w:kern w:val="0"/>
          <w:sz w:val="24"/>
          <w:szCs w:val="24"/>
        </w:rPr>
        <w:t xml:space="preserve">第五节  </w:t>
      </w:r>
      <w:r>
        <w:rPr>
          <w:rFonts w:hint="eastAsia" w:ascii="仿宋" w:hAnsi="仿宋" w:eastAsia="仿宋" w:cs="Times New Roman"/>
          <w:b/>
          <w:color w:val="000000" w:themeColor="text1"/>
          <w:spacing w:val="5"/>
          <w:sz w:val="24"/>
          <w:szCs w:val="24"/>
        </w:rPr>
        <w:t>标定地价的确定</w:t>
      </w:r>
      <w:bookmarkEnd w:id="79"/>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 xml:space="preserve">1 、评估师初评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根据《标定地价规程》，每宗标准宗地的价格由两名土地估价师分别独立负责评估，并按标准格式填写相应表格，编制评估报告。 </w:t>
      </w:r>
    </w:p>
    <w:p>
      <w:pPr>
        <w:spacing w:line="360" w:lineRule="auto"/>
        <w:ind w:firstLine="502" w:firstLineChars="200"/>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 xml:space="preserve">2 、提出标定地价建议值 </w:t>
      </w:r>
    </w:p>
    <w:p>
      <w:pPr>
        <w:spacing w:line="360" w:lineRule="auto"/>
        <w:ind w:firstLine="500" w:firstLineChars="200"/>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 xml:space="preserve">分别汇总两名土地评估师的评估结果，分析其评估结果的差异率，对差异率超过20%的标准宗地要求土地估价师重新核实评估结果，最后采用两名土地估价师的算术平均值作为标定地价评估结果建议值。 </w:t>
      </w:r>
    </w:p>
    <w:p>
      <w:pPr>
        <w:widowControl/>
        <w:spacing w:line="360" w:lineRule="auto"/>
        <w:ind w:firstLine="482" w:firstLineChars="200"/>
        <w:jc w:val="left"/>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 xml:space="preserve">3 、标定地价的确定 </w:t>
      </w:r>
    </w:p>
    <w:p>
      <w:pPr>
        <w:widowControl/>
        <w:spacing w:line="360" w:lineRule="auto"/>
        <w:ind w:firstLine="500" w:firstLineChars="200"/>
        <w:jc w:val="left"/>
        <w:rPr>
          <w:rFonts w:ascii="仿宋" w:hAnsi="仿宋" w:eastAsia="仿宋" w:cs="宋体"/>
          <w:b/>
          <w:bCs/>
          <w:color w:val="000000" w:themeColor="text1"/>
          <w:kern w:val="0"/>
          <w:sz w:val="24"/>
          <w:szCs w:val="24"/>
        </w:rPr>
      </w:pPr>
      <w:r>
        <w:rPr>
          <w:rFonts w:hint="eastAsia" w:ascii="仿宋" w:hAnsi="仿宋" w:eastAsia="仿宋" w:cs="Times New Roman"/>
          <w:color w:val="000000" w:themeColor="text1"/>
          <w:spacing w:val="5"/>
          <w:sz w:val="24"/>
          <w:szCs w:val="24"/>
        </w:rPr>
        <w:t>根据评估出的标准宗地估价价格，由自然资源局相关工作人员进行审核确认，最终形成本次江川区标定地价标准宗地价格建议值，见表6-1：</w:t>
      </w:r>
    </w:p>
    <w:p>
      <w:pPr>
        <w:spacing w:line="360" w:lineRule="auto"/>
        <w:ind w:firstLine="562" w:firstLineChars="200"/>
        <w:jc w:val="center"/>
        <w:rPr>
          <w:rFonts w:ascii="仿宋" w:hAnsi="仿宋" w:eastAsia="仿宋" w:cs="宋体"/>
          <w:b/>
          <w:bCs/>
          <w:color w:val="000000" w:themeColor="text1"/>
          <w:kern w:val="0"/>
          <w:sz w:val="28"/>
          <w:szCs w:val="28"/>
        </w:rPr>
      </w:pPr>
    </w:p>
    <w:p>
      <w:pPr>
        <w:widowControl/>
        <w:jc w:val="left"/>
        <w:rPr>
          <w:rFonts w:ascii="仿宋" w:hAnsi="仿宋" w:eastAsia="仿宋"/>
          <w:b/>
          <w:color w:val="000000" w:themeColor="text1"/>
          <w:spacing w:val="5"/>
          <w:sz w:val="32"/>
          <w:szCs w:val="32"/>
        </w:rPr>
        <w:sectPr>
          <w:footerReference r:id="rId10"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b/>
          <w:color w:val="000000" w:themeColor="text1"/>
          <w:spacing w:val="5"/>
          <w:sz w:val="32"/>
          <w:szCs w:val="32"/>
        </w:rPr>
        <w:br w:type="page"/>
      </w:r>
    </w:p>
    <w:p>
      <w:pPr>
        <w:jc w:val="center"/>
        <w:rPr>
          <w:rFonts w:ascii="仿宋" w:hAnsi="仿宋" w:eastAsia="仿宋"/>
          <w:b/>
          <w:color w:val="000000" w:themeColor="text1"/>
          <w:spacing w:val="5"/>
          <w:sz w:val="28"/>
          <w:szCs w:val="28"/>
        </w:rPr>
      </w:pPr>
      <w:bookmarkStart w:id="80" w:name="_Toc521577101"/>
      <w:bookmarkStart w:id="81" w:name="_Toc515008780"/>
      <w:bookmarkStart w:id="82" w:name="_Toc521576785"/>
      <w:r>
        <w:rPr>
          <w:rFonts w:hint="eastAsia" w:ascii="仿宋" w:hAnsi="仿宋" w:eastAsia="仿宋"/>
          <w:b/>
          <w:color w:val="000000" w:themeColor="text1"/>
          <w:spacing w:val="5"/>
          <w:sz w:val="28"/>
          <w:szCs w:val="28"/>
        </w:rPr>
        <w:t>表6-1 江川区标定地价标准宗地测算结果表</w:t>
      </w:r>
      <w:bookmarkEnd w:id="80"/>
      <w:bookmarkEnd w:id="81"/>
      <w:bookmarkEnd w:id="82"/>
    </w:p>
    <w:tbl>
      <w:tblPr>
        <w:tblStyle w:val="19"/>
        <w:tblW w:w="15191"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6"/>
        <w:gridCol w:w="1706"/>
        <w:gridCol w:w="1981"/>
        <w:gridCol w:w="1984"/>
        <w:gridCol w:w="1417"/>
        <w:gridCol w:w="714"/>
        <w:gridCol w:w="1029"/>
        <w:gridCol w:w="627"/>
        <w:gridCol w:w="935"/>
        <w:gridCol w:w="807"/>
        <w:gridCol w:w="853"/>
        <w:gridCol w:w="708"/>
        <w:gridCol w:w="853"/>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566" w:type="dxa"/>
            <w:vMerge w:val="restart"/>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序号</w:t>
            </w:r>
          </w:p>
        </w:tc>
        <w:tc>
          <w:tcPr>
            <w:tcW w:w="1706"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标准宗地编码</w:t>
            </w:r>
          </w:p>
        </w:tc>
        <w:tc>
          <w:tcPr>
            <w:tcW w:w="1981"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标准宗地名称</w:t>
            </w:r>
          </w:p>
        </w:tc>
        <w:tc>
          <w:tcPr>
            <w:tcW w:w="1984"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位置</w:t>
            </w:r>
          </w:p>
        </w:tc>
        <w:tc>
          <w:tcPr>
            <w:tcW w:w="1417"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用途</w:t>
            </w:r>
          </w:p>
        </w:tc>
        <w:tc>
          <w:tcPr>
            <w:tcW w:w="714"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权利类型</w:t>
            </w:r>
          </w:p>
        </w:tc>
        <w:tc>
          <w:tcPr>
            <w:tcW w:w="1029"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面积</w:t>
            </w:r>
          </w:p>
        </w:tc>
        <w:tc>
          <w:tcPr>
            <w:tcW w:w="627"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容积率</w:t>
            </w:r>
          </w:p>
        </w:tc>
        <w:tc>
          <w:tcPr>
            <w:tcW w:w="935"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开发程度</w:t>
            </w:r>
          </w:p>
        </w:tc>
        <w:tc>
          <w:tcPr>
            <w:tcW w:w="807"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设定使用年期</w:t>
            </w:r>
          </w:p>
        </w:tc>
        <w:tc>
          <w:tcPr>
            <w:tcW w:w="853" w:type="dxa"/>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设定容积率</w:t>
            </w:r>
          </w:p>
        </w:tc>
        <w:tc>
          <w:tcPr>
            <w:tcW w:w="1561" w:type="dxa"/>
            <w:gridSpan w:val="2"/>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标定地价</w:t>
            </w:r>
          </w:p>
        </w:tc>
        <w:tc>
          <w:tcPr>
            <w:tcW w:w="1011" w:type="dxa"/>
            <w:vMerge w:val="restart"/>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blHeader/>
        </w:trPr>
        <w:tc>
          <w:tcPr>
            <w:tcW w:w="566" w:type="dxa"/>
            <w:vMerge w:val="continue"/>
            <w:shd w:val="clear" w:color="auto" w:fill="auto"/>
            <w:vAlign w:val="center"/>
          </w:tcPr>
          <w:p>
            <w:pPr>
              <w:widowControl/>
              <w:spacing w:line="240" w:lineRule="exact"/>
              <w:jc w:val="center"/>
              <w:rPr>
                <w:rFonts w:ascii="仿宋" w:hAnsi="仿宋" w:eastAsia="仿宋" w:cs="宋体"/>
                <w:color w:val="000000" w:themeColor="text1"/>
                <w:kern w:val="0"/>
                <w:sz w:val="18"/>
                <w:szCs w:val="18"/>
              </w:rPr>
            </w:pP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(6)</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(8)</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(9)</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(10)</w:t>
            </w:r>
          </w:p>
        </w:tc>
        <w:tc>
          <w:tcPr>
            <w:tcW w:w="708"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地面地价</w:t>
            </w:r>
          </w:p>
        </w:tc>
        <w:tc>
          <w:tcPr>
            <w:tcW w:w="853" w:type="dxa"/>
            <w:shd w:val="clear" w:color="auto" w:fill="auto"/>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楼面地价</w:t>
            </w:r>
          </w:p>
        </w:tc>
        <w:tc>
          <w:tcPr>
            <w:tcW w:w="1011" w:type="dxa"/>
            <w:vMerge w:val="continue"/>
            <w:shd w:val="clear" w:color="auto" w:fill="auto"/>
            <w:vAlign w:val="center"/>
          </w:tcPr>
          <w:p>
            <w:pPr>
              <w:widowControl/>
              <w:spacing w:line="240" w:lineRule="exact"/>
              <w:jc w:val="center"/>
              <w:rPr>
                <w:rFonts w:ascii="仿宋" w:hAnsi="仿宋" w:eastAsia="仿宋"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530403S0500101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廖树林（中国黄金）</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江川区大街街道星云路中段72号</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其他商服用地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320429</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2763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921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530403S0500201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江川宾馆</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江川区大街街道宁海路36号</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旅馆用地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7748.77</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1.6</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1.6</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2688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1680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530403S0500301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江川县大街镇大庄村委会金家庄村民小组（利农园农资经营部）</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江川区大街镇大庄村委会新桥湾</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其他商服用地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43220</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0.6</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0.6</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2210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530403H0500101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云南广星置业房地产开发有限公司 </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江川区城北（原江川国营渔场）</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182468</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1.2</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1.2</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2453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2044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商服85%，住宅15%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530403H0500201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星云铭城</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江川区大街镇污水处理厂旁</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155758</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1.2</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1.2</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2465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2054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商服60%，住宅40%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6</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530403H0700301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云南江川润江文化旅游开发有限公司</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江川区大街镇五岔路口以西北</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161294</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2444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1629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商服60%，住宅40%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530403H0700401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龙旺湖城</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江川区大街街道办事处五叉路口</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53608</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3.8</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3.8</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2437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641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商服40%，住宅60%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8</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530403H0700501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云南江川玉江房地产开发有限公司</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江川区职教小区以西</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69317</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2424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485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商服20%，住宅80%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9</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530403H0700601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江川财富广场</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江川区城星云路与明珠路交叉口东</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6347</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w:t>
            </w:r>
          </w:p>
        </w:tc>
        <w:tc>
          <w:tcPr>
            <w:tcW w:w="708" w:type="dxa"/>
            <w:shd w:val="clear" w:color="auto" w:fill="auto"/>
            <w:vAlign w:val="center"/>
          </w:tcPr>
          <w:p>
            <w:pPr>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14213 </w:t>
            </w:r>
          </w:p>
        </w:tc>
        <w:tc>
          <w:tcPr>
            <w:tcW w:w="853" w:type="dxa"/>
            <w:shd w:val="clear" w:color="auto" w:fill="auto"/>
            <w:vAlign w:val="center"/>
          </w:tcPr>
          <w:p>
            <w:pPr>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2030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商服30%，住宅70%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10</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530403H0700701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江磷文苑</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江川区大街镇上营西街(大街中学斜对面)</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3766</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4005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1602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商服20%，住宅80%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11</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530403H0700801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书香苑</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湖滨路东侧，葡萄园小区南侧</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29225</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3400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971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商服10%，住宅90%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12</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530403H0700901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宁海瑞园</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江川城区宁海路东侧，玉溪市江川区人民政府对面</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13956</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2484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710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商服10%，住宅90%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13</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530403H0701001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怡景园</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江川区大街镇宁海路与景新路交叉口</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5044</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2708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903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商服10%，住宅90%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14</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530403H0701101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云南怡道置业有限公司 </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江川城区以南，江中路东侧</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商住混合用地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86206</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2407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602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商服20%，住宅80%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530403Z0700101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德馨苑</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江川区大街镇五岔路口以西</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170000</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1.76</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1.76</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2010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1142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16</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530403Z0700201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老医院生活区</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江川区大街街道浪广路</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11668.41</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1.7</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1.7</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2143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1261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17</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530403Z0700301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福林小区</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江川区大街街道浪广路33号</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91737.1</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0.7</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0.7</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2106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18</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530403Z0700401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王吉祥用地</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江川区大街镇玉泉花园</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435.6</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2272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454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19</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530403Z0700501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星龍苑</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江川区大街街道抚仙路南段</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14032.3</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2193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1462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20</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530403Z0700601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星湖民苑</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江川区城兴江路南康达太阳能设备厂背后</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廉租住宅用地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6739</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2.2</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2.2</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1006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21</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530403Z0700701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聚龙小区</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20404.51</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992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22</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530403Z0700801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安居小区</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江川区大街街道宝凤路33号</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13232.5</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990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23</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530403Z0700901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江川区林业和草原局住宅区</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江川区大街街道文祥街</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7660.8</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3.2</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3.2</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985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24</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530403Z0701001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煤業小区</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江川区大街街道煤矿生活区</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6873.17</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975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25</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530403Z0701101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老烟草公司小区</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江川区大街镇星云路中段11号</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6765.53</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964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26</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530403Z0701201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玉溪市江川区公路管理段住宅区</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江川区大街街道星象路45号</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2957.88</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1.4</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1.4</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956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27</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530403Z0701301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宁海民居</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江川区江通路以南，东邻2012年保障性住房</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城镇住宅用地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35993</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1.8</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70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1.8</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1527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848 </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28</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530403G0600101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江川新天力现代农业装备制造有限公司 </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江川龙泉山生态工业园区</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工业用地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116992</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0.7</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0.7</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400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29</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530403G0600201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玉溪万利包装材料有限公司（金美包装）</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江川龙泉山生态工业园区</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工业用地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96748</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402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30</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530403G0600301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云南联塑科技发展有限公司</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江川区大街镇三街村委会第六、七、八、九组和前卫镇赵官村委会第一村民小组（江川区龙泉山工业园区内）</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工业用地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239780</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412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31</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530403G0600401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玉溪华电达新能源科技有限公司</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江川工业园区龙泉园区内，龙腾路与江源路交叉口以北</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工业用地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出让</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60311</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50</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409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32</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530403L0800101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江川区公安局</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江川区大街街道办事处江通公路东北侧（廉租房对面）</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机关团体用地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11064</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1.5</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463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noWrap/>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33</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530403L0800201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玉溪市江川区文化广电和体育局</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玉溪市江川区兴江路中段，东邻江川区体育馆</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文化设施用地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55824</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0.8</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0.8</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503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34</w:t>
            </w:r>
          </w:p>
        </w:tc>
        <w:tc>
          <w:tcPr>
            <w:tcW w:w="1706"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530403L0800301</w:t>
            </w:r>
          </w:p>
        </w:tc>
        <w:tc>
          <w:tcPr>
            <w:tcW w:w="1981"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中国南方电网</w:t>
            </w:r>
          </w:p>
        </w:tc>
        <w:tc>
          <w:tcPr>
            <w:tcW w:w="198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江川区大街街道办事处早街社区居委会一组</w:t>
            </w:r>
          </w:p>
        </w:tc>
        <w:tc>
          <w:tcPr>
            <w:tcW w:w="141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公用设施用地</w:t>
            </w:r>
          </w:p>
        </w:tc>
        <w:tc>
          <w:tcPr>
            <w:tcW w:w="714"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划拨</w:t>
            </w:r>
          </w:p>
        </w:tc>
        <w:tc>
          <w:tcPr>
            <w:tcW w:w="1029"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8335</w:t>
            </w:r>
          </w:p>
        </w:tc>
        <w:tc>
          <w:tcPr>
            <w:tcW w:w="62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1.2</w:t>
            </w:r>
          </w:p>
        </w:tc>
        <w:tc>
          <w:tcPr>
            <w:tcW w:w="935"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五通一平</w:t>
            </w:r>
          </w:p>
        </w:tc>
        <w:tc>
          <w:tcPr>
            <w:tcW w:w="807"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无年期限制</w:t>
            </w:r>
          </w:p>
        </w:tc>
        <w:tc>
          <w:tcPr>
            <w:tcW w:w="853" w:type="dxa"/>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1.2</w:t>
            </w:r>
          </w:p>
        </w:tc>
        <w:tc>
          <w:tcPr>
            <w:tcW w:w="708"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xml:space="preserve">335 </w:t>
            </w:r>
          </w:p>
        </w:tc>
        <w:tc>
          <w:tcPr>
            <w:tcW w:w="853" w:type="dxa"/>
            <w:shd w:val="clear" w:color="auto" w:fill="auto"/>
            <w:vAlign w:val="center"/>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w:t>
            </w:r>
          </w:p>
        </w:tc>
        <w:tc>
          <w:tcPr>
            <w:tcW w:w="1011" w:type="dxa"/>
            <w:shd w:val="clear" w:color="auto" w:fill="auto"/>
            <w:vAlign w:val="bottom"/>
          </w:tcPr>
          <w:p>
            <w:pPr>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5191" w:type="dxa"/>
            <w:gridSpan w:val="14"/>
            <w:vAlign w:val="center"/>
          </w:tcPr>
          <w:p>
            <w:pPr>
              <w:widowControl/>
              <w:spacing w:line="240" w:lineRule="exact"/>
              <w:jc w:val="center"/>
              <w:rPr>
                <w:rFonts w:ascii="仿宋" w:hAnsi="仿宋" w:eastAsia="仿宋" w:cs="宋体"/>
                <w:color w:val="000000" w:themeColor="text1"/>
                <w:kern w:val="0"/>
                <w:sz w:val="18"/>
                <w:szCs w:val="18"/>
              </w:rPr>
            </w:pPr>
            <w:r>
              <w:rPr>
                <w:rFonts w:hint="eastAsia" w:ascii="仿宋" w:hAnsi="仿宋" w:eastAsia="仿宋" w:cs="宋体"/>
                <w:color w:val="000000" w:themeColor="text1"/>
                <w:kern w:val="0"/>
                <w:sz w:val="18"/>
                <w:szCs w:val="18"/>
              </w:rPr>
              <w:t>填表说明：表中填写单位分别为：面积，平方米；标定地价，元/平方米</w:t>
            </w:r>
          </w:p>
        </w:tc>
      </w:tr>
    </w:tbl>
    <w:p>
      <w:pPr>
        <w:rPr>
          <w:rFonts w:ascii="仿宋" w:hAnsi="仿宋" w:eastAsia="仿宋"/>
          <w:color w:val="000000" w:themeColor="text1"/>
        </w:rPr>
        <w:sectPr>
          <w:pgSz w:w="16838" w:h="11906" w:orient="landscape"/>
          <w:pgMar w:top="1797" w:right="1440" w:bottom="1797" w:left="1440" w:header="851" w:footer="992" w:gutter="0"/>
          <w:cols w:space="425" w:num="1"/>
          <w:docGrid w:type="linesAndChars" w:linePitch="312" w:charSpace="0"/>
        </w:sectPr>
      </w:pPr>
    </w:p>
    <w:p>
      <w:pPr>
        <w:spacing w:line="360" w:lineRule="auto"/>
        <w:ind w:firstLine="480" w:firstLineChars="200"/>
        <w:rPr>
          <w:rFonts w:ascii="仿宋" w:hAnsi="仿宋" w:eastAsia="仿宋" w:cs="Times New Roman"/>
          <w:b/>
          <w:color w:val="000000" w:themeColor="text1"/>
          <w:spacing w:val="5"/>
          <w:sz w:val="24"/>
          <w:szCs w:val="24"/>
        </w:rPr>
      </w:pPr>
      <w:r>
        <w:rPr>
          <w:rFonts w:hint="eastAsia" w:ascii="仿宋" w:hAnsi="仿宋" w:eastAsia="仿宋" w:cs="宋体"/>
          <w:b/>
          <w:bCs/>
          <w:color w:val="000000" w:themeColor="text1"/>
          <w:kern w:val="0"/>
          <w:sz w:val="24"/>
          <w:szCs w:val="24"/>
        </w:rPr>
        <w:t>4</w:t>
      </w:r>
      <w:r>
        <w:rPr>
          <w:rFonts w:hint="eastAsia" w:ascii="仿宋" w:hAnsi="仿宋" w:eastAsia="仿宋" w:cs="Times New Roman"/>
          <w:b/>
          <w:color w:val="000000" w:themeColor="text1"/>
          <w:spacing w:val="5"/>
          <w:sz w:val="24"/>
          <w:szCs w:val="24"/>
        </w:rPr>
        <w:t>、</w:t>
      </w:r>
      <w:r>
        <w:rPr>
          <w:rFonts w:hint="eastAsia" w:ascii="仿宋" w:hAnsi="仿宋" w:eastAsia="仿宋" w:cs="宋体"/>
          <w:b/>
          <w:bCs/>
          <w:color w:val="000000" w:themeColor="text1"/>
          <w:kern w:val="0"/>
          <w:sz w:val="24"/>
          <w:szCs w:val="24"/>
        </w:rPr>
        <w:t>标定地价</w:t>
      </w:r>
      <w:r>
        <w:rPr>
          <w:rFonts w:hint="eastAsia" w:ascii="仿宋" w:hAnsi="仿宋" w:eastAsia="仿宋" w:cs="Times New Roman"/>
          <w:b/>
          <w:color w:val="000000" w:themeColor="text1"/>
          <w:spacing w:val="5"/>
          <w:sz w:val="24"/>
          <w:szCs w:val="24"/>
        </w:rPr>
        <w:t>的确定</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江川区2020年标定地价体系建设工作共设立标准宗地34宗，评估结果如下：</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1、商服用地共3宗，其中旅馆用地1宗，其他商服用地4宗，餐饮用地2宗；</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2、住宅用地共13宗，全部为城镇住宅用地，出让用地6宗；划拨用地7宗，其中1宗为廉租住房用地；</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3、商住混合用地共11宗；</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4、工矿仓储用地共4宗，工业用地4宗；</w:t>
      </w:r>
    </w:p>
    <w:p>
      <w:pPr>
        <w:spacing w:line="360" w:lineRule="auto"/>
        <w:ind w:firstLine="500" w:firstLineChars="200"/>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5、公共管理与公共服务用地共3宗，其中文化设施用地1宗，公用设施用地1宗，机关团体用地1宗。</w:t>
      </w:r>
    </w:p>
    <w:p>
      <w:pPr>
        <w:widowControl/>
        <w:spacing w:line="360" w:lineRule="auto"/>
        <w:ind w:firstLine="500" w:firstLineChars="200"/>
        <w:jc w:val="left"/>
        <w:rPr>
          <w:rFonts w:ascii="仿宋" w:hAnsi="仿宋" w:eastAsia="仿宋" w:cs="Times New Roman"/>
          <w:b/>
          <w:color w:val="000000" w:themeColor="text1"/>
          <w:spacing w:val="5"/>
          <w:sz w:val="24"/>
          <w:szCs w:val="24"/>
        </w:rPr>
      </w:pPr>
      <w:r>
        <w:rPr>
          <w:rFonts w:hint="eastAsia" w:ascii="仿宋" w:hAnsi="仿宋" w:eastAsia="仿宋" w:cs="Times New Roman"/>
          <w:color w:val="000000" w:themeColor="text1"/>
          <w:spacing w:val="5"/>
          <w:sz w:val="24"/>
          <w:szCs w:val="24"/>
        </w:rPr>
        <w:t>2020年标定地价测算结果汇总表：</w:t>
      </w:r>
    </w:p>
    <w:p>
      <w:pPr>
        <w:spacing w:line="360" w:lineRule="auto"/>
        <w:ind w:firstLine="500" w:firstLineChars="200"/>
        <w:jc w:val="center"/>
        <w:rPr>
          <w:rFonts w:ascii="仿宋" w:hAnsi="仿宋" w:eastAsia="仿宋" w:cs="Times New Roman"/>
          <w:b/>
          <w:color w:val="000000" w:themeColor="text1"/>
          <w:spacing w:val="5"/>
          <w:sz w:val="24"/>
          <w:szCs w:val="24"/>
        </w:rPr>
      </w:pPr>
      <w:r>
        <w:rPr>
          <w:rFonts w:hint="eastAsia" w:ascii="仿宋" w:hAnsi="仿宋" w:eastAsia="仿宋" w:cs="Times New Roman"/>
          <w:b/>
          <w:color w:val="000000" w:themeColor="text1"/>
          <w:spacing w:val="5"/>
          <w:sz w:val="24"/>
          <w:szCs w:val="24"/>
        </w:rPr>
        <w:t>表6-2  江川区2020年各用地类型标定地价测算结果表</w:t>
      </w:r>
    </w:p>
    <w:tbl>
      <w:tblPr>
        <w:tblStyle w:val="20"/>
        <w:tblW w:w="566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880"/>
        <w:gridCol w:w="1147"/>
        <w:gridCol w:w="1107"/>
        <w:gridCol w:w="1139"/>
        <w:gridCol w:w="1161"/>
        <w:gridCol w:w="1145"/>
        <w:gridCol w:w="1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用地类型</w:t>
            </w:r>
          </w:p>
        </w:tc>
        <w:tc>
          <w:tcPr>
            <w:tcW w:w="455" w:type="pct"/>
            <w:vAlign w:val="center"/>
          </w:tcPr>
          <w:p>
            <w:pPr>
              <w:widowControl/>
              <w:spacing w:line="24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标准宗地数量（宗）</w:t>
            </w:r>
          </w:p>
        </w:tc>
        <w:tc>
          <w:tcPr>
            <w:tcW w:w="593" w:type="pct"/>
            <w:vAlign w:val="center"/>
          </w:tcPr>
          <w:p>
            <w:pPr>
              <w:widowControl/>
              <w:spacing w:line="24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地面地价最高值（元/m</w:t>
            </w:r>
            <w:r>
              <w:rPr>
                <w:rFonts w:hint="eastAsia" w:ascii="仿宋" w:hAnsi="仿宋" w:eastAsia="仿宋" w:cs="Times New Roman"/>
                <w:b/>
                <w:color w:val="000000" w:themeColor="text1"/>
                <w:spacing w:val="5"/>
                <w:szCs w:val="21"/>
                <w:vertAlign w:val="superscript"/>
              </w:rPr>
              <w:t>2</w:t>
            </w:r>
            <w:r>
              <w:rPr>
                <w:rFonts w:hint="eastAsia" w:ascii="仿宋" w:hAnsi="仿宋" w:eastAsia="仿宋" w:cs="Times New Roman"/>
                <w:b/>
                <w:color w:val="000000" w:themeColor="text1"/>
                <w:spacing w:val="5"/>
                <w:szCs w:val="21"/>
              </w:rPr>
              <w:t>）</w:t>
            </w:r>
          </w:p>
        </w:tc>
        <w:tc>
          <w:tcPr>
            <w:tcW w:w="572" w:type="pct"/>
            <w:vAlign w:val="center"/>
          </w:tcPr>
          <w:p>
            <w:pPr>
              <w:widowControl/>
              <w:spacing w:line="24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楼面地价最高值（元/m</w:t>
            </w:r>
            <w:r>
              <w:rPr>
                <w:rFonts w:hint="eastAsia" w:ascii="仿宋" w:hAnsi="仿宋" w:eastAsia="仿宋" w:cs="Times New Roman"/>
                <w:b/>
                <w:color w:val="000000" w:themeColor="text1"/>
                <w:spacing w:val="5"/>
                <w:szCs w:val="21"/>
                <w:vertAlign w:val="superscript"/>
              </w:rPr>
              <w:t>2</w:t>
            </w:r>
            <w:r>
              <w:rPr>
                <w:rFonts w:hint="eastAsia" w:ascii="仿宋" w:hAnsi="仿宋" w:eastAsia="仿宋" w:cs="Times New Roman"/>
                <w:b/>
                <w:color w:val="000000" w:themeColor="text1"/>
                <w:spacing w:val="5"/>
                <w:szCs w:val="21"/>
              </w:rPr>
              <w:t>）</w:t>
            </w:r>
          </w:p>
        </w:tc>
        <w:tc>
          <w:tcPr>
            <w:tcW w:w="589" w:type="pct"/>
            <w:vAlign w:val="center"/>
          </w:tcPr>
          <w:p>
            <w:pPr>
              <w:widowControl/>
              <w:spacing w:line="24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地面地价最低值（元/m</w:t>
            </w:r>
            <w:r>
              <w:rPr>
                <w:rFonts w:hint="eastAsia" w:ascii="仿宋" w:hAnsi="仿宋" w:eastAsia="仿宋" w:cs="Times New Roman"/>
                <w:b/>
                <w:color w:val="000000" w:themeColor="text1"/>
                <w:spacing w:val="5"/>
                <w:szCs w:val="21"/>
                <w:vertAlign w:val="superscript"/>
              </w:rPr>
              <w:t>2</w:t>
            </w:r>
            <w:r>
              <w:rPr>
                <w:rFonts w:hint="eastAsia" w:ascii="仿宋" w:hAnsi="仿宋" w:eastAsia="仿宋" w:cs="Times New Roman"/>
                <w:b/>
                <w:color w:val="000000" w:themeColor="text1"/>
                <w:spacing w:val="5"/>
                <w:szCs w:val="21"/>
              </w:rPr>
              <w:t>）</w:t>
            </w:r>
          </w:p>
        </w:tc>
        <w:tc>
          <w:tcPr>
            <w:tcW w:w="600" w:type="pct"/>
            <w:vAlign w:val="center"/>
          </w:tcPr>
          <w:p>
            <w:pPr>
              <w:widowControl/>
              <w:spacing w:line="24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楼面地价最低值（元/m</w:t>
            </w:r>
            <w:r>
              <w:rPr>
                <w:rFonts w:hint="eastAsia" w:ascii="仿宋" w:hAnsi="仿宋" w:eastAsia="仿宋" w:cs="Times New Roman"/>
                <w:b/>
                <w:color w:val="000000" w:themeColor="text1"/>
                <w:spacing w:val="5"/>
                <w:szCs w:val="21"/>
                <w:vertAlign w:val="superscript"/>
              </w:rPr>
              <w:t>2</w:t>
            </w:r>
            <w:r>
              <w:rPr>
                <w:rFonts w:hint="eastAsia" w:ascii="仿宋" w:hAnsi="仿宋" w:eastAsia="仿宋" w:cs="Times New Roman"/>
                <w:b/>
                <w:color w:val="000000" w:themeColor="text1"/>
                <w:spacing w:val="5"/>
                <w:szCs w:val="21"/>
              </w:rPr>
              <w:t>）</w:t>
            </w:r>
          </w:p>
        </w:tc>
        <w:tc>
          <w:tcPr>
            <w:tcW w:w="592" w:type="pct"/>
            <w:vAlign w:val="center"/>
          </w:tcPr>
          <w:p>
            <w:pPr>
              <w:widowControl/>
              <w:spacing w:line="24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地面地价平均值（元/m</w:t>
            </w:r>
            <w:r>
              <w:rPr>
                <w:rFonts w:hint="eastAsia" w:ascii="仿宋" w:hAnsi="仿宋" w:eastAsia="仿宋" w:cs="Times New Roman"/>
                <w:b/>
                <w:color w:val="000000" w:themeColor="text1"/>
                <w:spacing w:val="5"/>
                <w:szCs w:val="21"/>
                <w:vertAlign w:val="superscript"/>
              </w:rPr>
              <w:t>2</w:t>
            </w:r>
            <w:r>
              <w:rPr>
                <w:rFonts w:hint="eastAsia" w:ascii="仿宋" w:hAnsi="仿宋" w:eastAsia="仿宋" w:cs="Times New Roman"/>
                <w:b/>
                <w:color w:val="000000" w:themeColor="text1"/>
                <w:spacing w:val="5"/>
                <w:szCs w:val="21"/>
              </w:rPr>
              <w:t>）</w:t>
            </w:r>
          </w:p>
        </w:tc>
        <w:tc>
          <w:tcPr>
            <w:tcW w:w="573" w:type="pct"/>
            <w:vAlign w:val="center"/>
          </w:tcPr>
          <w:p>
            <w:pPr>
              <w:widowControl/>
              <w:spacing w:line="24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楼面地价平均值（元/m</w:t>
            </w:r>
            <w:r>
              <w:rPr>
                <w:rFonts w:hint="eastAsia" w:ascii="仿宋" w:hAnsi="仿宋" w:eastAsia="仿宋" w:cs="Times New Roman"/>
                <w:b/>
                <w:color w:val="000000" w:themeColor="text1"/>
                <w:spacing w:val="5"/>
                <w:szCs w:val="21"/>
                <w:vertAlign w:val="superscript"/>
              </w:rPr>
              <w:t>2</w:t>
            </w:r>
            <w:r>
              <w:rPr>
                <w:rFonts w:hint="eastAsia" w:ascii="仿宋" w:hAnsi="仿宋" w:eastAsia="仿宋" w:cs="Times New Roman"/>
                <w:b/>
                <w:color w:val="000000" w:themeColor="text1"/>
                <w:spacing w:val="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一、商服用地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w:t>
            </w:r>
          </w:p>
        </w:tc>
        <w:tc>
          <w:tcPr>
            <w:tcW w:w="593"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2763</w:t>
            </w:r>
          </w:p>
        </w:tc>
        <w:tc>
          <w:tcPr>
            <w:tcW w:w="57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1680</w:t>
            </w:r>
          </w:p>
        </w:tc>
        <w:tc>
          <w:tcPr>
            <w:tcW w:w="589"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2210</w:t>
            </w:r>
          </w:p>
        </w:tc>
        <w:tc>
          <w:tcPr>
            <w:tcW w:w="600"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921</w:t>
            </w:r>
          </w:p>
        </w:tc>
        <w:tc>
          <w:tcPr>
            <w:tcW w:w="59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2553</w:t>
            </w:r>
          </w:p>
        </w:tc>
        <w:tc>
          <w:tcPr>
            <w:tcW w:w="573"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其中：旅馆用地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2688</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1680</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2688</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1680</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2688</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其他商服用地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2763</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921</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2210</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921</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2486</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921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二、商住混合用地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11</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14213</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2054</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2407</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485</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3767</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1243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三、住宅用地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13</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2272</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1462</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956</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454</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1470</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w:t>
            </w:r>
            <w:r>
              <w:rPr>
                <w:rFonts w:hint="eastAsia" w:ascii="仿宋" w:hAnsi="仿宋" w:eastAsia="仿宋"/>
                <w:color w:val="000000" w:themeColor="text1"/>
                <w:szCs w:val="21"/>
              </w:rPr>
              <w:t>城镇住宅用地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12</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2272</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1462</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956</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454</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1509</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廉租住房用地（划拨）</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1006</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olor w:val="000000" w:themeColor="text1"/>
                <w:szCs w:val="21"/>
              </w:rPr>
              <w:t>1006</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olor w:val="000000" w:themeColor="text1"/>
                <w:szCs w:val="21"/>
              </w:rPr>
              <w:t>1006</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四、</w:t>
            </w:r>
            <w:r>
              <w:rPr>
                <w:rFonts w:hint="eastAsia" w:ascii="仿宋" w:hAnsi="仿宋" w:eastAsia="仿宋"/>
                <w:color w:val="000000" w:themeColor="text1"/>
                <w:szCs w:val="21"/>
              </w:rPr>
              <w:t>工矿仓储用地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412</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400</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406</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w:t>
            </w:r>
            <w:r>
              <w:rPr>
                <w:rFonts w:hint="eastAsia" w:ascii="仿宋" w:hAnsi="仿宋" w:eastAsia="仿宋"/>
                <w:color w:val="000000" w:themeColor="text1"/>
                <w:szCs w:val="21"/>
              </w:rPr>
              <w:t>工业用地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412</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400</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406</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五、公共管理与公共服务用地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w:t>
            </w:r>
          </w:p>
        </w:tc>
        <w:tc>
          <w:tcPr>
            <w:tcW w:w="59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503</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335</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433</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w:t>
            </w:r>
            <w:r>
              <w:rPr>
                <w:rFonts w:hint="eastAsia" w:ascii="仿宋" w:hAnsi="仿宋" w:eastAsia="仿宋"/>
                <w:color w:val="000000" w:themeColor="text1"/>
                <w:szCs w:val="21"/>
              </w:rPr>
              <w:t>文化设施用地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59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503</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503</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503</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公用设施用地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335</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335</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335</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2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机关团体用地</w:t>
            </w:r>
          </w:p>
        </w:tc>
        <w:tc>
          <w:tcPr>
            <w:tcW w:w="45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593"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463</w:t>
            </w:r>
          </w:p>
        </w:tc>
        <w:tc>
          <w:tcPr>
            <w:tcW w:w="57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89"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463</w:t>
            </w:r>
          </w:p>
        </w:tc>
        <w:tc>
          <w:tcPr>
            <w:tcW w:w="600"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c>
          <w:tcPr>
            <w:tcW w:w="59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463</w:t>
            </w:r>
          </w:p>
        </w:tc>
        <w:tc>
          <w:tcPr>
            <w:tcW w:w="573"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w:t>
            </w:r>
          </w:p>
        </w:tc>
      </w:tr>
    </w:tbl>
    <w:p>
      <w:pPr>
        <w:spacing w:line="360" w:lineRule="auto"/>
        <w:ind w:firstLine="480" w:firstLineChars="200"/>
        <w:rPr>
          <w:rFonts w:ascii="仿宋" w:hAnsi="仿宋" w:eastAsia="仿宋" w:cs="宋体"/>
          <w:b/>
          <w:bCs/>
          <w:color w:val="000000" w:themeColor="text1"/>
          <w:kern w:val="0"/>
          <w:sz w:val="24"/>
          <w:szCs w:val="24"/>
        </w:rPr>
      </w:pPr>
      <w:bookmarkStart w:id="83" w:name="_Toc42179589"/>
    </w:p>
    <w:p>
      <w:pPr>
        <w:spacing w:line="360" w:lineRule="auto"/>
        <w:ind w:firstLine="480" w:firstLineChars="200"/>
        <w:rPr>
          <w:rFonts w:ascii="仿宋" w:hAnsi="仿宋" w:eastAsia="仿宋" w:cs="宋体"/>
          <w:b/>
          <w:bCs/>
          <w:color w:val="000000" w:themeColor="text1"/>
          <w:kern w:val="0"/>
          <w:sz w:val="24"/>
          <w:szCs w:val="24"/>
        </w:rPr>
      </w:pPr>
    </w:p>
    <w:p>
      <w:pPr>
        <w:spacing w:line="360" w:lineRule="auto"/>
        <w:ind w:firstLine="480" w:firstLineChars="200"/>
        <w:rPr>
          <w:rFonts w:ascii="仿宋" w:hAnsi="仿宋" w:eastAsia="仿宋" w:cs="宋体"/>
          <w:b/>
          <w:bCs/>
          <w:color w:val="000000" w:themeColor="text1"/>
          <w:kern w:val="0"/>
          <w:sz w:val="24"/>
          <w:szCs w:val="24"/>
        </w:rPr>
      </w:pPr>
    </w:p>
    <w:p>
      <w:pPr>
        <w:spacing w:line="360" w:lineRule="auto"/>
        <w:ind w:firstLine="480" w:firstLineChars="200"/>
        <w:rPr>
          <w:rFonts w:ascii="仿宋" w:hAnsi="仿宋" w:eastAsia="仿宋" w:cs="宋体"/>
          <w:b/>
          <w:bCs/>
          <w:color w:val="000000" w:themeColor="text1"/>
          <w:kern w:val="0"/>
          <w:sz w:val="24"/>
          <w:szCs w:val="24"/>
        </w:rPr>
      </w:pPr>
      <w:r>
        <w:rPr>
          <w:rFonts w:hint="eastAsia" w:ascii="仿宋" w:hAnsi="仿宋" w:eastAsia="仿宋" w:cs="宋体"/>
          <w:b/>
          <w:bCs/>
          <w:color w:val="000000" w:themeColor="text1"/>
          <w:kern w:val="0"/>
          <w:sz w:val="24"/>
          <w:szCs w:val="24"/>
        </w:rPr>
        <w:t>5、标定地价与现行基准地价的对比</w:t>
      </w:r>
    </w:p>
    <w:p>
      <w:pPr>
        <w:spacing w:line="360" w:lineRule="auto"/>
        <w:ind w:firstLine="500" w:firstLineChars="200"/>
        <w:jc w:val="center"/>
        <w:rPr>
          <w:rFonts w:ascii="仿宋" w:hAnsi="仿宋" w:eastAsia="仿宋" w:cs="Times New Roman"/>
          <w:color w:val="000000" w:themeColor="text1"/>
          <w:spacing w:val="5"/>
          <w:sz w:val="28"/>
          <w:szCs w:val="28"/>
        </w:rPr>
      </w:pPr>
      <w:r>
        <w:rPr>
          <w:rFonts w:hint="eastAsia" w:ascii="仿宋" w:hAnsi="仿宋" w:eastAsia="仿宋" w:cs="Times New Roman"/>
          <w:b/>
          <w:color w:val="000000" w:themeColor="text1"/>
          <w:spacing w:val="5"/>
          <w:sz w:val="24"/>
          <w:szCs w:val="24"/>
        </w:rPr>
        <w:t>表6-3  江川区标定地价测算结果与现行基准地价对比表</w:t>
      </w:r>
    </w:p>
    <w:tbl>
      <w:tblPr>
        <w:tblStyle w:val="20"/>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2"/>
        <w:gridCol w:w="966"/>
        <w:gridCol w:w="1143"/>
        <w:gridCol w:w="1131"/>
        <w:gridCol w:w="1136"/>
        <w:gridCol w:w="1353"/>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用地类型</w:t>
            </w:r>
          </w:p>
        </w:tc>
        <w:tc>
          <w:tcPr>
            <w:tcW w:w="551" w:type="pct"/>
            <w:vAlign w:val="center"/>
          </w:tcPr>
          <w:p>
            <w:pPr>
              <w:widowControl/>
              <w:spacing w:line="20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标准宗地数量（宗）</w:t>
            </w:r>
          </w:p>
        </w:tc>
        <w:tc>
          <w:tcPr>
            <w:tcW w:w="652" w:type="pct"/>
            <w:vAlign w:val="center"/>
          </w:tcPr>
          <w:p>
            <w:pPr>
              <w:widowControl/>
              <w:spacing w:line="20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地面地价最高值（元/m</w:t>
            </w:r>
            <w:r>
              <w:rPr>
                <w:rFonts w:hint="eastAsia" w:ascii="仿宋" w:hAnsi="仿宋" w:eastAsia="仿宋" w:cs="Times New Roman"/>
                <w:b/>
                <w:color w:val="000000" w:themeColor="text1"/>
                <w:spacing w:val="5"/>
                <w:szCs w:val="21"/>
                <w:vertAlign w:val="superscript"/>
              </w:rPr>
              <w:t>2</w:t>
            </w:r>
            <w:r>
              <w:rPr>
                <w:rFonts w:hint="eastAsia" w:ascii="仿宋" w:hAnsi="仿宋" w:eastAsia="仿宋" w:cs="Times New Roman"/>
                <w:b/>
                <w:color w:val="000000" w:themeColor="text1"/>
                <w:spacing w:val="5"/>
                <w:szCs w:val="21"/>
              </w:rPr>
              <w:t>）</w:t>
            </w:r>
          </w:p>
        </w:tc>
        <w:tc>
          <w:tcPr>
            <w:tcW w:w="645" w:type="pct"/>
            <w:vAlign w:val="center"/>
          </w:tcPr>
          <w:p>
            <w:pPr>
              <w:widowControl/>
              <w:spacing w:line="20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地面地价最低值（元/m</w:t>
            </w:r>
            <w:r>
              <w:rPr>
                <w:rFonts w:hint="eastAsia" w:ascii="仿宋" w:hAnsi="仿宋" w:eastAsia="仿宋" w:cs="Times New Roman"/>
                <w:b/>
                <w:color w:val="000000" w:themeColor="text1"/>
                <w:spacing w:val="5"/>
                <w:szCs w:val="21"/>
                <w:vertAlign w:val="superscript"/>
              </w:rPr>
              <w:t>2</w:t>
            </w:r>
            <w:r>
              <w:rPr>
                <w:rFonts w:hint="eastAsia" w:ascii="仿宋" w:hAnsi="仿宋" w:eastAsia="仿宋" w:cs="Times New Roman"/>
                <w:b/>
                <w:color w:val="000000" w:themeColor="text1"/>
                <w:spacing w:val="5"/>
                <w:szCs w:val="21"/>
              </w:rPr>
              <w:t>）</w:t>
            </w:r>
          </w:p>
        </w:tc>
        <w:tc>
          <w:tcPr>
            <w:tcW w:w="648" w:type="pct"/>
            <w:vAlign w:val="center"/>
          </w:tcPr>
          <w:p>
            <w:pPr>
              <w:widowControl/>
              <w:spacing w:line="20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地面地价平均值（元/m</w:t>
            </w:r>
            <w:r>
              <w:rPr>
                <w:rFonts w:hint="eastAsia" w:ascii="仿宋" w:hAnsi="仿宋" w:eastAsia="仿宋" w:cs="Times New Roman"/>
                <w:b/>
                <w:color w:val="000000" w:themeColor="text1"/>
                <w:spacing w:val="5"/>
                <w:szCs w:val="21"/>
                <w:vertAlign w:val="superscript"/>
              </w:rPr>
              <w:t>2</w:t>
            </w:r>
            <w:r>
              <w:rPr>
                <w:rFonts w:hint="eastAsia" w:ascii="仿宋" w:hAnsi="仿宋" w:eastAsia="仿宋" w:cs="Times New Roman"/>
                <w:b/>
                <w:color w:val="000000" w:themeColor="text1"/>
                <w:spacing w:val="5"/>
                <w:szCs w:val="21"/>
              </w:rPr>
              <w:t>）</w:t>
            </w:r>
          </w:p>
        </w:tc>
        <w:tc>
          <w:tcPr>
            <w:tcW w:w="772" w:type="pct"/>
            <w:vAlign w:val="center"/>
          </w:tcPr>
          <w:p>
            <w:pPr>
              <w:widowControl/>
              <w:spacing w:line="20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基准地价最高级别值</w:t>
            </w:r>
          </w:p>
        </w:tc>
        <w:tc>
          <w:tcPr>
            <w:tcW w:w="651" w:type="pct"/>
            <w:vAlign w:val="center"/>
          </w:tcPr>
          <w:p>
            <w:pPr>
              <w:widowControl/>
              <w:spacing w:line="200" w:lineRule="exact"/>
              <w:jc w:val="center"/>
              <w:rPr>
                <w:rFonts w:ascii="仿宋" w:hAnsi="仿宋" w:eastAsia="仿宋" w:cs="Times New Roman"/>
                <w:b/>
                <w:color w:val="000000" w:themeColor="text1"/>
                <w:spacing w:val="5"/>
                <w:szCs w:val="21"/>
              </w:rPr>
            </w:pPr>
            <w:r>
              <w:rPr>
                <w:rFonts w:hint="eastAsia" w:ascii="仿宋" w:hAnsi="仿宋" w:eastAsia="仿宋" w:cs="Times New Roman"/>
                <w:b/>
                <w:color w:val="000000" w:themeColor="text1"/>
                <w:spacing w:val="5"/>
                <w:szCs w:val="21"/>
              </w:rPr>
              <w:t>基准地价最低级别值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一、商服用地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w:t>
            </w:r>
          </w:p>
        </w:tc>
        <w:tc>
          <w:tcPr>
            <w:tcW w:w="652"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2763</w:t>
            </w:r>
          </w:p>
        </w:tc>
        <w:tc>
          <w:tcPr>
            <w:tcW w:w="645"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2210</w:t>
            </w:r>
          </w:p>
        </w:tc>
        <w:tc>
          <w:tcPr>
            <w:tcW w:w="648"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2553</w:t>
            </w:r>
          </w:p>
        </w:tc>
        <w:tc>
          <w:tcPr>
            <w:tcW w:w="772" w:type="pct"/>
            <w:vMerge w:val="restar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2000</w:t>
            </w:r>
          </w:p>
        </w:tc>
        <w:tc>
          <w:tcPr>
            <w:tcW w:w="651" w:type="pct"/>
            <w:vMerge w:val="restar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其中：旅馆用地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2688</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2688</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2688</w:t>
            </w:r>
          </w:p>
        </w:tc>
        <w:tc>
          <w:tcPr>
            <w:tcW w:w="772" w:type="pct"/>
            <w:vMerge w:val="continue"/>
            <w:vAlign w:val="center"/>
          </w:tcPr>
          <w:p>
            <w:pPr>
              <w:spacing w:line="200" w:lineRule="exact"/>
              <w:jc w:val="center"/>
              <w:rPr>
                <w:rFonts w:ascii="仿宋" w:hAnsi="仿宋" w:eastAsia="仿宋" w:cs="Times New Roman"/>
                <w:color w:val="000000" w:themeColor="text1"/>
                <w:spacing w:val="5"/>
                <w:szCs w:val="21"/>
              </w:rPr>
            </w:pPr>
          </w:p>
        </w:tc>
        <w:tc>
          <w:tcPr>
            <w:tcW w:w="651" w:type="pct"/>
            <w:vMerge w:val="continue"/>
            <w:vAlign w:val="center"/>
          </w:tcPr>
          <w:p>
            <w:pPr>
              <w:spacing w:line="200" w:lineRule="exact"/>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其他商服用地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2763</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2210</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2486</w:t>
            </w:r>
          </w:p>
        </w:tc>
        <w:tc>
          <w:tcPr>
            <w:tcW w:w="772" w:type="pct"/>
            <w:vMerge w:val="continue"/>
            <w:vAlign w:val="center"/>
          </w:tcPr>
          <w:p>
            <w:pPr>
              <w:spacing w:line="200" w:lineRule="exact"/>
              <w:jc w:val="center"/>
              <w:rPr>
                <w:rFonts w:ascii="仿宋" w:hAnsi="仿宋" w:eastAsia="仿宋" w:cs="Times New Roman"/>
                <w:color w:val="000000" w:themeColor="text1"/>
                <w:spacing w:val="5"/>
                <w:szCs w:val="21"/>
              </w:rPr>
            </w:pPr>
          </w:p>
        </w:tc>
        <w:tc>
          <w:tcPr>
            <w:tcW w:w="651" w:type="pct"/>
            <w:vMerge w:val="continue"/>
            <w:vAlign w:val="center"/>
          </w:tcPr>
          <w:p>
            <w:pPr>
              <w:spacing w:line="200" w:lineRule="exact"/>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二、商住混合用地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11</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14213</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2407</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3767</w:t>
            </w:r>
          </w:p>
        </w:tc>
        <w:tc>
          <w:tcPr>
            <w:tcW w:w="772" w:type="pct"/>
            <w:vAlign w:val="center"/>
          </w:tcPr>
          <w:p>
            <w:pPr>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商服：2000</w:t>
            </w:r>
          </w:p>
          <w:p>
            <w:pPr>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住宅：1500</w:t>
            </w:r>
          </w:p>
        </w:tc>
        <w:tc>
          <w:tcPr>
            <w:tcW w:w="651" w:type="pct"/>
            <w:vAlign w:val="center"/>
          </w:tcPr>
          <w:p>
            <w:pPr>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商服：530</w:t>
            </w:r>
          </w:p>
          <w:p>
            <w:pPr>
              <w:spacing w:line="200" w:lineRule="exact"/>
              <w:jc w:val="center"/>
              <w:rPr>
                <w:rFonts w:ascii="仿宋" w:hAnsi="仿宋" w:eastAsia="仿宋"/>
                <w:color w:val="000000" w:themeColor="text1"/>
                <w:szCs w:val="21"/>
              </w:rPr>
            </w:pPr>
            <w:r>
              <w:rPr>
                <w:rFonts w:hint="eastAsia" w:ascii="仿宋" w:hAnsi="仿宋" w:eastAsia="仿宋" w:cs="Times New Roman"/>
                <w:color w:val="000000" w:themeColor="text1"/>
                <w:spacing w:val="5"/>
                <w:szCs w:val="21"/>
              </w:rPr>
              <w:t>住宅：480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三、住宅用地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13</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2272</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956</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1470</w:t>
            </w:r>
          </w:p>
        </w:tc>
        <w:tc>
          <w:tcPr>
            <w:tcW w:w="772" w:type="pct"/>
            <w:vMerge w:val="restart"/>
            <w:vAlign w:val="center"/>
          </w:tcPr>
          <w:p>
            <w:pPr>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1500</w:t>
            </w:r>
          </w:p>
        </w:tc>
        <w:tc>
          <w:tcPr>
            <w:tcW w:w="651" w:type="pct"/>
            <w:vMerge w:val="restart"/>
            <w:vAlign w:val="center"/>
          </w:tcPr>
          <w:p>
            <w:pPr>
              <w:spacing w:line="200" w:lineRule="exact"/>
              <w:jc w:val="center"/>
              <w:rPr>
                <w:rFonts w:ascii="仿宋" w:hAnsi="仿宋" w:eastAsia="仿宋"/>
                <w:color w:val="000000" w:themeColor="text1"/>
                <w:szCs w:val="21"/>
              </w:rPr>
            </w:pPr>
            <w:r>
              <w:rPr>
                <w:rFonts w:hint="eastAsia" w:ascii="仿宋" w:hAnsi="仿宋" w:eastAsia="仿宋"/>
                <w:color w:val="000000" w:themeColor="text1"/>
                <w:szCs w:val="2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w:t>
            </w:r>
            <w:r>
              <w:rPr>
                <w:rFonts w:hint="eastAsia" w:ascii="仿宋" w:hAnsi="仿宋" w:eastAsia="仿宋"/>
                <w:color w:val="000000" w:themeColor="text1"/>
                <w:szCs w:val="21"/>
              </w:rPr>
              <w:t>城镇住宅用地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12</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2272</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956</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1509</w:t>
            </w:r>
          </w:p>
        </w:tc>
        <w:tc>
          <w:tcPr>
            <w:tcW w:w="772" w:type="pct"/>
            <w:vMerge w:val="continue"/>
            <w:vAlign w:val="center"/>
          </w:tcPr>
          <w:p>
            <w:pPr>
              <w:spacing w:line="200" w:lineRule="exact"/>
              <w:jc w:val="center"/>
              <w:rPr>
                <w:rFonts w:ascii="仿宋" w:hAnsi="仿宋" w:eastAsia="仿宋" w:cs="Times New Roman"/>
                <w:color w:val="000000" w:themeColor="text1"/>
                <w:spacing w:val="5"/>
                <w:szCs w:val="21"/>
              </w:rPr>
            </w:pPr>
          </w:p>
        </w:tc>
        <w:tc>
          <w:tcPr>
            <w:tcW w:w="651" w:type="pct"/>
            <w:vMerge w:val="continue"/>
            <w:vAlign w:val="center"/>
          </w:tcPr>
          <w:p>
            <w:pPr>
              <w:spacing w:line="200" w:lineRule="exact"/>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廉租住房用地（划拨）</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1006</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olor w:val="000000" w:themeColor="text1"/>
                <w:szCs w:val="21"/>
              </w:rPr>
              <w:t>1006</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olor w:val="000000" w:themeColor="text1"/>
                <w:szCs w:val="21"/>
              </w:rPr>
              <w:t>1006</w:t>
            </w:r>
          </w:p>
        </w:tc>
        <w:tc>
          <w:tcPr>
            <w:tcW w:w="772" w:type="pct"/>
            <w:vMerge w:val="continue"/>
            <w:vAlign w:val="center"/>
          </w:tcPr>
          <w:p>
            <w:pPr>
              <w:spacing w:line="200" w:lineRule="exact"/>
              <w:jc w:val="center"/>
              <w:rPr>
                <w:rFonts w:ascii="仿宋" w:hAnsi="仿宋" w:eastAsia="仿宋"/>
                <w:color w:val="000000" w:themeColor="text1"/>
                <w:szCs w:val="21"/>
              </w:rPr>
            </w:pPr>
          </w:p>
        </w:tc>
        <w:tc>
          <w:tcPr>
            <w:tcW w:w="651" w:type="pct"/>
            <w:vMerge w:val="continue"/>
            <w:vAlign w:val="center"/>
          </w:tcPr>
          <w:p>
            <w:pPr>
              <w:spacing w:line="200" w:lineRule="exact"/>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四、</w:t>
            </w:r>
            <w:r>
              <w:rPr>
                <w:rFonts w:hint="eastAsia" w:ascii="仿宋" w:hAnsi="仿宋" w:eastAsia="仿宋"/>
                <w:color w:val="000000" w:themeColor="text1"/>
                <w:szCs w:val="21"/>
              </w:rPr>
              <w:t>工矿仓储用地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412</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400</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406</w:t>
            </w:r>
          </w:p>
        </w:tc>
        <w:tc>
          <w:tcPr>
            <w:tcW w:w="772" w:type="pct"/>
            <w:vMerge w:val="restart"/>
            <w:vAlign w:val="center"/>
          </w:tcPr>
          <w:p>
            <w:pPr>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522</w:t>
            </w:r>
          </w:p>
        </w:tc>
        <w:tc>
          <w:tcPr>
            <w:tcW w:w="651" w:type="pct"/>
            <w:vMerge w:val="restart"/>
            <w:vAlign w:val="center"/>
          </w:tcPr>
          <w:p>
            <w:pPr>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w:t>
            </w:r>
            <w:r>
              <w:rPr>
                <w:rFonts w:hint="eastAsia" w:ascii="仿宋" w:hAnsi="仿宋" w:eastAsia="仿宋"/>
                <w:color w:val="000000" w:themeColor="text1"/>
                <w:szCs w:val="21"/>
              </w:rPr>
              <w:t>工业用地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412</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400</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406</w:t>
            </w:r>
          </w:p>
        </w:tc>
        <w:tc>
          <w:tcPr>
            <w:tcW w:w="772" w:type="pct"/>
            <w:vMerge w:val="continue"/>
            <w:vAlign w:val="center"/>
          </w:tcPr>
          <w:p>
            <w:pPr>
              <w:spacing w:line="200" w:lineRule="exact"/>
              <w:jc w:val="center"/>
              <w:rPr>
                <w:rFonts w:ascii="仿宋" w:hAnsi="仿宋" w:eastAsia="仿宋"/>
                <w:color w:val="000000" w:themeColor="text1"/>
                <w:szCs w:val="21"/>
              </w:rPr>
            </w:pPr>
          </w:p>
        </w:tc>
        <w:tc>
          <w:tcPr>
            <w:tcW w:w="651" w:type="pct"/>
            <w:vMerge w:val="continue"/>
            <w:vAlign w:val="center"/>
          </w:tcPr>
          <w:p>
            <w:pPr>
              <w:spacing w:line="200" w:lineRule="exact"/>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五、公共管理与公共服务用地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w:t>
            </w:r>
          </w:p>
        </w:tc>
        <w:tc>
          <w:tcPr>
            <w:tcW w:w="65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503</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335</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433</w:t>
            </w:r>
          </w:p>
        </w:tc>
        <w:tc>
          <w:tcPr>
            <w:tcW w:w="772" w:type="pct"/>
            <w:vMerge w:val="restart"/>
            <w:vAlign w:val="center"/>
          </w:tcPr>
          <w:p>
            <w:pPr>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913</w:t>
            </w:r>
          </w:p>
        </w:tc>
        <w:tc>
          <w:tcPr>
            <w:tcW w:w="651" w:type="pct"/>
            <w:vMerge w:val="restart"/>
            <w:vAlign w:val="center"/>
          </w:tcPr>
          <w:p>
            <w:pPr>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其中：</w:t>
            </w:r>
            <w:r>
              <w:rPr>
                <w:rFonts w:hint="eastAsia" w:ascii="仿宋" w:hAnsi="仿宋" w:eastAsia="仿宋"/>
                <w:color w:val="000000" w:themeColor="text1"/>
                <w:szCs w:val="21"/>
              </w:rPr>
              <w:t>文化设施用地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652"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503</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503</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503</w:t>
            </w:r>
          </w:p>
        </w:tc>
        <w:tc>
          <w:tcPr>
            <w:tcW w:w="772" w:type="pct"/>
            <w:vMerge w:val="continue"/>
            <w:vAlign w:val="center"/>
          </w:tcPr>
          <w:p>
            <w:pPr>
              <w:spacing w:line="200" w:lineRule="exact"/>
              <w:jc w:val="center"/>
              <w:rPr>
                <w:rFonts w:ascii="仿宋" w:hAnsi="仿宋" w:eastAsia="仿宋" w:cs="Times New Roman"/>
                <w:color w:val="000000" w:themeColor="text1"/>
                <w:spacing w:val="5"/>
                <w:szCs w:val="21"/>
              </w:rPr>
            </w:pPr>
          </w:p>
        </w:tc>
        <w:tc>
          <w:tcPr>
            <w:tcW w:w="651" w:type="pct"/>
            <w:vMerge w:val="continue"/>
            <w:vAlign w:val="center"/>
          </w:tcPr>
          <w:p>
            <w:pPr>
              <w:spacing w:line="200" w:lineRule="exact"/>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公用设施用地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335</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335</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335</w:t>
            </w:r>
          </w:p>
        </w:tc>
        <w:tc>
          <w:tcPr>
            <w:tcW w:w="772" w:type="pct"/>
            <w:vMerge w:val="continue"/>
            <w:vAlign w:val="center"/>
          </w:tcPr>
          <w:p>
            <w:pPr>
              <w:spacing w:line="200" w:lineRule="exact"/>
              <w:jc w:val="center"/>
              <w:rPr>
                <w:rFonts w:ascii="仿宋" w:hAnsi="仿宋" w:eastAsia="仿宋" w:cs="Times New Roman"/>
                <w:color w:val="000000" w:themeColor="text1"/>
                <w:spacing w:val="5"/>
                <w:szCs w:val="21"/>
              </w:rPr>
            </w:pPr>
          </w:p>
        </w:tc>
        <w:tc>
          <w:tcPr>
            <w:tcW w:w="651" w:type="pct"/>
            <w:vMerge w:val="continue"/>
            <w:vAlign w:val="center"/>
          </w:tcPr>
          <w:p>
            <w:pPr>
              <w:spacing w:line="200" w:lineRule="exact"/>
              <w:jc w:val="center"/>
              <w:rPr>
                <w:rFonts w:ascii="仿宋" w:hAnsi="仿宋" w:eastAsia="仿宋"/>
                <w:color w:val="000000" w:themeColor="text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pct"/>
            <w:vAlign w:val="center"/>
          </w:tcPr>
          <w:p>
            <w:pPr>
              <w:widowControl/>
              <w:spacing w:line="20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机关团体用地</w:t>
            </w:r>
          </w:p>
        </w:tc>
        <w:tc>
          <w:tcPr>
            <w:tcW w:w="551" w:type="pct"/>
            <w:vAlign w:val="center"/>
          </w:tcPr>
          <w:p>
            <w:pPr>
              <w:widowControl/>
              <w:spacing w:line="240" w:lineRule="exact"/>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1</w:t>
            </w:r>
          </w:p>
        </w:tc>
        <w:tc>
          <w:tcPr>
            <w:tcW w:w="652" w:type="pct"/>
            <w:vAlign w:val="center"/>
          </w:tcPr>
          <w:p>
            <w:pPr>
              <w:jc w:val="center"/>
              <w:rPr>
                <w:rFonts w:ascii="仿宋" w:hAnsi="仿宋" w:eastAsia="仿宋"/>
                <w:color w:val="000000" w:themeColor="text1"/>
                <w:szCs w:val="21"/>
              </w:rPr>
            </w:pPr>
            <w:r>
              <w:rPr>
                <w:rFonts w:hint="eastAsia" w:ascii="仿宋" w:hAnsi="仿宋" w:eastAsia="仿宋"/>
                <w:color w:val="000000" w:themeColor="text1"/>
                <w:szCs w:val="21"/>
              </w:rPr>
              <w:t>463</w:t>
            </w:r>
          </w:p>
        </w:tc>
        <w:tc>
          <w:tcPr>
            <w:tcW w:w="645"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463</w:t>
            </w:r>
          </w:p>
        </w:tc>
        <w:tc>
          <w:tcPr>
            <w:tcW w:w="648" w:type="pct"/>
            <w:vAlign w:val="center"/>
          </w:tcPr>
          <w:p>
            <w:pPr>
              <w:jc w:val="center"/>
              <w:rPr>
                <w:rFonts w:ascii="仿宋" w:hAnsi="仿宋" w:eastAsia="仿宋" w:cs="Times New Roman"/>
                <w:color w:val="000000" w:themeColor="text1"/>
                <w:spacing w:val="5"/>
                <w:szCs w:val="21"/>
              </w:rPr>
            </w:pPr>
            <w:r>
              <w:rPr>
                <w:rFonts w:hint="eastAsia" w:ascii="仿宋" w:hAnsi="仿宋" w:eastAsia="仿宋" w:cs="Times New Roman"/>
                <w:color w:val="000000" w:themeColor="text1"/>
                <w:spacing w:val="5"/>
                <w:szCs w:val="21"/>
              </w:rPr>
              <w:t>463</w:t>
            </w:r>
          </w:p>
        </w:tc>
        <w:tc>
          <w:tcPr>
            <w:tcW w:w="772" w:type="pct"/>
            <w:vMerge w:val="continue"/>
            <w:vAlign w:val="center"/>
          </w:tcPr>
          <w:p>
            <w:pPr>
              <w:spacing w:line="200" w:lineRule="exact"/>
              <w:jc w:val="center"/>
              <w:rPr>
                <w:rFonts w:ascii="仿宋" w:hAnsi="仿宋" w:eastAsia="仿宋" w:cs="Times New Roman"/>
                <w:color w:val="000000" w:themeColor="text1"/>
                <w:spacing w:val="5"/>
                <w:szCs w:val="21"/>
              </w:rPr>
            </w:pPr>
          </w:p>
        </w:tc>
        <w:tc>
          <w:tcPr>
            <w:tcW w:w="651" w:type="pct"/>
            <w:vMerge w:val="continue"/>
            <w:vAlign w:val="center"/>
          </w:tcPr>
          <w:p>
            <w:pPr>
              <w:spacing w:line="200" w:lineRule="exact"/>
              <w:jc w:val="center"/>
              <w:rPr>
                <w:rFonts w:ascii="仿宋" w:hAnsi="仿宋" w:eastAsia="仿宋"/>
                <w:color w:val="000000" w:themeColor="text1"/>
                <w:szCs w:val="21"/>
              </w:rPr>
            </w:pPr>
          </w:p>
        </w:tc>
      </w:tr>
    </w:tbl>
    <w:p>
      <w:pPr>
        <w:widowControl/>
        <w:jc w:val="left"/>
        <w:rPr>
          <w:rFonts w:ascii="仿宋" w:hAnsi="仿宋" w:eastAsia="仿宋"/>
          <w:color w:val="000000" w:themeColor="text1"/>
          <w:sz w:val="24"/>
          <w:szCs w:val="24"/>
        </w:rPr>
      </w:pPr>
    </w:p>
    <w:bookmarkEnd w:id="83"/>
    <w:p>
      <w:pPr>
        <w:widowControl/>
        <w:spacing w:line="360" w:lineRule="auto"/>
        <w:ind w:firstLine="500" w:firstLineChars="200"/>
        <w:jc w:val="left"/>
        <w:rPr>
          <w:rFonts w:ascii="仿宋" w:hAnsi="仿宋" w:eastAsia="仿宋" w:cs="Times New Roman"/>
          <w:color w:val="000000" w:themeColor="text1"/>
          <w:spacing w:val="5"/>
          <w:sz w:val="24"/>
          <w:szCs w:val="24"/>
        </w:rPr>
      </w:pPr>
      <w:r>
        <w:rPr>
          <w:rFonts w:hint="eastAsia" w:ascii="仿宋" w:hAnsi="仿宋" w:eastAsia="仿宋" w:cs="Times New Roman"/>
          <w:color w:val="000000" w:themeColor="text1"/>
          <w:spacing w:val="5"/>
          <w:sz w:val="24"/>
          <w:szCs w:val="24"/>
        </w:rPr>
        <w:t>综上，标定地价测算的价格与现行的基准地价差异较大，与现行出让的土地使用权出让价格接近，主要原因为基准地价是土地级别内，在一定开发程度，平均容积率条件下，同一用途的完整土地使用权的平均价格；标定地价在土地级别或均质地域基础上划定标定区域，设立标准宗地，跟踪标准宗地及其所在标定区域的地价影响因素变化，采用规范的评估方法，定期评估标准宗地的标定地价，按约定内容与规范格式向社会公布，形成区域内土地市场的正常价值参考，是具体到宗地或地块的价格，还考虑地价微观区位因素，其价格更接近市场交易地价。标定地价测算的价格与市场出让价格相近表明测算结果是合理的。</w:t>
      </w:r>
    </w:p>
    <w:p>
      <w:pPr>
        <w:rPr>
          <w:rFonts w:ascii="Times New Roman" w:hAnsi="Times New Roman" w:eastAsia="仿宋_GB2312"/>
          <w:b/>
          <w:color w:val="000000" w:themeColor="text1"/>
          <w:spacing w:val="5"/>
          <w:sz w:val="24"/>
          <w:szCs w:val="24"/>
        </w:rPr>
      </w:pPr>
      <w:r>
        <w:rPr>
          <w:rFonts w:ascii="Times New Roman" w:hAnsi="Times New Roman" w:eastAsia="仿宋_GB2312"/>
          <w:b/>
          <w:color w:val="000000" w:themeColor="text1"/>
          <w:spacing w:val="5"/>
          <w:sz w:val="24"/>
          <w:szCs w:val="24"/>
        </w:rPr>
        <w:br w:type="page"/>
      </w:r>
    </w:p>
    <w:p>
      <w:pPr>
        <w:pStyle w:val="2"/>
        <w:rPr>
          <w:rFonts w:ascii="仿宋" w:hAnsi="仿宋" w:eastAsia="仿宋"/>
          <w:b/>
          <w:color w:val="000000" w:themeColor="text1"/>
          <w:spacing w:val="5"/>
          <w:szCs w:val="24"/>
        </w:rPr>
      </w:pPr>
      <w:bookmarkStart w:id="84" w:name="_Toc42179595"/>
      <w:bookmarkStart w:id="85" w:name="_Toc46252830"/>
      <w:r>
        <w:rPr>
          <w:rFonts w:hint="eastAsia" w:ascii="仿宋" w:hAnsi="仿宋" w:eastAsia="仿宋"/>
          <w:b/>
          <w:color w:val="000000" w:themeColor="text1"/>
          <w:spacing w:val="5"/>
          <w:szCs w:val="24"/>
        </w:rPr>
        <w:t>第七章  标定地价成果及信息公示</w:t>
      </w:r>
      <w:bookmarkEnd w:id="84"/>
      <w:bookmarkEnd w:id="85"/>
    </w:p>
    <w:p>
      <w:pPr>
        <w:spacing w:line="360" w:lineRule="auto"/>
        <w:ind w:firstLine="435" w:firstLineChars="174"/>
        <w:jc w:val="center"/>
        <w:outlineLvl w:val="2"/>
        <w:rPr>
          <w:rFonts w:ascii="仿宋" w:hAnsi="仿宋" w:eastAsia="仿宋" w:cs="Times New Roman"/>
          <w:b/>
          <w:color w:val="000000" w:themeColor="text1"/>
          <w:spacing w:val="5"/>
          <w:sz w:val="24"/>
          <w:szCs w:val="24"/>
        </w:rPr>
      </w:pPr>
      <w:bookmarkStart w:id="86" w:name="_Toc46252831"/>
      <w:bookmarkStart w:id="87" w:name="_Toc42179596"/>
      <w:r>
        <w:rPr>
          <w:rFonts w:hint="eastAsia" w:ascii="仿宋" w:hAnsi="仿宋" w:eastAsia="仿宋" w:cs="Times New Roman"/>
          <w:b/>
          <w:color w:val="000000" w:themeColor="text1"/>
          <w:spacing w:val="5"/>
          <w:sz w:val="24"/>
          <w:szCs w:val="24"/>
        </w:rPr>
        <w:t>第一节 成果形式与内容</w:t>
      </w:r>
      <w:bookmarkEnd w:id="86"/>
      <w:bookmarkEnd w:id="87"/>
    </w:p>
    <w:p>
      <w:pPr>
        <w:spacing w:line="360" w:lineRule="auto"/>
        <w:ind w:firstLine="500" w:firstLineChars="200"/>
        <w:jc w:val="left"/>
        <w:rPr>
          <w:rFonts w:ascii="仿宋" w:hAnsi="仿宋" w:eastAsia="仿宋"/>
          <w:b/>
          <w:color w:val="000000" w:themeColor="text1"/>
          <w:spacing w:val="5"/>
          <w:sz w:val="24"/>
          <w:szCs w:val="24"/>
        </w:rPr>
      </w:pPr>
      <w:r>
        <w:rPr>
          <w:rFonts w:hint="eastAsia" w:ascii="仿宋" w:hAnsi="仿宋" w:eastAsia="仿宋"/>
          <w:b/>
          <w:color w:val="000000" w:themeColor="text1"/>
          <w:spacing w:val="5"/>
          <w:sz w:val="24"/>
          <w:szCs w:val="24"/>
        </w:rPr>
        <w:t>1、文本成果</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1.1标定地价评估报告。包括地价内涵、评估方法、评估结果等内容，由承担评估工作的评估师完成。每三年之内，首次评估标准宗地的标定地价时，应详细描述评估过程，按GB/T 18508-2014、GB/T 28406-2012的有关要求，撰写完整的土地估价报告与技术报告（评估工作底稿），其他年度的更新评估可撰写简要评估报告。</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1.2标定地价体系建设报告。初次建立标定地价体系时，至少应包括标定地价体系建设工作概述、技术路线与方法、标准宗地的设立、标定地价体系建设的关键技术，以及标定地价成果分析等内容；持续开展年度更新时，应包括近期土地市场及主要地价影响因素的变化情况、标准宗地的维护与更新情况、标定地价体系建设的技术改进情况，年度标定地价成果分析等内容。</w:t>
      </w:r>
    </w:p>
    <w:p>
      <w:pPr>
        <w:spacing w:line="360" w:lineRule="auto"/>
        <w:ind w:firstLine="500" w:firstLineChars="200"/>
        <w:jc w:val="left"/>
        <w:rPr>
          <w:rFonts w:ascii="仿宋" w:hAnsi="仿宋" w:eastAsia="仿宋"/>
          <w:b/>
          <w:color w:val="000000" w:themeColor="text1"/>
          <w:spacing w:val="5"/>
          <w:sz w:val="24"/>
          <w:szCs w:val="24"/>
        </w:rPr>
      </w:pPr>
      <w:r>
        <w:rPr>
          <w:rFonts w:hint="eastAsia" w:ascii="仿宋" w:hAnsi="仿宋" w:eastAsia="仿宋"/>
          <w:b/>
          <w:color w:val="000000" w:themeColor="text1"/>
          <w:spacing w:val="5"/>
          <w:sz w:val="24"/>
          <w:szCs w:val="24"/>
        </w:rPr>
        <w:t>2、 表格成果</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2.1标准宗地基本信息登记表。主要内容包括标准宗地的编码、位置、土地的权利与利用状况等基本信息及地价影响因素信息。</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2.2标准宗地评估技术要点表。主要内容包括标准宗地评估过程中的主要参数和评估结果等，由承担评估工作的评估师完成。</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2.3标定地价建议及结果表。主要内容包括评估师、技术单位及行政主管部门对各标准宗地之标定地价的评估、建议和确定结果。</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2.4标定地价信息公示表。主要内容包括拟向社会公布的标准宗地编码、位置、用途、面积、权利类型、规划条件、开发程度、设定使用年期、标定地价等信息。</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2.5标定地价修正体系表。主要内容包括修正因素、因子体系及修正系数。</w:t>
      </w:r>
    </w:p>
    <w:p>
      <w:pPr>
        <w:spacing w:line="360" w:lineRule="auto"/>
        <w:ind w:firstLine="500" w:firstLineChars="200"/>
        <w:jc w:val="left"/>
        <w:rPr>
          <w:rFonts w:ascii="仿宋" w:hAnsi="仿宋" w:eastAsia="仿宋"/>
          <w:b/>
          <w:color w:val="000000" w:themeColor="text1"/>
          <w:spacing w:val="5"/>
          <w:sz w:val="24"/>
          <w:szCs w:val="24"/>
        </w:rPr>
      </w:pPr>
      <w:r>
        <w:rPr>
          <w:rFonts w:hint="eastAsia" w:ascii="仿宋" w:hAnsi="仿宋" w:eastAsia="仿宋"/>
          <w:b/>
          <w:color w:val="000000" w:themeColor="text1"/>
          <w:spacing w:val="5"/>
          <w:sz w:val="24"/>
          <w:szCs w:val="24"/>
        </w:rPr>
        <w:t>3 、图件成果</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标准宗地与标定区域布设图。主要内容包括本市县各用途标准宗地的位置、 编码和标定区域的范围，</w:t>
      </w:r>
    </w:p>
    <w:p>
      <w:pPr>
        <w:spacing w:line="360" w:lineRule="auto"/>
        <w:ind w:firstLine="500" w:firstLineChars="200"/>
        <w:jc w:val="left"/>
        <w:rPr>
          <w:rFonts w:ascii="仿宋" w:hAnsi="仿宋" w:eastAsia="仿宋"/>
          <w:b/>
          <w:color w:val="000000" w:themeColor="text1"/>
          <w:spacing w:val="5"/>
          <w:sz w:val="24"/>
          <w:szCs w:val="24"/>
        </w:rPr>
      </w:pPr>
    </w:p>
    <w:p>
      <w:pPr>
        <w:spacing w:line="360" w:lineRule="auto"/>
        <w:ind w:firstLine="500" w:firstLineChars="200"/>
        <w:jc w:val="left"/>
        <w:rPr>
          <w:rFonts w:ascii="仿宋" w:hAnsi="仿宋" w:eastAsia="仿宋"/>
          <w:b/>
          <w:color w:val="000000" w:themeColor="text1"/>
          <w:spacing w:val="5"/>
          <w:sz w:val="24"/>
          <w:szCs w:val="24"/>
        </w:rPr>
      </w:pPr>
      <w:r>
        <w:rPr>
          <w:rFonts w:hint="eastAsia" w:ascii="仿宋" w:hAnsi="仿宋" w:eastAsia="仿宋"/>
          <w:b/>
          <w:color w:val="000000" w:themeColor="text1"/>
          <w:spacing w:val="5"/>
          <w:sz w:val="24"/>
          <w:szCs w:val="24"/>
        </w:rPr>
        <w:t>4 、数据库成果</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包括由标定区域、标准宗地的空间要素、属性要素及标定地价各相关成果表格等内容构成的标定地价成果数据库。</w:t>
      </w:r>
    </w:p>
    <w:p>
      <w:pPr>
        <w:spacing w:line="360" w:lineRule="auto"/>
        <w:ind w:firstLine="500" w:firstLineChars="200"/>
        <w:jc w:val="left"/>
        <w:rPr>
          <w:rFonts w:ascii="仿宋" w:hAnsi="仿宋" w:eastAsia="仿宋"/>
          <w:b/>
          <w:color w:val="000000" w:themeColor="text1"/>
          <w:spacing w:val="5"/>
          <w:sz w:val="24"/>
          <w:szCs w:val="24"/>
        </w:rPr>
      </w:pPr>
      <w:r>
        <w:rPr>
          <w:rFonts w:hint="eastAsia" w:ascii="仿宋" w:hAnsi="仿宋" w:eastAsia="仿宋"/>
          <w:b/>
          <w:color w:val="000000" w:themeColor="text1"/>
          <w:spacing w:val="5"/>
          <w:sz w:val="24"/>
          <w:szCs w:val="24"/>
        </w:rPr>
        <w:t>5 、标定地价管理信息系统</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市自然资源主管部门或其委托的技术承担单位应负责开发维护标定地价管理信息系统，用于成果维护更新和向全社会公示。标定地价管理信息系统应与基准地价、地价动态监测等信息系统相衔接，有条件的地方可实行一体化建设。</w:t>
      </w:r>
    </w:p>
    <w:p>
      <w:pPr>
        <w:spacing w:line="360" w:lineRule="auto"/>
        <w:ind w:firstLine="435" w:firstLineChars="174"/>
        <w:jc w:val="center"/>
        <w:outlineLvl w:val="2"/>
        <w:rPr>
          <w:rFonts w:ascii="仿宋" w:hAnsi="仿宋" w:eastAsia="仿宋" w:cs="Times New Roman"/>
          <w:b/>
          <w:color w:val="000000" w:themeColor="text1"/>
          <w:spacing w:val="5"/>
          <w:sz w:val="24"/>
          <w:szCs w:val="24"/>
        </w:rPr>
      </w:pPr>
      <w:bookmarkStart w:id="88" w:name="_Toc42179597"/>
      <w:bookmarkStart w:id="89" w:name="_Toc46252832"/>
      <w:r>
        <w:rPr>
          <w:rFonts w:hint="eastAsia" w:ascii="仿宋" w:hAnsi="仿宋" w:eastAsia="仿宋" w:cs="Times New Roman"/>
          <w:b/>
          <w:color w:val="000000" w:themeColor="text1"/>
          <w:spacing w:val="5"/>
          <w:sz w:val="24"/>
          <w:szCs w:val="24"/>
        </w:rPr>
        <w:t>第二节 标定地价信息公示</w:t>
      </w:r>
      <w:bookmarkEnd w:id="88"/>
      <w:bookmarkEnd w:id="89"/>
    </w:p>
    <w:p>
      <w:pPr>
        <w:spacing w:line="360" w:lineRule="auto"/>
        <w:ind w:firstLine="500" w:firstLineChars="200"/>
        <w:jc w:val="left"/>
        <w:rPr>
          <w:rFonts w:ascii="仿宋" w:hAnsi="仿宋" w:eastAsia="仿宋"/>
          <w:b/>
          <w:color w:val="000000" w:themeColor="text1"/>
          <w:spacing w:val="5"/>
          <w:sz w:val="24"/>
          <w:szCs w:val="24"/>
        </w:rPr>
      </w:pPr>
      <w:r>
        <w:rPr>
          <w:rFonts w:hint="eastAsia" w:ascii="仿宋" w:hAnsi="仿宋" w:eastAsia="仿宋"/>
          <w:b/>
          <w:color w:val="000000" w:themeColor="text1"/>
          <w:spacing w:val="5"/>
          <w:sz w:val="24"/>
          <w:szCs w:val="24"/>
        </w:rPr>
        <w:t>1、 公示程序</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经市自然资源主管部门确定通过的标定地价成果及公示方案应报请同级人民政府批准，批准后于每年第一季度内向社会公开标定地价成果； 地级及以上行政区的标定地价成果应在公示时通过统一的客户端上传至指定国家级汇总系统。</w:t>
      </w:r>
    </w:p>
    <w:p>
      <w:pPr>
        <w:spacing w:line="360" w:lineRule="auto"/>
        <w:ind w:firstLine="500" w:firstLineChars="200"/>
        <w:jc w:val="left"/>
        <w:rPr>
          <w:rFonts w:ascii="仿宋" w:hAnsi="仿宋" w:eastAsia="仿宋"/>
          <w:b/>
          <w:color w:val="000000" w:themeColor="text1"/>
          <w:spacing w:val="5"/>
          <w:sz w:val="24"/>
          <w:szCs w:val="24"/>
        </w:rPr>
      </w:pPr>
      <w:r>
        <w:rPr>
          <w:rFonts w:hint="eastAsia" w:ascii="仿宋" w:hAnsi="仿宋" w:eastAsia="仿宋"/>
          <w:b/>
          <w:color w:val="000000" w:themeColor="text1"/>
          <w:spacing w:val="5"/>
          <w:sz w:val="24"/>
          <w:szCs w:val="24"/>
        </w:rPr>
        <w:t>2、公示渠道</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经批准的标定地价成果主要通过网络等媒介向社会公开，也可以在固定场所长期公开，并接受公众查询。</w:t>
      </w:r>
    </w:p>
    <w:p>
      <w:pPr>
        <w:spacing w:line="360" w:lineRule="auto"/>
        <w:ind w:firstLine="500" w:firstLineChars="200"/>
        <w:jc w:val="left"/>
        <w:rPr>
          <w:rFonts w:ascii="仿宋" w:hAnsi="仿宋" w:eastAsia="仿宋"/>
          <w:b/>
          <w:color w:val="000000" w:themeColor="text1"/>
          <w:spacing w:val="5"/>
          <w:sz w:val="24"/>
          <w:szCs w:val="24"/>
        </w:rPr>
      </w:pPr>
      <w:r>
        <w:rPr>
          <w:rFonts w:hint="eastAsia" w:ascii="仿宋" w:hAnsi="仿宋" w:eastAsia="仿宋"/>
          <w:b/>
          <w:color w:val="000000" w:themeColor="text1"/>
          <w:spacing w:val="5"/>
          <w:sz w:val="24"/>
          <w:szCs w:val="24"/>
        </w:rPr>
        <w:t>3、 公示内容</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3.1 原则上应公开的内容：</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a）标准宗地与标定区域布设图；</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b）标定地价信息公示表，包括标准宗地编码、所在位置、现状用途、权利类型、开发及利用程度、设定使用年期、标定地价等信息；</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c）标定地价体系相关辅助说明等。</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3.2 根据相关管理规定与标定地价成果应用需求，可选择公开标准宗地的权属、四至、剩余使用年期等其他相关信息。</w:t>
      </w:r>
    </w:p>
    <w:p>
      <w:pPr>
        <w:spacing w:line="360" w:lineRule="auto"/>
        <w:ind w:firstLine="500" w:firstLineChars="200"/>
        <w:jc w:val="left"/>
        <w:rPr>
          <w:rFonts w:ascii="仿宋" w:hAnsi="仿宋" w:eastAsia="仿宋"/>
          <w:color w:val="000000" w:themeColor="text1"/>
          <w:spacing w:val="5"/>
          <w:sz w:val="24"/>
          <w:szCs w:val="24"/>
        </w:rPr>
      </w:pPr>
      <w:r>
        <w:rPr>
          <w:rFonts w:hint="eastAsia" w:ascii="仿宋" w:hAnsi="仿宋" w:eastAsia="仿宋"/>
          <w:color w:val="000000" w:themeColor="text1"/>
          <w:spacing w:val="5"/>
          <w:sz w:val="24"/>
          <w:szCs w:val="24"/>
        </w:rPr>
        <w:t>3.3 国家规定的涉密信息，原则上不对外公开。确因特殊原因不宜对外公开具体信息的标准宗地，可经实际评估测算后，采用虚拟点位信息的方式对外公开。</w:t>
      </w:r>
    </w:p>
    <w:p>
      <w:pPr>
        <w:spacing w:line="360" w:lineRule="auto"/>
        <w:ind w:firstLine="480" w:firstLineChars="200"/>
        <w:rPr>
          <w:rFonts w:ascii="Times New Roman" w:hAnsi="Times New Roman" w:eastAsia="仿宋_GB2312" w:cs="Times New Roman"/>
          <w:color w:val="000000" w:themeColor="text1"/>
          <w:kern w:val="0"/>
          <w:sz w:val="24"/>
          <w:szCs w:val="24"/>
        </w:rPr>
      </w:pPr>
    </w:p>
    <w:sectPr>
      <w:footerReference r:id="rId11" w:type="default"/>
      <w:pgSz w:w="11906" w:h="16838"/>
      <w:pgMar w:top="1440" w:right="1797" w:bottom="1440" w:left="1797"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文本框 1" o:spid="_x0000_s2050" o:spt="202" type="#_x0000_t202" style="position:absolute;left:0pt;margin-top:0pt;height:11pt;width:13.7pt;mso-position-horizontal:center;mso-position-horizontal-relative:margin;mso-wrap-style:none;z-index:251661312;mso-width-relative:page;mso-height-relative:page;" filled="f" stroked="f" coordsize="21600,21600" o:gfxdata="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Y7WrQ&#10;AAAAAwEAAA8AAAAAAAAAAQAgAAAAIgAAAGRycy9kb3ducmV2LnhtbFBLAQIUABQAAAAIAIdO4kA5&#10;TNWktgEAAFgDAAAOAAAAAAAAAAEAIAAAAB8BAABkcnMvZTJvRG9jLnhtbFBLBQYAAAAABgAGAFkB&#10;AABH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pict>
        <v:shape id="文本框 4"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KVNzK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39TInjFke0f3rc/3rZPz+Qs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6KVNzK8BAABL&#10;AwAADgAAAAAAAAABACAAAAAeAQAAZHJzL2Uyb0RvYy54bWxQSwUGAAAAAAYABgBZAQAAPwUAAAAA&#10;">
          <v:path/>
          <v:fill on="f" focussize="0,0"/>
          <v:stroke on="f" joinstyle="miter"/>
          <v:imagedata o:title=""/>
          <o:lock v:ext="edit"/>
          <v:textbox inset="0mm,0mm,0mm,0mm" style="mso-fit-shape-to-text:t;">
            <w:txbxContent>
              <w:sdt>
                <w:sdtPr>
                  <w:id w:val="26037004"/>
                </w:sdtPr>
                <w:sdtContent>
                  <w:p>
                    <w:pPr>
                      <w:pStyle w:val="10"/>
                      <w:jc w:val="center"/>
                    </w:pPr>
                    <w:r>
                      <w:fldChar w:fldCharType="begin"/>
                    </w:r>
                    <w:r>
                      <w:instrText xml:space="preserve"> PAGE   \* MERGEFORMAT </w:instrText>
                    </w:r>
                    <w:r>
                      <w:fldChar w:fldCharType="separate"/>
                    </w:r>
                    <w:r>
                      <w:rPr>
                        <w:lang w:val="zh-CN"/>
                      </w:rPr>
                      <w:t>33</w:t>
                    </w:r>
                    <w:r>
                      <w:rPr>
                        <w:lang w:val="zh-CN"/>
                      </w:rPr>
                      <w:fldChar w:fldCharType="end"/>
                    </w:r>
                  </w:p>
                </w:sdtContent>
              </w:sd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both"/>
    </w:pPr>
    <w:r>
      <w:rPr>
        <w:rFonts w:hint="eastAsia"/>
      </w:rPr>
      <w:drawing>
        <wp:anchor distT="0" distB="0" distL="114300" distR="114300" simplePos="0" relativeHeight="251659264" behindDoc="0" locked="0" layoutInCell="1" allowOverlap="1">
          <wp:simplePos x="0" y="0"/>
          <wp:positionH relativeFrom="column">
            <wp:posOffset>114300</wp:posOffset>
          </wp:positionH>
          <wp:positionV relativeFrom="paragraph">
            <wp:posOffset>50165</wp:posOffset>
          </wp:positionV>
          <wp:extent cx="318770" cy="361950"/>
          <wp:effectExtent l="19050" t="0" r="5080" b="0"/>
          <wp:wrapNone/>
          <wp:docPr id="5" name="图片 2652" descr="优化图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652" descr="优化图标.jpg"/>
                  <pic:cNvPicPr>
                    <a:picLocks noChangeAspect="1" noChangeArrowheads="1"/>
                  </pic:cNvPicPr>
                </pic:nvPicPr>
                <pic:blipFill>
                  <a:blip r:embed="rId1" cstate="print"/>
                  <a:srcRect/>
                  <a:stretch>
                    <a:fillRect/>
                  </a:stretch>
                </pic:blipFill>
                <pic:spPr>
                  <a:xfrm>
                    <a:off x="0" y="0"/>
                    <a:ext cx="318770" cy="361950"/>
                  </a:xfrm>
                  <a:prstGeom prst="rect">
                    <a:avLst/>
                  </a:prstGeom>
                  <a:noFill/>
                  <a:ln w="9525">
                    <a:noFill/>
                    <a:miter lim="800000"/>
                    <a:headEnd/>
                    <a:tailEnd/>
                  </a:ln>
                </pic:spPr>
              </pic:pic>
            </a:graphicData>
          </a:graphic>
        </wp:anchor>
      </w:drawing>
    </w:r>
  </w:p>
  <w:p>
    <w:pPr>
      <w:pStyle w:val="11"/>
      <w:jc w:val="both"/>
    </w:pPr>
  </w:p>
  <w:p>
    <w:pPr>
      <w:pStyle w:val="11"/>
      <w:ind w:firstLine="720" w:firstLineChars="300"/>
      <w:jc w:val="both"/>
      <w:rPr>
        <w:rFonts w:ascii="仿宋_GB2312" w:eastAsia="华文楷体"/>
      </w:rPr>
    </w:pPr>
    <w:r>
      <w:rPr>
        <w:rFonts w:hint="eastAsia" w:ascii="隶书" w:hAnsi="隶书" w:eastAsia="隶书" w:cs="隶书"/>
        <w:sz w:val="24"/>
        <w:szCs w:val="24"/>
      </w:rPr>
      <w:t xml:space="preserve">优化        </w:t>
    </w:r>
    <w:r>
      <w:rPr>
        <w:rFonts w:hint="eastAsia" w:ascii="华文楷体" w:hAnsi="华文楷体" w:eastAsia="华文楷体" w:cs="华文楷体"/>
        <w:color w:val="000000" w:themeColor="text1"/>
        <w:sz w:val="24"/>
        <w:szCs w:val="24"/>
      </w:rPr>
      <w:t>江川区县城规划区标定地价体系建设报告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53B24"/>
    <w:multiLevelType w:val="singleLevel"/>
    <w:tmpl w:val="C2E53B24"/>
    <w:lvl w:ilvl="0" w:tentative="0">
      <w:start w:val="5"/>
      <w:numFmt w:val="decimal"/>
      <w:suff w:val="nothing"/>
      <w:lvlText w:val="%1、"/>
      <w:lvlJc w:val="left"/>
    </w:lvl>
  </w:abstractNum>
  <w:abstractNum w:abstractNumId="1">
    <w:nsid w:val="1B745AF0"/>
    <w:multiLevelType w:val="multilevel"/>
    <w:tmpl w:val="1B745AF0"/>
    <w:lvl w:ilvl="0" w:tentative="0">
      <w:start w:val="1"/>
      <w:numFmt w:val="decimal"/>
      <w:lvlText w:val="%1."/>
      <w:lvlJc w:val="left"/>
      <w:pPr>
        <w:ind w:left="860" w:hanging="360"/>
      </w:pPr>
      <w:rPr>
        <w:rFonts w:hint="default"/>
      </w:rPr>
    </w:lvl>
    <w:lvl w:ilvl="1" w:tentative="0">
      <w:start w:val="1"/>
      <w:numFmt w:val="lowerLetter"/>
      <w:lvlText w:val="%2)"/>
      <w:lvlJc w:val="left"/>
      <w:pPr>
        <w:ind w:left="1340" w:hanging="420"/>
      </w:pPr>
    </w:lvl>
    <w:lvl w:ilvl="2" w:tentative="0">
      <w:start w:val="1"/>
      <w:numFmt w:val="lowerRoman"/>
      <w:lvlText w:val="%3."/>
      <w:lvlJc w:val="right"/>
      <w:pPr>
        <w:ind w:left="1760" w:hanging="420"/>
      </w:pPr>
    </w:lvl>
    <w:lvl w:ilvl="3" w:tentative="0">
      <w:start w:val="1"/>
      <w:numFmt w:val="decimal"/>
      <w:lvlText w:val="%4."/>
      <w:lvlJc w:val="left"/>
      <w:pPr>
        <w:ind w:left="2180" w:hanging="420"/>
      </w:pPr>
    </w:lvl>
    <w:lvl w:ilvl="4" w:tentative="0">
      <w:start w:val="1"/>
      <w:numFmt w:val="lowerLetter"/>
      <w:lvlText w:val="%5)"/>
      <w:lvlJc w:val="left"/>
      <w:pPr>
        <w:ind w:left="2600" w:hanging="420"/>
      </w:pPr>
    </w:lvl>
    <w:lvl w:ilvl="5" w:tentative="0">
      <w:start w:val="1"/>
      <w:numFmt w:val="lowerRoman"/>
      <w:lvlText w:val="%6."/>
      <w:lvlJc w:val="right"/>
      <w:pPr>
        <w:ind w:left="3020" w:hanging="420"/>
      </w:pPr>
    </w:lvl>
    <w:lvl w:ilvl="6" w:tentative="0">
      <w:start w:val="1"/>
      <w:numFmt w:val="decimal"/>
      <w:lvlText w:val="%7."/>
      <w:lvlJc w:val="left"/>
      <w:pPr>
        <w:ind w:left="3440" w:hanging="420"/>
      </w:pPr>
    </w:lvl>
    <w:lvl w:ilvl="7" w:tentative="0">
      <w:start w:val="1"/>
      <w:numFmt w:val="lowerLetter"/>
      <w:lvlText w:val="%8)"/>
      <w:lvlJc w:val="left"/>
      <w:pPr>
        <w:ind w:left="3860" w:hanging="420"/>
      </w:pPr>
    </w:lvl>
    <w:lvl w:ilvl="8" w:tentative="0">
      <w:start w:val="1"/>
      <w:numFmt w:val="lowerRoman"/>
      <w:lvlText w:val="%9."/>
      <w:lvlJc w:val="right"/>
      <w:pPr>
        <w:ind w:left="42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D7B0E"/>
    <w:rsid w:val="000018AD"/>
    <w:rsid w:val="00003B41"/>
    <w:rsid w:val="000071F0"/>
    <w:rsid w:val="00021E8B"/>
    <w:rsid w:val="000255D4"/>
    <w:rsid w:val="00034528"/>
    <w:rsid w:val="0003732B"/>
    <w:rsid w:val="00042C13"/>
    <w:rsid w:val="000464F9"/>
    <w:rsid w:val="00046624"/>
    <w:rsid w:val="00054020"/>
    <w:rsid w:val="00054410"/>
    <w:rsid w:val="00055AE8"/>
    <w:rsid w:val="00057D80"/>
    <w:rsid w:val="000640DA"/>
    <w:rsid w:val="00064E28"/>
    <w:rsid w:val="00066E95"/>
    <w:rsid w:val="00066F82"/>
    <w:rsid w:val="000738F5"/>
    <w:rsid w:val="00075EB9"/>
    <w:rsid w:val="000764FE"/>
    <w:rsid w:val="000772CB"/>
    <w:rsid w:val="000814D1"/>
    <w:rsid w:val="000828A6"/>
    <w:rsid w:val="00084CA2"/>
    <w:rsid w:val="00085B3E"/>
    <w:rsid w:val="0009004D"/>
    <w:rsid w:val="00090474"/>
    <w:rsid w:val="000961F4"/>
    <w:rsid w:val="000976A7"/>
    <w:rsid w:val="000B6A0B"/>
    <w:rsid w:val="000C0580"/>
    <w:rsid w:val="000C3A61"/>
    <w:rsid w:val="000C7A39"/>
    <w:rsid w:val="000D2B0E"/>
    <w:rsid w:val="000E674D"/>
    <w:rsid w:val="000F458A"/>
    <w:rsid w:val="000F695B"/>
    <w:rsid w:val="000F6D07"/>
    <w:rsid w:val="00104F89"/>
    <w:rsid w:val="00114975"/>
    <w:rsid w:val="00116DBC"/>
    <w:rsid w:val="001170DC"/>
    <w:rsid w:val="00120427"/>
    <w:rsid w:val="001234B2"/>
    <w:rsid w:val="00123C92"/>
    <w:rsid w:val="00131D76"/>
    <w:rsid w:val="00133966"/>
    <w:rsid w:val="00134C26"/>
    <w:rsid w:val="00140C88"/>
    <w:rsid w:val="00144370"/>
    <w:rsid w:val="00144BD5"/>
    <w:rsid w:val="00145353"/>
    <w:rsid w:val="00147B82"/>
    <w:rsid w:val="00150D37"/>
    <w:rsid w:val="0015126F"/>
    <w:rsid w:val="00163709"/>
    <w:rsid w:val="00163A88"/>
    <w:rsid w:val="00163AC9"/>
    <w:rsid w:val="00165990"/>
    <w:rsid w:val="00166BF9"/>
    <w:rsid w:val="00175FA5"/>
    <w:rsid w:val="00182853"/>
    <w:rsid w:val="00187DE0"/>
    <w:rsid w:val="00192D80"/>
    <w:rsid w:val="00195BE0"/>
    <w:rsid w:val="001A0C89"/>
    <w:rsid w:val="001A0DD7"/>
    <w:rsid w:val="001A596C"/>
    <w:rsid w:val="001A5EB3"/>
    <w:rsid w:val="001B0CED"/>
    <w:rsid w:val="001B0DEF"/>
    <w:rsid w:val="001B50EA"/>
    <w:rsid w:val="001B65FA"/>
    <w:rsid w:val="001C18E4"/>
    <w:rsid w:val="001C26C7"/>
    <w:rsid w:val="001D06B1"/>
    <w:rsid w:val="001D22E6"/>
    <w:rsid w:val="001E6CCA"/>
    <w:rsid w:val="001E6F4A"/>
    <w:rsid w:val="001E7126"/>
    <w:rsid w:val="001F0C10"/>
    <w:rsid w:val="00201591"/>
    <w:rsid w:val="00202EFD"/>
    <w:rsid w:val="00210D89"/>
    <w:rsid w:val="00214C8A"/>
    <w:rsid w:val="002211C5"/>
    <w:rsid w:val="00232BE4"/>
    <w:rsid w:val="00236D25"/>
    <w:rsid w:val="0024478F"/>
    <w:rsid w:val="00251743"/>
    <w:rsid w:val="00254F1B"/>
    <w:rsid w:val="002707C8"/>
    <w:rsid w:val="002748FD"/>
    <w:rsid w:val="00275C43"/>
    <w:rsid w:val="0028094A"/>
    <w:rsid w:val="00293BE7"/>
    <w:rsid w:val="0029521B"/>
    <w:rsid w:val="002B0A71"/>
    <w:rsid w:val="002B2926"/>
    <w:rsid w:val="002B6420"/>
    <w:rsid w:val="002B74F7"/>
    <w:rsid w:val="002B7883"/>
    <w:rsid w:val="002C14F8"/>
    <w:rsid w:val="002C3296"/>
    <w:rsid w:val="002C4DE9"/>
    <w:rsid w:val="002C691E"/>
    <w:rsid w:val="002D6675"/>
    <w:rsid w:val="002E4696"/>
    <w:rsid w:val="002E7829"/>
    <w:rsid w:val="002E7DCB"/>
    <w:rsid w:val="002F20FA"/>
    <w:rsid w:val="002F799B"/>
    <w:rsid w:val="003015FA"/>
    <w:rsid w:val="00312DF5"/>
    <w:rsid w:val="00323206"/>
    <w:rsid w:val="003262C6"/>
    <w:rsid w:val="003302B1"/>
    <w:rsid w:val="00331444"/>
    <w:rsid w:val="00333D13"/>
    <w:rsid w:val="0034394E"/>
    <w:rsid w:val="00343B08"/>
    <w:rsid w:val="00347892"/>
    <w:rsid w:val="003503B1"/>
    <w:rsid w:val="00352AEC"/>
    <w:rsid w:val="00355C81"/>
    <w:rsid w:val="0035645A"/>
    <w:rsid w:val="00356D82"/>
    <w:rsid w:val="00357E9E"/>
    <w:rsid w:val="003641E0"/>
    <w:rsid w:val="00365097"/>
    <w:rsid w:val="00371BC8"/>
    <w:rsid w:val="0037412F"/>
    <w:rsid w:val="003776F3"/>
    <w:rsid w:val="00377E88"/>
    <w:rsid w:val="00387D8C"/>
    <w:rsid w:val="003A2214"/>
    <w:rsid w:val="003A656B"/>
    <w:rsid w:val="003B4EE9"/>
    <w:rsid w:val="003B526D"/>
    <w:rsid w:val="003C6EA9"/>
    <w:rsid w:val="003D084B"/>
    <w:rsid w:val="003D0ADA"/>
    <w:rsid w:val="003D2D12"/>
    <w:rsid w:val="003D6B8E"/>
    <w:rsid w:val="003F0EEE"/>
    <w:rsid w:val="003F148E"/>
    <w:rsid w:val="004017E4"/>
    <w:rsid w:val="00402860"/>
    <w:rsid w:val="00403951"/>
    <w:rsid w:val="00403A03"/>
    <w:rsid w:val="00403A93"/>
    <w:rsid w:val="004044AF"/>
    <w:rsid w:val="00405F08"/>
    <w:rsid w:val="00412432"/>
    <w:rsid w:val="00413B54"/>
    <w:rsid w:val="0041711A"/>
    <w:rsid w:val="00420DBA"/>
    <w:rsid w:val="004211D3"/>
    <w:rsid w:val="00422EE0"/>
    <w:rsid w:val="004260F4"/>
    <w:rsid w:val="0043075D"/>
    <w:rsid w:val="004318AF"/>
    <w:rsid w:val="00456069"/>
    <w:rsid w:val="004745F5"/>
    <w:rsid w:val="00476973"/>
    <w:rsid w:val="0048164B"/>
    <w:rsid w:val="0048262E"/>
    <w:rsid w:val="004940C6"/>
    <w:rsid w:val="00495C55"/>
    <w:rsid w:val="00496404"/>
    <w:rsid w:val="00496894"/>
    <w:rsid w:val="004C3805"/>
    <w:rsid w:val="004C4C5E"/>
    <w:rsid w:val="004C4E6D"/>
    <w:rsid w:val="004D21D7"/>
    <w:rsid w:val="004E4C78"/>
    <w:rsid w:val="004E698E"/>
    <w:rsid w:val="004F025C"/>
    <w:rsid w:val="004F05CE"/>
    <w:rsid w:val="004F3AC3"/>
    <w:rsid w:val="004F417F"/>
    <w:rsid w:val="004F7D15"/>
    <w:rsid w:val="00500058"/>
    <w:rsid w:val="00500EDA"/>
    <w:rsid w:val="00500F96"/>
    <w:rsid w:val="00506224"/>
    <w:rsid w:val="005067ED"/>
    <w:rsid w:val="00506FE9"/>
    <w:rsid w:val="00511330"/>
    <w:rsid w:val="00512B84"/>
    <w:rsid w:val="005169B5"/>
    <w:rsid w:val="00517A1A"/>
    <w:rsid w:val="005201B3"/>
    <w:rsid w:val="005228EA"/>
    <w:rsid w:val="005251DB"/>
    <w:rsid w:val="00526C26"/>
    <w:rsid w:val="00530021"/>
    <w:rsid w:val="00544441"/>
    <w:rsid w:val="005514AB"/>
    <w:rsid w:val="005574B7"/>
    <w:rsid w:val="0056000D"/>
    <w:rsid w:val="005627E7"/>
    <w:rsid w:val="00566439"/>
    <w:rsid w:val="0056684A"/>
    <w:rsid w:val="00570E1A"/>
    <w:rsid w:val="00571D14"/>
    <w:rsid w:val="005773FB"/>
    <w:rsid w:val="00581540"/>
    <w:rsid w:val="005825DE"/>
    <w:rsid w:val="00582D7C"/>
    <w:rsid w:val="00582D8D"/>
    <w:rsid w:val="005923A5"/>
    <w:rsid w:val="005956BB"/>
    <w:rsid w:val="0059720E"/>
    <w:rsid w:val="00597F25"/>
    <w:rsid w:val="005A2028"/>
    <w:rsid w:val="005A5982"/>
    <w:rsid w:val="005A745F"/>
    <w:rsid w:val="005B1C05"/>
    <w:rsid w:val="005B255A"/>
    <w:rsid w:val="005B2F2E"/>
    <w:rsid w:val="005B3ED3"/>
    <w:rsid w:val="005C01F8"/>
    <w:rsid w:val="005C5EF7"/>
    <w:rsid w:val="005D294C"/>
    <w:rsid w:val="005D63B3"/>
    <w:rsid w:val="005E0919"/>
    <w:rsid w:val="005E39AC"/>
    <w:rsid w:val="005E4003"/>
    <w:rsid w:val="005E7FC3"/>
    <w:rsid w:val="005F369B"/>
    <w:rsid w:val="005F417D"/>
    <w:rsid w:val="005F4B5D"/>
    <w:rsid w:val="005F6B6A"/>
    <w:rsid w:val="006200AD"/>
    <w:rsid w:val="006218EA"/>
    <w:rsid w:val="00623569"/>
    <w:rsid w:val="006238B5"/>
    <w:rsid w:val="00627586"/>
    <w:rsid w:val="00631C35"/>
    <w:rsid w:val="00632B4D"/>
    <w:rsid w:val="00633E03"/>
    <w:rsid w:val="00652E78"/>
    <w:rsid w:val="006533EE"/>
    <w:rsid w:val="00653643"/>
    <w:rsid w:val="00655D99"/>
    <w:rsid w:val="006634F6"/>
    <w:rsid w:val="00667750"/>
    <w:rsid w:val="0067048A"/>
    <w:rsid w:val="006714ED"/>
    <w:rsid w:val="006724FA"/>
    <w:rsid w:val="0067599F"/>
    <w:rsid w:val="00680059"/>
    <w:rsid w:val="0068032B"/>
    <w:rsid w:val="006804CD"/>
    <w:rsid w:val="0068334A"/>
    <w:rsid w:val="00684337"/>
    <w:rsid w:val="00684E69"/>
    <w:rsid w:val="006859A6"/>
    <w:rsid w:val="00690C8A"/>
    <w:rsid w:val="006936FB"/>
    <w:rsid w:val="006A16C8"/>
    <w:rsid w:val="006A2F08"/>
    <w:rsid w:val="006A7C88"/>
    <w:rsid w:val="006C63C6"/>
    <w:rsid w:val="006C7A4E"/>
    <w:rsid w:val="006D1B0C"/>
    <w:rsid w:val="006D3CCD"/>
    <w:rsid w:val="006E09FD"/>
    <w:rsid w:val="006E0B46"/>
    <w:rsid w:val="006F0BA5"/>
    <w:rsid w:val="006F1DB7"/>
    <w:rsid w:val="006F2DFE"/>
    <w:rsid w:val="007012B8"/>
    <w:rsid w:val="00702AC0"/>
    <w:rsid w:val="00704659"/>
    <w:rsid w:val="00706DF5"/>
    <w:rsid w:val="00710465"/>
    <w:rsid w:val="00715F73"/>
    <w:rsid w:val="0072251A"/>
    <w:rsid w:val="00731A69"/>
    <w:rsid w:val="00743E7C"/>
    <w:rsid w:val="00747D1F"/>
    <w:rsid w:val="00747D92"/>
    <w:rsid w:val="0075020B"/>
    <w:rsid w:val="0075255C"/>
    <w:rsid w:val="007526BF"/>
    <w:rsid w:val="0075532D"/>
    <w:rsid w:val="007558EA"/>
    <w:rsid w:val="007604BB"/>
    <w:rsid w:val="00760D3A"/>
    <w:rsid w:val="00763172"/>
    <w:rsid w:val="007677CA"/>
    <w:rsid w:val="00781D70"/>
    <w:rsid w:val="00782C77"/>
    <w:rsid w:val="007834AB"/>
    <w:rsid w:val="00784F5A"/>
    <w:rsid w:val="0079162B"/>
    <w:rsid w:val="00791DEC"/>
    <w:rsid w:val="007A10A7"/>
    <w:rsid w:val="007A453C"/>
    <w:rsid w:val="007A5F45"/>
    <w:rsid w:val="007A75F8"/>
    <w:rsid w:val="007B1A27"/>
    <w:rsid w:val="007C1F94"/>
    <w:rsid w:val="007C4015"/>
    <w:rsid w:val="007D06FE"/>
    <w:rsid w:val="007D5BC0"/>
    <w:rsid w:val="00800DE8"/>
    <w:rsid w:val="00801ADF"/>
    <w:rsid w:val="00803958"/>
    <w:rsid w:val="00804E60"/>
    <w:rsid w:val="00805D43"/>
    <w:rsid w:val="00807E38"/>
    <w:rsid w:val="00813CC1"/>
    <w:rsid w:val="0081670A"/>
    <w:rsid w:val="00817CD3"/>
    <w:rsid w:val="00820B89"/>
    <w:rsid w:val="00822683"/>
    <w:rsid w:val="008243B6"/>
    <w:rsid w:val="00830861"/>
    <w:rsid w:val="0083502D"/>
    <w:rsid w:val="00835F73"/>
    <w:rsid w:val="00836960"/>
    <w:rsid w:val="00840BBE"/>
    <w:rsid w:val="00845C32"/>
    <w:rsid w:val="00857F4F"/>
    <w:rsid w:val="008630D9"/>
    <w:rsid w:val="008664A0"/>
    <w:rsid w:val="00866515"/>
    <w:rsid w:val="008674E3"/>
    <w:rsid w:val="00870579"/>
    <w:rsid w:val="0087110D"/>
    <w:rsid w:val="00874A14"/>
    <w:rsid w:val="00874AEA"/>
    <w:rsid w:val="00874C83"/>
    <w:rsid w:val="00881E9A"/>
    <w:rsid w:val="008828B3"/>
    <w:rsid w:val="00882C60"/>
    <w:rsid w:val="00883343"/>
    <w:rsid w:val="00890001"/>
    <w:rsid w:val="00896F54"/>
    <w:rsid w:val="008A05EB"/>
    <w:rsid w:val="008A2EE8"/>
    <w:rsid w:val="008A5B39"/>
    <w:rsid w:val="008B7055"/>
    <w:rsid w:val="008B7830"/>
    <w:rsid w:val="008C78E7"/>
    <w:rsid w:val="008D2AD6"/>
    <w:rsid w:val="008D7B0E"/>
    <w:rsid w:val="008D7FB3"/>
    <w:rsid w:val="008E0A11"/>
    <w:rsid w:val="008F391F"/>
    <w:rsid w:val="008F3968"/>
    <w:rsid w:val="008F777E"/>
    <w:rsid w:val="00900422"/>
    <w:rsid w:val="00902902"/>
    <w:rsid w:val="00902A21"/>
    <w:rsid w:val="0090323B"/>
    <w:rsid w:val="00911AD3"/>
    <w:rsid w:val="00916C30"/>
    <w:rsid w:val="00917296"/>
    <w:rsid w:val="0093051E"/>
    <w:rsid w:val="00931A93"/>
    <w:rsid w:val="009322BB"/>
    <w:rsid w:val="00932827"/>
    <w:rsid w:val="009331B1"/>
    <w:rsid w:val="009434FB"/>
    <w:rsid w:val="009523E4"/>
    <w:rsid w:val="0095756E"/>
    <w:rsid w:val="00963094"/>
    <w:rsid w:val="009648D7"/>
    <w:rsid w:val="00974693"/>
    <w:rsid w:val="0097568F"/>
    <w:rsid w:val="0098194E"/>
    <w:rsid w:val="0098224D"/>
    <w:rsid w:val="0098457F"/>
    <w:rsid w:val="009858A6"/>
    <w:rsid w:val="00985E0E"/>
    <w:rsid w:val="00992FF5"/>
    <w:rsid w:val="009935CE"/>
    <w:rsid w:val="00994642"/>
    <w:rsid w:val="009961B5"/>
    <w:rsid w:val="0099658D"/>
    <w:rsid w:val="009A2046"/>
    <w:rsid w:val="009A21E9"/>
    <w:rsid w:val="009A3578"/>
    <w:rsid w:val="009A3D0D"/>
    <w:rsid w:val="009A5F63"/>
    <w:rsid w:val="009A7E73"/>
    <w:rsid w:val="009B2C49"/>
    <w:rsid w:val="009B71E8"/>
    <w:rsid w:val="009B74B9"/>
    <w:rsid w:val="009C3852"/>
    <w:rsid w:val="009C4B64"/>
    <w:rsid w:val="009C7A1C"/>
    <w:rsid w:val="009D632B"/>
    <w:rsid w:val="009E187F"/>
    <w:rsid w:val="009E27EA"/>
    <w:rsid w:val="009E34CF"/>
    <w:rsid w:val="009F456D"/>
    <w:rsid w:val="00A03F79"/>
    <w:rsid w:val="00A265F2"/>
    <w:rsid w:val="00A3210E"/>
    <w:rsid w:val="00A36496"/>
    <w:rsid w:val="00A3663E"/>
    <w:rsid w:val="00A405F0"/>
    <w:rsid w:val="00A407B7"/>
    <w:rsid w:val="00A40CE7"/>
    <w:rsid w:val="00A4468E"/>
    <w:rsid w:val="00A45E27"/>
    <w:rsid w:val="00A46A7C"/>
    <w:rsid w:val="00A52CA8"/>
    <w:rsid w:val="00A5462B"/>
    <w:rsid w:val="00A56D86"/>
    <w:rsid w:val="00A60987"/>
    <w:rsid w:val="00A618F3"/>
    <w:rsid w:val="00A62F5D"/>
    <w:rsid w:val="00A66017"/>
    <w:rsid w:val="00A67C22"/>
    <w:rsid w:val="00A701BC"/>
    <w:rsid w:val="00A70D57"/>
    <w:rsid w:val="00A72304"/>
    <w:rsid w:val="00A72D03"/>
    <w:rsid w:val="00A773D6"/>
    <w:rsid w:val="00A8299F"/>
    <w:rsid w:val="00A856A6"/>
    <w:rsid w:val="00A87946"/>
    <w:rsid w:val="00A8799A"/>
    <w:rsid w:val="00A93DA4"/>
    <w:rsid w:val="00A96B7D"/>
    <w:rsid w:val="00AA0431"/>
    <w:rsid w:val="00AB369F"/>
    <w:rsid w:val="00AB5D3A"/>
    <w:rsid w:val="00AC3E64"/>
    <w:rsid w:val="00AC62F1"/>
    <w:rsid w:val="00AD12C9"/>
    <w:rsid w:val="00AD25E7"/>
    <w:rsid w:val="00AD5143"/>
    <w:rsid w:val="00AE34D2"/>
    <w:rsid w:val="00AE3780"/>
    <w:rsid w:val="00AE49AB"/>
    <w:rsid w:val="00AF54B6"/>
    <w:rsid w:val="00AF7023"/>
    <w:rsid w:val="00B041FD"/>
    <w:rsid w:val="00B10BAB"/>
    <w:rsid w:val="00B11760"/>
    <w:rsid w:val="00B11C3D"/>
    <w:rsid w:val="00B1627B"/>
    <w:rsid w:val="00B165A7"/>
    <w:rsid w:val="00B17480"/>
    <w:rsid w:val="00B224AD"/>
    <w:rsid w:val="00B25A51"/>
    <w:rsid w:val="00B32991"/>
    <w:rsid w:val="00B337A9"/>
    <w:rsid w:val="00B3499B"/>
    <w:rsid w:val="00B4345B"/>
    <w:rsid w:val="00B43BE3"/>
    <w:rsid w:val="00B51620"/>
    <w:rsid w:val="00B53CAA"/>
    <w:rsid w:val="00B5730F"/>
    <w:rsid w:val="00B60F21"/>
    <w:rsid w:val="00B67989"/>
    <w:rsid w:val="00B67ACF"/>
    <w:rsid w:val="00B7255A"/>
    <w:rsid w:val="00B74F26"/>
    <w:rsid w:val="00B76754"/>
    <w:rsid w:val="00B87E26"/>
    <w:rsid w:val="00B9078E"/>
    <w:rsid w:val="00B90FBD"/>
    <w:rsid w:val="00B95E92"/>
    <w:rsid w:val="00B96122"/>
    <w:rsid w:val="00B97961"/>
    <w:rsid w:val="00BA09AE"/>
    <w:rsid w:val="00BA2547"/>
    <w:rsid w:val="00BA32AD"/>
    <w:rsid w:val="00BA6216"/>
    <w:rsid w:val="00BA664A"/>
    <w:rsid w:val="00BB3A4D"/>
    <w:rsid w:val="00BB6C31"/>
    <w:rsid w:val="00BB7E4A"/>
    <w:rsid w:val="00BC0B87"/>
    <w:rsid w:val="00BC167A"/>
    <w:rsid w:val="00BC2610"/>
    <w:rsid w:val="00BC4B0D"/>
    <w:rsid w:val="00BC54AC"/>
    <w:rsid w:val="00BD53E6"/>
    <w:rsid w:val="00BE2880"/>
    <w:rsid w:val="00BE54B8"/>
    <w:rsid w:val="00BE6CF9"/>
    <w:rsid w:val="00BF1215"/>
    <w:rsid w:val="00C0154D"/>
    <w:rsid w:val="00C043FA"/>
    <w:rsid w:val="00C05B46"/>
    <w:rsid w:val="00C10CD0"/>
    <w:rsid w:val="00C15153"/>
    <w:rsid w:val="00C15591"/>
    <w:rsid w:val="00C155B8"/>
    <w:rsid w:val="00C20E54"/>
    <w:rsid w:val="00C22791"/>
    <w:rsid w:val="00C233B1"/>
    <w:rsid w:val="00C2455A"/>
    <w:rsid w:val="00C245D9"/>
    <w:rsid w:val="00C25EC7"/>
    <w:rsid w:val="00C423F6"/>
    <w:rsid w:val="00C4291D"/>
    <w:rsid w:val="00C47983"/>
    <w:rsid w:val="00C53334"/>
    <w:rsid w:val="00C62402"/>
    <w:rsid w:val="00C62ECD"/>
    <w:rsid w:val="00C63D9D"/>
    <w:rsid w:val="00C655A9"/>
    <w:rsid w:val="00C65922"/>
    <w:rsid w:val="00C75537"/>
    <w:rsid w:val="00C81470"/>
    <w:rsid w:val="00C82069"/>
    <w:rsid w:val="00C87C08"/>
    <w:rsid w:val="00C90738"/>
    <w:rsid w:val="00C9593A"/>
    <w:rsid w:val="00C96C8E"/>
    <w:rsid w:val="00CA62FE"/>
    <w:rsid w:val="00CA630A"/>
    <w:rsid w:val="00CB1106"/>
    <w:rsid w:val="00CB23D4"/>
    <w:rsid w:val="00CB3D20"/>
    <w:rsid w:val="00CC48EE"/>
    <w:rsid w:val="00CD0B96"/>
    <w:rsid w:val="00CD1EDA"/>
    <w:rsid w:val="00CD2700"/>
    <w:rsid w:val="00CD6D86"/>
    <w:rsid w:val="00CE11BB"/>
    <w:rsid w:val="00CE43A0"/>
    <w:rsid w:val="00CF239F"/>
    <w:rsid w:val="00CF4795"/>
    <w:rsid w:val="00CF4D07"/>
    <w:rsid w:val="00D006B2"/>
    <w:rsid w:val="00D018CE"/>
    <w:rsid w:val="00D218C1"/>
    <w:rsid w:val="00D21B5C"/>
    <w:rsid w:val="00D24295"/>
    <w:rsid w:val="00D3304E"/>
    <w:rsid w:val="00D3517E"/>
    <w:rsid w:val="00D36792"/>
    <w:rsid w:val="00D429E5"/>
    <w:rsid w:val="00D44FB8"/>
    <w:rsid w:val="00D45D3A"/>
    <w:rsid w:val="00D6128C"/>
    <w:rsid w:val="00D6383D"/>
    <w:rsid w:val="00D64BF4"/>
    <w:rsid w:val="00D659CE"/>
    <w:rsid w:val="00D677D0"/>
    <w:rsid w:val="00D7098C"/>
    <w:rsid w:val="00D734DF"/>
    <w:rsid w:val="00D73FA7"/>
    <w:rsid w:val="00D7441B"/>
    <w:rsid w:val="00D76854"/>
    <w:rsid w:val="00D83549"/>
    <w:rsid w:val="00D84BA6"/>
    <w:rsid w:val="00D97A00"/>
    <w:rsid w:val="00DA0293"/>
    <w:rsid w:val="00DA5C2A"/>
    <w:rsid w:val="00DB2D48"/>
    <w:rsid w:val="00DB637A"/>
    <w:rsid w:val="00DB73B6"/>
    <w:rsid w:val="00DB77E1"/>
    <w:rsid w:val="00DC1361"/>
    <w:rsid w:val="00DC3A68"/>
    <w:rsid w:val="00DC48EE"/>
    <w:rsid w:val="00DC72AD"/>
    <w:rsid w:val="00DD12D4"/>
    <w:rsid w:val="00DD23FA"/>
    <w:rsid w:val="00DE31E4"/>
    <w:rsid w:val="00DE4000"/>
    <w:rsid w:val="00DF336F"/>
    <w:rsid w:val="00E0239A"/>
    <w:rsid w:val="00E02B01"/>
    <w:rsid w:val="00E23616"/>
    <w:rsid w:val="00E26A6D"/>
    <w:rsid w:val="00E301D6"/>
    <w:rsid w:val="00E345EB"/>
    <w:rsid w:val="00E40A5E"/>
    <w:rsid w:val="00E415C7"/>
    <w:rsid w:val="00E416CD"/>
    <w:rsid w:val="00E43AF3"/>
    <w:rsid w:val="00E4498A"/>
    <w:rsid w:val="00E46E64"/>
    <w:rsid w:val="00E52471"/>
    <w:rsid w:val="00E57BFC"/>
    <w:rsid w:val="00E65DA1"/>
    <w:rsid w:val="00E663AD"/>
    <w:rsid w:val="00E67F61"/>
    <w:rsid w:val="00E70838"/>
    <w:rsid w:val="00E7499C"/>
    <w:rsid w:val="00E756C5"/>
    <w:rsid w:val="00E7753B"/>
    <w:rsid w:val="00E83C65"/>
    <w:rsid w:val="00E85C79"/>
    <w:rsid w:val="00E940FE"/>
    <w:rsid w:val="00EA1E02"/>
    <w:rsid w:val="00EA2940"/>
    <w:rsid w:val="00EA2A2A"/>
    <w:rsid w:val="00EA3755"/>
    <w:rsid w:val="00EA5FB9"/>
    <w:rsid w:val="00EA7CC7"/>
    <w:rsid w:val="00EB229D"/>
    <w:rsid w:val="00EB7B1E"/>
    <w:rsid w:val="00EC2589"/>
    <w:rsid w:val="00EC4821"/>
    <w:rsid w:val="00EC4E9F"/>
    <w:rsid w:val="00EC4F3B"/>
    <w:rsid w:val="00EC5125"/>
    <w:rsid w:val="00EC6CC1"/>
    <w:rsid w:val="00ED1688"/>
    <w:rsid w:val="00ED24C4"/>
    <w:rsid w:val="00ED4F4D"/>
    <w:rsid w:val="00ED79E7"/>
    <w:rsid w:val="00EE3E53"/>
    <w:rsid w:val="00EE7207"/>
    <w:rsid w:val="00EE7726"/>
    <w:rsid w:val="00EE7D58"/>
    <w:rsid w:val="00EF0B59"/>
    <w:rsid w:val="00EF1BC7"/>
    <w:rsid w:val="00EF7C4D"/>
    <w:rsid w:val="00F0338B"/>
    <w:rsid w:val="00F120D2"/>
    <w:rsid w:val="00F13A2E"/>
    <w:rsid w:val="00F21AC7"/>
    <w:rsid w:val="00F273BB"/>
    <w:rsid w:val="00F314F7"/>
    <w:rsid w:val="00F316EB"/>
    <w:rsid w:val="00F347CC"/>
    <w:rsid w:val="00F35D48"/>
    <w:rsid w:val="00F40102"/>
    <w:rsid w:val="00F401A3"/>
    <w:rsid w:val="00F40C0A"/>
    <w:rsid w:val="00F41B2E"/>
    <w:rsid w:val="00F45E46"/>
    <w:rsid w:val="00F53D4A"/>
    <w:rsid w:val="00F56CA3"/>
    <w:rsid w:val="00F6039C"/>
    <w:rsid w:val="00F61103"/>
    <w:rsid w:val="00F620E8"/>
    <w:rsid w:val="00F65251"/>
    <w:rsid w:val="00F65726"/>
    <w:rsid w:val="00F74530"/>
    <w:rsid w:val="00F77F16"/>
    <w:rsid w:val="00F8135F"/>
    <w:rsid w:val="00F8547C"/>
    <w:rsid w:val="00F91407"/>
    <w:rsid w:val="00F91A65"/>
    <w:rsid w:val="00F932FD"/>
    <w:rsid w:val="00FA1BA1"/>
    <w:rsid w:val="00FA42AA"/>
    <w:rsid w:val="00FA51FE"/>
    <w:rsid w:val="00FA54C6"/>
    <w:rsid w:val="00FB1157"/>
    <w:rsid w:val="00FB7957"/>
    <w:rsid w:val="00FC1D44"/>
    <w:rsid w:val="00FC1F3B"/>
    <w:rsid w:val="00FC5766"/>
    <w:rsid w:val="00FC6961"/>
    <w:rsid w:val="00FD04B0"/>
    <w:rsid w:val="00FD0613"/>
    <w:rsid w:val="00FD0D54"/>
    <w:rsid w:val="00FD1CF2"/>
    <w:rsid w:val="00FD35E8"/>
    <w:rsid w:val="00FD5AA9"/>
    <w:rsid w:val="00FE1408"/>
    <w:rsid w:val="00FE14AB"/>
    <w:rsid w:val="00FE379A"/>
    <w:rsid w:val="00FE39CE"/>
    <w:rsid w:val="00FE4620"/>
    <w:rsid w:val="00FF232A"/>
    <w:rsid w:val="00FF2FE9"/>
    <w:rsid w:val="00FF5D67"/>
    <w:rsid w:val="00FF7566"/>
    <w:rsid w:val="017E0CF1"/>
    <w:rsid w:val="01E575A5"/>
    <w:rsid w:val="02DE7956"/>
    <w:rsid w:val="03004714"/>
    <w:rsid w:val="03DE616F"/>
    <w:rsid w:val="03ED42C9"/>
    <w:rsid w:val="064D48E7"/>
    <w:rsid w:val="06B17C0F"/>
    <w:rsid w:val="075A6C09"/>
    <w:rsid w:val="07C46DFB"/>
    <w:rsid w:val="098B7C48"/>
    <w:rsid w:val="098F7203"/>
    <w:rsid w:val="0B402576"/>
    <w:rsid w:val="0CCF64AE"/>
    <w:rsid w:val="0E6804D8"/>
    <w:rsid w:val="0EB242A8"/>
    <w:rsid w:val="0F2C1A5F"/>
    <w:rsid w:val="0F835AA2"/>
    <w:rsid w:val="120472FC"/>
    <w:rsid w:val="12A014FD"/>
    <w:rsid w:val="135560E2"/>
    <w:rsid w:val="14C0422E"/>
    <w:rsid w:val="157A5BF3"/>
    <w:rsid w:val="15FF3646"/>
    <w:rsid w:val="161760C8"/>
    <w:rsid w:val="16F307DE"/>
    <w:rsid w:val="16F93755"/>
    <w:rsid w:val="17086D39"/>
    <w:rsid w:val="18994CCF"/>
    <w:rsid w:val="18D02E38"/>
    <w:rsid w:val="18FA50C9"/>
    <w:rsid w:val="19E125C1"/>
    <w:rsid w:val="1A140296"/>
    <w:rsid w:val="1AEE77DA"/>
    <w:rsid w:val="1B5B4849"/>
    <w:rsid w:val="1BAF72B5"/>
    <w:rsid w:val="1D6A618C"/>
    <w:rsid w:val="1D8C2D56"/>
    <w:rsid w:val="1E214367"/>
    <w:rsid w:val="1FB25286"/>
    <w:rsid w:val="235A4116"/>
    <w:rsid w:val="24271222"/>
    <w:rsid w:val="257C2576"/>
    <w:rsid w:val="257D4CB6"/>
    <w:rsid w:val="25EA4C8A"/>
    <w:rsid w:val="263A1F1A"/>
    <w:rsid w:val="272211D5"/>
    <w:rsid w:val="277931F8"/>
    <w:rsid w:val="280C5682"/>
    <w:rsid w:val="297C1CBD"/>
    <w:rsid w:val="2AA800C9"/>
    <w:rsid w:val="2AB1476F"/>
    <w:rsid w:val="2AE30A1B"/>
    <w:rsid w:val="2B8A4BE7"/>
    <w:rsid w:val="2C5E5301"/>
    <w:rsid w:val="2F6238F3"/>
    <w:rsid w:val="2F995479"/>
    <w:rsid w:val="2F9960C5"/>
    <w:rsid w:val="2FA05323"/>
    <w:rsid w:val="2FE83727"/>
    <w:rsid w:val="30384DA1"/>
    <w:rsid w:val="308D498D"/>
    <w:rsid w:val="324C0DD7"/>
    <w:rsid w:val="343F4FCF"/>
    <w:rsid w:val="34BF1730"/>
    <w:rsid w:val="356E5249"/>
    <w:rsid w:val="35AA5901"/>
    <w:rsid w:val="36B27EB1"/>
    <w:rsid w:val="37165434"/>
    <w:rsid w:val="37A54DCC"/>
    <w:rsid w:val="389656E1"/>
    <w:rsid w:val="3A547979"/>
    <w:rsid w:val="3C944E02"/>
    <w:rsid w:val="3F111375"/>
    <w:rsid w:val="40BC1C0D"/>
    <w:rsid w:val="419D0C44"/>
    <w:rsid w:val="430F7C39"/>
    <w:rsid w:val="43316DE8"/>
    <w:rsid w:val="45752A04"/>
    <w:rsid w:val="464633B8"/>
    <w:rsid w:val="47996FB2"/>
    <w:rsid w:val="48E21127"/>
    <w:rsid w:val="48F247EB"/>
    <w:rsid w:val="49441879"/>
    <w:rsid w:val="49A5209C"/>
    <w:rsid w:val="4A0F1193"/>
    <w:rsid w:val="4BC24A21"/>
    <w:rsid w:val="4C88170C"/>
    <w:rsid w:val="4C907E01"/>
    <w:rsid w:val="4D0429CD"/>
    <w:rsid w:val="4D1220B6"/>
    <w:rsid w:val="4FB176CA"/>
    <w:rsid w:val="50B14869"/>
    <w:rsid w:val="511D44A4"/>
    <w:rsid w:val="52FD6DE1"/>
    <w:rsid w:val="54CC52B4"/>
    <w:rsid w:val="54EC48D6"/>
    <w:rsid w:val="55B77169"/>
    <w:rsid w:val="5C20564F"/>
    <w:rsid w:val="5C6172E3"/>
    <w:rsid w:val="5DC06DC5"/>
    <w:rsid w:val="5DD42E93"/>
    <w:rsid w:val="5E762402"/>
    <w:rsid w:val="5F3D16FA"/>
    <w:rsid w:val="5F9C143E"/>
    <w:rsid w:val="5FA5432F"/>
    <w:rsid w:val="5FD0498C"/>
    <w:rsid w:val="61B7279D"/>
    <w:rsid w:val="63073F92"/>
    <w:rsid w:val="638043BC"/>
    <w:rsid w:val="63E176C5"/>
    <w:rsid w:val="64AA16F5"/>
    <w:rsid w:val="65225BA6"/>
    <w:rsid w:val="67940E58"/>
    <w:rsid w:val="694354FF"/>
    <w:rsid w:val="69E83D24"/>
    <w:rsid w:val="6B0A3CE8"/>
    <w:rsid w:val="6C5C5C72"/>
    <w:rsid w:val="6DBC4900"/>
    <w:rsid w:val="6F351B48"/>
    <w:rsid w:val="70913739"/>
    <w:rsid w:val="70F85728"/>
    <w:rsid w:val="715C0A7E"/>
    <w:rsid w:val="72317BC5"/>
    <w:rsid w:val="728E5CAF"/>
    <w:rsid w:val="73715158"/>
    <w:rsid w:val="73827065"/>
    <w:rsid w:val="74022791"/>
    <w:rsid w:val="764E08E7"/>
    <w:rsid w:val="767A7156"/>
    <w:rsid w:val="779656FF"/>
    <w:rsid w:val="798D4B55"/>
    <w:rsid w:val="7BFF1476"/>
    <w:rsid w:val="7C170DD7"/>
    <w:rsid w:val="7CF362DB"/>
    <w:rsid w:val="7ECC6E0C"/>
    <w:rsid w:val="7F361EFF"/>
    <w:rsid w:val="7F5B532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6"/>
    <w:qFormat/>
    <w:uiPriority w:val="0"/>
    <w:pPr>
      <w:keepNext/>
      <w:widowControl/>
      <w:overflowPunct w:val="0"/>
      <w:autoSpaceDE w:val="0"/>
      <w:autoSpaceDN w:val="0"/>
      <w:adjustRightInd w:val="0"/>
      <w:spacing w:line="360" w:lineRule="auto"/>
      <w:jc w:val="center"/>
      <w:textAlignment w:val="baseline"/>
      <w:outlineLvl w:val="1"/>
    </w:pPr>
    <w:rPr>
      <w:rFonts w:ascii="宋体" w:hAnsi="宋体" w:eastAsia="宋体" w:cs="Times New Roman"/>
      <w:kern w:val="0"/>
      <w:sz w:val="24"/>
      <w:szCs w:val="20"/>
      <w:lang w:val="en-GB"/>
    </w:rPr>
  </w:style>
  <w:style w:type="character" w:default="1" w:styleId="21">
    <w:name w:val="Default Paragraph Font"/>
    <w:semiHidden/>
    <w:unhideWhenUsed/>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eastAsia="宋体" w:cs="Times New Roman"/>
      <w:szCs w:val="20"/>
    </w:rPr>
  </w:style>
  <w:style w:type="paragraph" w:styleId="4">
    <w:name w:val="Document Map"/>
    <w:basedOn w:val="1"/>
    <w:link w:val="29"/>
    <w:unhideWhenUsed/>
    <w:qFormat/>
    <w:uiPriority w:val="99"/>
    <w:rPr>
      <w:rFonts w:ascii="宋体" w:eastAsia="宋体"/>
      <w:sz w:val="18"/>
      <w:szCs w:val="18"/>
    </w:rPr>
  </w:style>
  <w:style w:type="paragraph" w:styleId="5">
    <w:name w:val="annotation text"/>
    <w:basedOn w:val="1"/>
    <w:link w:val="27"/>
    <w:semiHidden/>
    <w:unhideWhenUsed/>
    <w:qFormat/>
    <w:uiPriority w:val="99"/>
    <w:pPr>
      <w:jc w:val="left"/>
    </w:pPr>
  </w:style>
  <w:style w:type="paragraph" w:styleId="6">
    <w:name w:val="Body Text Indent"/>
    <w:basedOn w:val="1"/>
    <w:link w:val="41"/>
    <w:qFormat/>
    <w:uiPriority w:val="99"/>
    <w:pPr>
      <w:autoSpaceDE w:val="0"/>
      <w:autoSpaceDN w:val="0"/>
      <w:adjustRightInd w:val="0"/>
      <w:spacing w:line="210" w:lineRule="atLeast"/>
      <w:ind w:firstLine="516"/>
    </w:pPr>
    <w:rPr>
      <w:rFonts w:ascii="宋体" w:hAnsi="宋体"/>
      <w:spacing w:val="5"/>
      <w:kern w:val="0"/>
      <w:szCs w:val="20"/>
    </w:rPr>
  </w:style>
  <w:style w:type="paragraph" w:styleId="7">
    <w:name w:val="toc 3"/>
    <w:basedOn w:val="1"/>
    <w:next w:val="1"/>
    <w:unhideWhenUsed/>
    <w:qFormat/>
    <w:uiPriority w:val="39"/>
    <w:pPr>
      <w:ind w:left="840" w:leftChars="400"/>
    </w:pPr>
  </w:style>
  <w:style w:type="paragraph" w:styleId="8">
    <w:name w:val="Plain Text"/>
    <w:basedOn w:val="1"/>
    <w:link w:val="43"/>
    <w:qFormat/>
    <w:uiPriority w:val="0"/>
    <w:pPr>
      <w:widowControl/>
      <w:overflowPunct w:val="0"/>
      <w:autoSpaceDE w:val="0"/>
      <w:autoSpaceDN w:val="0"/>
      <w:adjustRightInd w:val="0"/>
      <w:jc w:val="left"/>
      <w:textAlignment w:val="baseline"/>
    </w:pPr>
    <w:rPr>
      <w:rFonts w:ascii="宋体" w:hAnsi="Courier New" w:eastAsia="宋体"/>
      <w:kern w:val="0"/>
      <w:szCs w:val="20"/>
      <w:lang w:val="en-GB"/>
    </w:rPr>
  </w:style>
  <w:style w:type="paragraph" w:styleId="9">
    <w:name w:val="Balloon Text"/>
    <w:basedOn w:val="1"/>
    <w:link w:val="32"/>
    <w:unhideWhenUsed/>
    <w:qFormat/>
    <w:uiPriority w:val="99"/>
    <w:rPr>
      <w:sz w:val="18"/>
      <w:szCs w:val="18"/>
    </w:rPr>
  </w:style>
  <w:style w:type="paragraph" w:styleId="10">
    <w:name w:val="footer"/>
    <w:basedOn w:val="1"/>
    <w:link w:val="33"/>
    <w:unhideWhenUsed/>
    <w:qFormat/>
    <w:uiPriority w:val="99"/>
    <w:pPr>
      <w:tabs>
        <w:tab w:val="center" w:pos="4153"/>
        <w:tab w:val="right" w:pos="8306"/>
      </w:tabs>
      <w:snapToGrid w:val="0"/>
      <w:jc w:val="left"/>
    </w:pPr>
    <w:rPr>
      <w:sz w:val="18"/>
      <w:szCs w:val="18"/>
    </w:rPr>
  </w:style>
  <w:style w:type="paragraph" w:styleId="11">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13">
    <w:name w:val="Subtitle"/>
    <w:basedOn w:val="1"/>
    <w:next w:val="1"/>
    <w:link w:val="35"/>
    <w:qFormat/>
    <w:uiPriority w:val="0"/>
    <w:pPr>
      <w:spacing w:beforeLines="50" w:afterLines="50" w:line="360" w:lineRule="auto"/>
      <w:jc w:val="center"/>
    </w:pPr>
    <w:rPr>
      <w:rFonts w:ascii="宋体" w:hAnsi="宋体" w:eastAsia="黑体" w:cs="Times New Roman"/>
      <w:bCs/>
      <w:color w:val="00B0F0"/>
      <w:kern w:val="28"/>
      <w:sz w:val="24"/>
      <w:szCs w:val="32"/>
    </w:rPr>
  </w:style>
  <w:style w:type="paragraph" w:styleId="14">
    <w:name w:val="toc 2"/>
    <w:basedOn w:val="1"/>
    <w:next w:val="1"/>
    <w:unhideWhenUsed/>
    <w:qFormat/>
    <w:uiPriority w:val="39"/>
    <w:pPr>
      <w:widowControl/>
      <w:spacing w:before="100" w:beforeAutospacing="1" w:after="100" w:afterAutospacing="1"/>
      <w:jc w:val="left"/>
    </w:pPr>
    <w:rPr>
      <w:rFonts w:ascii="宋体" w:hAnsi="宋体" w:eastAsia="宋体" w:cs="宋体"/>
      <w:kern w:val="0"/>
      <w:sz w:val="24"/>
      <w:szCs w:val="24"/>
    </w:rPr>
  </w:style>
  <w:style w:type="paragraph" w:styleId="15">
    <w:name w:val="Body Text 2"/>
    <w:basedOn w:val="1"/>
    <w:link w:val="36"/>
    <w:semiHidden/>
    <w:unhideWhenUsed/>
    <w:qFormat/>
    <w:uiPriority w:val="99"/>
    <w:pPr>
      <w:spacing w:after="120" w:line="480" w:lineRule="auto"/>
    </w:p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Title"/>
    <w:basedOn w:val="1"/>
    <w:next w:val="1"/>
    <w:link w:val="47"/>
    <w:qFormat/>
    <w:uiPriority w:val="0"/>
    <w:pPr>
      <w:spacing w:before="240" w:after="60"/>
      <w:jc w:val="center"/>
      <w:outlineLvl w:val="0"/>
    </w:pPr>
    <w:rPr>
      <w:rFonts w:ascii="Cambria" w:hAnsi="Cambria"/>
      <w:b/>
      <w:bCs/>
      <w:sz w:val="32"/>
      <w:szCs w:val="32"/>
    </w:rPr>
  </w:style>
  <w:style w:type="paragraph" w:styleId="18">
    <w:name w:val="annotation subject"/>
    <w:basedOn w:val="5"/>
    <w:next w:val="5"/>
    <w:link w:val="28"/>
    <w:semiHidden/>
    <w:unhideWhenUsed/>
    <w:qFormat/>
    <w:uiPriority w:val="99"/>
    <w:rPr>
      <w:b/>
      <w:bCs/>
    </w:rPr>
  </w:style>
  <w:style w:type="table" w:styleId="20">
    <w:name w:val="Table Grid"/>
    <w:basedOn w:val="19"/>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Strong"/>
    <w:qFormat/>
    <w:uiPriority w:val="99"/>
    <w:rPr>
      <w:rFonts w:cs="Times New Roman"/>
      <w:b/>
    </w:rPr>
  </w:style>
  <w:style w:type="character" w:styleId="23">
    <w:name w:val="FollowedHyperlink"/>
    <w:basedOn w:val="21"/>
    <w:unhideWhenUsed/>
    <w:qFormat/>
    <w:uiPriority w:val="99"/>
    <w:rPr>
      <w:color w:val="800080" w:themeColor="followedHyperlink"/>
      <w:u w:val="single"/>
    </w:rPr>
  </w:style>
  <w:style w:type="character" w:styleId="24">
    <w:name w:val="Hyperlink"/>
    <w:basedOn w:val="21"/>
    <w:unhideWhenUsed/>
    <w:qFormat/>
    <w:uiPriority w:val="99"/>
    <w:rPr>
      <w:color w:val="0000FF"/>
      <w:u w:val="single"/>
    </w:rPr>
  </w:style>
  <w:style w:type="character" w:styleId="25">
    <w:name w:val="annotation reference"/>
    <w:basedOn w:val="21"/>
    <w:semiHidden/>
    <w:unhideWhenUsed/>
    <w:qFormat/>
    <w:uiPriority w:val="99"/>
    <w:rPr>
      <w:sz w:val="21"/>
      <w:szCs w:val="21"/>
    </w:rPr>
  </w:style>
  <w:style w:type="character" w:customStyle="1" w:styleId="26">
    <w:name w:val="标题 2 Char"/>
    <w:basedOn w:val="21"/>
    <w:link w:val="2"/>
    <w:qFormat/>
    <w:uiPriority w:val="0"/>
    <w:rPr>
      <w:rFonts w:ascii="宋体" w:hAnsi="宋体" w:eastAsia="宋体" w:cs="Times New Roman"/>
      <w:sz w:val="24"/>
      <w:lang w:val="en-GB"/>
    </w:rPr>
  </w:style>
  <w:style w:type="character" w:customStyle="1" w:styleId="27">
    <w:name w:val="批注文字 Char"/>
    <w:basedOn w:val="21"/>
    <w:link w:val="5"/>
    <w:semiHidden/>
    <w:qFormat/>
    <w:uiPriority w:val="99"/>
    <w:rPr>
      <w:kern w:val="2"/>
      <w:sz w:val="21"/>
      <w:szCs w:val="22"/>
    </w:rPr>
  </w:style>
  <w:style w:type="character" w:customStyle="1" w:styleId="28">
    <w:name w:val="批注主题 Char"/>
    <w:basedOn w:val="27"/>
    <w:link w:val="18"/>
    <w:semiHidden/>
    <w:qFormat/>
    <w:uiPriority w:val="99"/>
    <w:rPr>
      <w:b/>
      <w:bCs/>
      <w:kern w:val="2"/>
      <w:sz w:val="21"/>
      <w:szCs w:val="22"/>
    </w:rPr>
  </w:style>
  <w:style w:type="character" w:customStyle="1" w:styleId="29">
    <w:name w:val="文档结构图 Char"/>
    <w:basedOn w:val="21"/>
    <w:link w:val="4"/>
    <w:semiHidden/>
    <w:qFormat/>
    <w:uiPriority w:val="99"/>
    <w:rPr>
      <w:rFonts w:ascii="宋体" w:eastAsia="宋体"/>
      <w:sz w:val="18"/>
      <w:szCs w:val="18"/>
    </w:rPr>
  </w:style>
  <w:style w:type="character" w:customStyle="1" w:styleId="30">
    <w:name w:val="正文文本缩进 Char1"/>
    <w:basedOn w:val="21"/>
    <w:semiHidden/>
    <w:qFormat/>
    <w:uiPriority w:val="99"/>
    <w:rPr>
      <w:kern w:val="2"/>
      <w:sz w:val="21"/>
      <w:szCs w:val="22"/>
    </w:rPr>
  </w:style>
  <w:style w:type="character" w:customStyle="1" w:styleId="31">
    <w:name w:val="纯文本 Char1"/>
    <w:basedOn w:val="21"/>
    <w:semiHidden/>
    <w:qFormat/>
    <w:uiPriority w:val="99"/>
    <w:rPr>
      <w:rFonts w:ascii="宋体" w:hAnsi="Courier New" w:eastAsia="宋体" w:cs="Courier New"/>
      <w:kern w:val="2"/>
      <w:sz w:val="21"/>
      <w:szCs w:val="21"/>
    </w:rPr>
  </w:style>
  <w:style w:type="character" w:customStyle="1" w:styleId="32">
    <w:name w:val="批注框文本 Char"/>
    <w:basedOn w:val="21"/>
    <w:link w:val="9"/>
    <w:semiHidden/>
    <w:qFormat/>
    <w:uiPriority w:val="99"/>
    <w:rPr>
      <w:sz w:val="18"/>
      <w:szCs w:val="18"/>
    </w:rPr>
  </w:style>
  <w:style w:type="character" w:customStyle="1" w:styleId="33">
    <w:name w:val="页脚 Char"/>
    <w:basedOn w:val="21"/>
    <w:link w:val="10"/>
    <w:qFormat/>
    <w:uiPriority w:val="99"/>
    <w:rPr>
      <w:sz w:val="18"/>
      <w:szCs w:val="18"/>
    </w:rPr>
  </w:style>
  <w:style w:type="character" w:customStyle="1" w:styleId="34">
    <w:name w:val="页眉 Char"/>
    <w:basedOn w:val="21"/>
    <w:link w:val="11"/>
    <w:qFormat/>
    <w:uiPriority w:val="0"/>
    <w:rPr>
      <w:sz w:val="18"/>
      <w:szCs w:val="18"/>
    </w:rPr>
  </w:style>
  <w:style w:type="character" w:customStyle="1" w:styleId="35">
    <w:name w:val="副标题 Char"/>
    <w:basedOn w:val="21"/>
    <w:link w:val="13"/>
    <w:qFormat/>
    <w:uiPriority w:val="0"/>
    <w:rPr>
      <w:rFonts w:ascii="宋体" w:hAnsi="宋体" w:eastAsia="黑体" w:cs="Times New Roman"/>
      <w:bCs/>
      <w:color w:val="00B0F0"/>
      <w:kern w:val="28"/>
      <w:sz w:val="24"/>
      <w:szCs w:val="32"/>
    </w:rPr>
  </w:style>
  <w:style w:type="character" w:customStyle="1" w:styleId="36">
    <w:name w:val="正文文本 2 Char"/>
    <w:basedOn w:val="21"/>
    <w:link w:val="15"/>
    <w:semiHidden/>
    <w:qFormat/>
    <w:uiPriority w:val="99"/>
    <w:rPr>
      <w:kern w:val="2"/>
      <w:sz w:val="21"/>
      <w:szCs w:val="22"/>
    </w:rPr>
  </w:style>
  <w:style w:type="character" w:customStyle="1" w:styleId="37">
    <w:name w:val="标题 Char1"/>
    <w:basedOn w:val="21"/>
    <w:qFormat/>
    <w:uiPriority w:val="10"/>
    <w:rPr>
      <w:rFonts w:eastAsia="宋体" w:asciiTheme="majorHAnsi" w:hAnsiTheme="majorHAnsi" w:cstheme="majorBidi"/>
      <w:b/>
      <w:bCs/>
      <w:kern w:val="2"/>
      <w:sz w:val="32"/>
      <w:szCs w:val="32"/>
    </w:rPr>
  </w:style>
  <w:style w:type="paragraph" w:customStyle="1" w:styleId="38">
    <w:name w:val="toc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39">
    <w:name w:val="apple-converted-space"/>
    <w:basedOn w:val="21"/>
    <w:qFormat/>
    <w:uiPriority w:val="0"/>
  </w:style>
  <w:style w:type="paragraph" w:customStyle="1" w:styleId="40">
    <w:name w:val="listparagraph"/>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1">
    <w:name w:val="正文文本缩进 Char"/>
    <w:link w:val="6"/>
    <w:qFormat/>
    <w:uiPriority w:val="99"/>
    <w:rPr>
      <w:rFonts w:ascii="宋体" w:hAnsi="宋体"/>
      <w:spacing w:val="5"/>
      <w:sz w:val="21"/>
    </w:rPr>
  </w:style>
  <w:style w:type="paragraph" w:styleId="42">
    <w:name w:val="List Paragraph"/>
    <w:basedOn w:val="1"/>
    <w:unhideWhenUsed/>
    <w:qFormat/>
    <w:uiPriority w:val="99"/>
    <w:pPr>
      <w:ind w:firstLine="420" w:firstLineChars="200"/>
    </w:pPr>
  </w:style>
  <w:style w:type="character" w:customStyle="1" w:styleId="43">
    <w:name w:val="纯文本 Char"/>
    <w:link w:val="8"/>
    <w:qFormat/>
    <w:uiPriority w:val="0"/>
    <w:rPr>
      <w:rFonts w:ascii="宋体" w:hAnsi="Courier New" w:eastAsia="宋体"/>
      <w:sz w:val="21"/>
      <w:lang w:val="en-GB"/>
    </w:rPr>
  </w:style>
  <w:style w:type="paragraph" w:styleId="44">
    <w:name w:val="No Spacing"/>
    <w:qFormat/>
    <w:uiPriority w:val="0"/>
    <w:pPr>
      <w:widowControl w:val="0"/>
      <w:jc w:val="center"/>
    </w:pPr>
    <w:rPr>
      <w:rFonts w:ascii="宋体" w:hAnsi="宋体" w:eastAsia="宋体" w:cs="Times New Roman"/>
      <w:color w:val="FF00FF"/>
      <w:kern w:val="2"/>
      <w:sz w:val="21"/>
      <w:szCs w:val="22"/>
      <w:lang w:val="en-US" w:eastAsia="zh-CN" w:bidi="ar-SA"/>
    </w:rPr>
  </w:style>
  <w:style w:type="paragraph" w:customStyle="1" w:styleId="45">
    <w:name w:val="无间隔1"/>
    <w:qFormat/>
    <w:uiPriority w:val="1"/>
    <w:pPr>
      <w:widowControl w:val="0"/>
      <w:jc w:val="center"/>
    </w:pPr>
    <w:rPr>
      <w:rFonts w:ascii="宋体" w:hAnsi="宋体" w:eastAsia="宋体" w:cstheme="minorBidi"/>
      <w:color w:val="FF00FF"/>
      <w:kern w:val="2"/>
      <w:sz w:val="21"/>
      <w:szCs w:val="22"/>
      <w:lang w:val="en-US" w:eastAsia="zh-CN" w:bidi="ar-SA"/>
    </w:rPr>
  </w:style>
  <w:style w:type="paragraph" w:customStyle="1" w:styleId="46">
    <w:name w:val="样式 样式 宋体 小四 行距: 1.5 倍行距 + 首行缩进:  2 字符"/>
    <w:basedOn w:val="1"/>
    <w:qFormat/>
    <w:uiPriority w:val="0"/>
    <w:pPr>
      <w:spacing w:line="360" w:lineRule="auto"/>
      <w:ind w:firstLine="420" w:firstLineChars="200"/>
    </w:pPr>
    <w:rPr>
      <w:rFonts w:ascii="宋体" w:hAnsi="Times New Roman" w:eastAsia="宋体" w:cs="Times New Roman"/>
      <w:szCs w:val="20"/>
    </w:rPr>
  </w:style>
  <w:style w:type="character" w:customStyle="1" w:styleId="47">
    <w:name w:val="标题 Char"/>
    <w:link w:val="17"/>
    <w:qFormat/>
    <w:uiPriority w:val="0"/>
    <w:rPr>
      <w:rFonts w:ascii="Cambria" w:hAnsi="Cambria"/>
      <w:b/>
      <w:bCs/>
      <w:kern w:val="2"/>
      <w:sz w:val="32"/>
      <w:szCs w:val="32"/>
    </w:rPr>
  </w:style>
  <w:style w:type="paragraph" w:customStyle="1" w:styleId="48">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49">
    <w:name w:val="font21"/>
    <w:basedOn w:val="21"/>
    <w:qFormat/>
    <w:uiPriority w:val="0"/>
    <w:rPr>
      <w:rFonts w:hint="default" w:ascii="Times New Roman" w:hAnsi="Times New Roman" w:cs="Times New Roman"/>
      <w:b/>
      <w:color w:val="000000"/>
      <w:sz w:val="18"/>
      <w:szCs w:val="18"/>
      <w:u w:val="none"/>
    </w:rPr>
  </w:style>
  <w:style w:type="character" w:customStyle="1" w:styleId="50">
    <w:name w:val="font11"/>
    <w:basedOn w:val="21"/>
    <w:qFormat/>
    <w:uiPriority w:val="0"/>
    <w:rPr>
      <w:rFonts w:hint="eastAsia" w:ascii="宋体" w:hAnsi="宋体" w:eastAsia="宋体" w:cs="宋体"/>
      <w:b/>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50"/>
    <customShpInfo spid="_x0000_s2049"/>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FC29BF-18FD-4514-BD6A-3EE9750A8BA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38</Pages>
  <Words>4077</Words>
  <Characters>23243</Characters>
  <Lines>193</Lines>
  <Paragraphs>54</Paragraphs>
  <TotalTime>141</TotalTime>
  <ScaleCrop>false</ScaleCrop>
  <LinksUpToDate>false</LinksUpToDate>
  <CharactersWithSpaces>27266</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2017-09-10T09:02:00Z</dcterms:created>
  <dc:creator>k</dc:creator>
  <cp:lastModifiedBy>Administrator</cp:lastModifiedBy>
  <dcterms:modified xsi:type="dcterms:W3CDTF">2024-01-31T09:13:45Z</dcterms:modified>
  <cp:revision>252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7D2DEFA536DA469DA1B031BDDF1D1482</vt:lpwstr>
  </property>
</Properties>
</file>