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举办健身气功活动审批（县级权限）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【00013310100501】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1.行政许可事项名称及编码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2.行政许可事项子项名称及编码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举办健身气功活动审批（县级权限）(00013310100501)(审核通过)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（2）《健身气功管理办法》（2006年11月国家体育总局令第9号发布）第十一条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（1）《健身气功管理办法》（2006年11月国家体育总局令第9号发布）第十二条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（2）《健身气功管理办法》（2006年11月国家体育总局令第9号发布）第十三条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（1）《健身气功管理办法》（2006年11月国家体育总局令第9号发布）第二十六条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（2）《健身气功管理办法》（2006年11月国家体育总局令第9号发布）第二十七条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（3）《大型群众性活动安全管理条例》第二十条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（4）《健身气功管理办法》第二十五条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（5）《大型群众性活动安全管理条例》第二十一条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（6）《大型群众性活动安全管理条例》第二十二条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（7）《大型群众性活动安全管理条例》第二十三条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（8）《全民健身条例》第三十八条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7.实施机关：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8.审批层级：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9.行使层级：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10.是否由审批机关受理：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11.受理层级：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12.是否存在初审环节：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13.初审层级：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14.对应政务服务事项国家级基本目录名称：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条件型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(八)法律法规规定的其他条件。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行政许可服务对象类型与改革举措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双随机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一公开”的监管工作机制。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(五)社会体育指导员和管理人员的资格证明。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2.中介服务事项名称：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4.提供中介服务的机构：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5.中介服务事项的收费性质：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3.是否需要现场勘验：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4.是否需要组织听证：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5.是否需要招标、拍卖、挂牌交易：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6.是否需要检验、检测、检疫：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7.是否需要鉴定：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8.是否需要专家评审：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9.是否需要向社会公示：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10.是否实行告知承诺办理：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10个工作日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行政许可法》41法律、行政法规设定的行政许可，其适用范围没有地域限制的，申请人取得的行政许可在全国范围内有效。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1.有无年报要求：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2.年报报送材料名称：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3.设定年报要求的依据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4.年报周期：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监管主体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WQ3YmIwNWMwNmNhMTNkZGViOTE0MGQ2MWVhOTAifQ=="/>
  </w:docVars>
  <w:rsids>
    <w:rsidRoot w:val="56A23641"/>
    <w:rsid w:val="10502D75"/>
    <w:rsid w:val="195E50A3"/>
    <w:rsid w:val="23F03A61"/>
    <w:rsid w:val="322962CF"/>
    <w:rsid w:val="3733280A"/>
    <w:rsid w:val="544E176B"/>
    <w:rsid w:val="56A23641"/>
    <w:rsid w:val="70D81FE6"/>
    <w:rsid w:val="720927D3"/>
    <w:rsid w:val="7FE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2023-09-06T09:37:00Z</dcterms:created>
  <dc:creator>章悦慈</dc:creator>
  <cp:lastModifiedBy>吴艳红</cp:lastModifiedBy>
  <dcterms:modified xsi:type="dcterms:W3CDTF">2024-02-01T01:21:28Z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B225738175C14F19A6247FCED5E92521_12</vt:lpwstr>
  </property>
</Properties>
</file>