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江城镇</w:t>
      </w: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19</w:t>
      </w:r>
      <w:r>
        <w:rPr>
          <w:rFonts w:hint="eastAsia" w:ascii="方正小标宋_GBK" w:hAnsi="方正小标宋_GBK" w:eastAsia="方正小标宋_GBK" w:cs="方正小标宋_GBK"/>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eastAsia="zh-CN"/>
        </w:rPr>
        <w:t>江城镇严格按照区委、区政府关于政府信息公开网的各项部署安排</w:t>
      </w:r>
      <w:r>
        <w:rPr>
          <w:rFonts w:hint="default" w:ascii="Times New Roman" w:hAnsi="Times New Roman" w:eastAsia="方正仿宋_GBK" w:cs="Times New Roman"/>
          <w:sz w:val="32"/>
          <w:szCs w:val="32"/>
        </w:rPr>
        <w:t>，认真贯彻《中华人民共和国政府信息公开条例》的各项要求，</w:t>
      </w:r>
      <w:r>
        <w:rPr>
          <w:rFonts w:hint="eastAsia" w:eastAsia="方正仿宋_GBK" w:cs="Times New Roman"/>
          <w:sz w:val="32"/>
          <w:szCs w:val="32"/>
          <w:lang w:eastAsia="zh-CN"/>
        </w:rPr>
        <w:t>立足</w:t>
      </w:r>
      <w:r>
        <w:rPr>
          <w:rFonts w:hint="default" w:ascii="Times New Roman" w:hAnsi="Times New Roman" w:eastAsia="方正仿宋_GBK" w:cs="Times New Roman"/>
          <w:sz w:val="32"/>
          <w:szCs w:val="32"/>
        </w:rPr>
        <w:t>建立和完善各项制度、加强</w:t>
      </w:r>
      <w:r>
        <w:rPr>
          <w:rFonts w:hint="eastAsia" w:eastAsia="方正仿宋_GBK" w:cs="Times New Roman"/>
          <w:sz w:val="32"/>
          <w:szCs w:val="32"/>
          <w:lang w:eastAsia="zh-CN"/>
        </w:rPr>
        <w:t>平台建设</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做细政府信息公开管理</w:t>
      </w:r>
      <w:r>
        <w:rPr>
          <w:rFonts w:hint="default" w:ascii="Times New Roman" w:hAnsi="Times New Roman" w:eastAsia="方正仿宋_GBK" w:cs="Times New Roman"/>
          <w:sz w:val="32"/>
          <w:szCs w:val="32"/>
        </w:rPr>
        <w:t>等，扎实推进政府信息公开工作。本报告中所列数据的统计期限自201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日起至201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日止。现将2019年度开展工作的有关情况报告如下：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7" w:firstLineChars="196"/>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2019年我镇政务公开工作以习近平新时代中国特色社会主义思想为指导，</w:t>
      </w:r>
      <w:r>
        <w:rPr>
          <w:rFonts w:hint="default" w:ascii="Times New Roman" w:hAnsi="Times New Roman" w:eastAsia="方正仿宋_GBK" w:cs="Times New Roman"/>
          <w:sz w:val="32"/>
          <w:szCs w:val="32"/>
        </w:rPr>
        <w:t>认真贯彻国家和省、市、区关于政务公开和政府信息公开的有关要求</w:t>
      </w:r>
      <w:r>
        <w:rPr>
          <w:rFonts w:hint="eastAsia" w:eastAsia="方正仿宋_GBK" w:cs="Times New Roman"/>
          <w:sz w:val="32"/>
          <w:szCs w:val="32"/>
          <w:lang w:val="en-US" w:eastAsia="zh-CN"/>
        </w:rPr>
        <w:t>，坚持“公开为常态、不公开为例外”，注重对重点领域信息公开力度，</w:t>
      </w:r>
      <w:r>
        <w:rPr>
          <w:rFonts w:hint="default" w:ascii="Times New Roman" w:hAnsi="Times New Roman" w:eastAsia="方正仿宋_GBK" w:cs="Times New Roman"/>
          <w:sz w:val="32"/>
          <w:szCs w:val="32"/>
        </w:rPr>
        <w:t>加强政府信息公开平台建设，增强群众公开体验与获得感，努</w:t>
      </w:r>
      <w:r>
        <w:rPr>
          <w:rFonts w:hint="eastAsia" w:eastAsia="方正仿宋_GBK" w:cs="Times New Roman"/>
          <w:sz w:val="32"/>
          <w:szCs w:val="32"/>
          <w:lang w:val="en-US" w:eastAsia="zh-CN"/>
        </w:rPr>
        <w:t>持续深化</w:t>
      </w:r>
      <w:r>
        <w:rPr>
          <w:rFonts w:hint="default" w:ascii="Times New Roman" w:hAnsi="Times New Roman" w:eastAsia="方正仿宋_GBK" w:cs="Times New Roman"/>
          <w:sz w:val="32"/>
          <w:szCs w:val="32"/>
        </w:rPr>
        <w:t>“互联网+政务服务”工作</w:t>
      </w:r>
      <w:r>
        <w:rPr>
          <w:rFonts w:hint="eastAsia" w:eastAsia="方正仿宋_GBK" w:cs="Times New Roman"/>
          <w:sz w:val="32"/>
          <w:szCs w:val="32"/>
          <w:lang w:eastAsia="zh-CN"/>
        </w:rPr>
        <w:t>，</w:t>
      </w:r>
      <w:r>
        <w:rPr>
          <w:rFonts w:hint="eastAsia" w:eastAsia="方正仿宋_GBK" w:cs="Times New Roman"/>
          <w:sz w:val="32"/>
          <w:szCs w:val="32"/>
          <w:lang w:val="en-US" w:eastAsia="zh-CN"/>
        </w:rPr>
        <w:t>有力推动我镇信息公开纵深开展，切实保障人民群众对政府工作的知情权、参与权、表达权和监督权。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jc w:val="both"/>
        <w:textAlignment w:val="auto"/>
        <w:outlineLvl w:val="9"/>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（一）行政机关主动公开政府信息情况。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7" w:firstLineChars="196"/>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000000"/>
          <w:sz w:val="32"/>
          <w:szCs w:val="32"/>
          <w:lang w:eastAsia="zh-CN"/>
        </w:rPr>
        <w:t>201</w:t>
      </w:r>
      <w:r>
        <w:rPr>
          <w:rFonts w:hint="eastAsia" w:eastAsia="方正仿宋_GBK" w:cs="Times New Roman"/>
          <w:b w:val="0"/>
          <w:bCs w:val="0"/>
          <w:color w:val="000000"/>
          <w:sz w:val="32"/>
          <w:szCs w:val="32"/>
          <w:lang w:val="en-US" w:eastAsia="zh-CN"/>
        </w:rPr>
        <w:t>9</w:t>
      </w:r>
      <w:r>
        <w:rPr>
          <w:rFonts w:hint="default" w:ascii="Times New Roman" w:hAnsi="Times New Roman" w:eastAsia="方正仿宋_GBK" w:cs="Times New Roman"/>
          <w:b w:val="0"/>
          <w:bCs w:val="0"/>
          <w:color w:val="000000"/>
          <w:sz w:val="32"/>
          <w:szCs w:val="32"/>
          <w:lang w:eastAsia="zh-CN"/>
        </w:rPr>
        <w:t>年，通过政府门户网站主动公开信息340条。各专栏公布信息情况如下：重点领域信息公开专栏</w:t>
      </w:r>
      <w:r>
        <w:rPr>
          <w:rFonts w:hint="eastAsia" w:eastAsia="方正仿宋_GBK" w:cs="Times New Roman"/>
          <w:b w:val="0"/>
          <w:bCs w:val="0"/>
          <w:color w:val="000000"/>
          <w:sz w:val="32"/>
          <w:szCs w:val="32"/>
          <w:lang w:val="en-US" w:eastAsia="zh-CN"/>
        </w:rPr>
        <w:t>292</w:t>
      </w:r>
      <w:r>
        <w:rPr>
          <w:rFonts w:hint="default" w:ascii="Times New Roman" w:hAnsi="Times New Roman" w:eastAsia="方正仿宋_GBK" w:cs="Times New Roman"/>
          <w:b w:val="0"/>
          <w:bCs w:val="0"/>
          <w:color w:val="000000"/>
          <w:sz w:val="32"/>
          <w:szCs w:val="32"/>
          <w:lang w:eastAsia="zh-CN"/>
        </w:rPr>
        <w:t>条、部门预决算公开专栏</w:t>
      </w:r>
      <w:r>
        <w:rPr>
          <w:rFonts w:hint="eastAsia"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lang w:eastAsia="zh-CN"/>
        </w:rPr>
        <w:t>条、政府信息公开年度报告专栏</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lang w:eastAsia="zh-CN"/>
        </w:rPr>
        <w:t>条、公告公示</w:t>
      </w:r>
      <w:r>
        <w:rPr>
          <w:rFonts w:hint="eastAsia" w:eastAsia="方正仿宋_GBK" w:cs="Times New Roman"/>
          <w:b w:val="0"/>
          <w:bCs w:val="0"/>
          <w:color w:val="000000"/>
          <w:sz w:val="32"/>
          <w:szCs w:val="32"/>
          <w:lang w:val="en-US" w:eastAsia="zh-CN"/>
        </w:rPr>
        <w:t>30</w:t>
      </w:r>
      <w:r>
        <w:rPr>
          <w:rFonts w:hint="default" w:ascii="Times New Roman" w:hAnsi="Times New Roman" w:eastAsia="方正仿宋_GBK" w:cs="Times New Roman"/>
          <w:b w:val="0"/>
          <w:bCs w:val="0"/>
          <w:color w:val="000000"/>
          <w:sz w:val="32"/>
          <w:szCs w:val="32"/>
          <w:lang w:eastAsia="zh-CN"/>
        </w:rPr>
        <w:t>条、社会民生</w:t>
      </w:r>
      <w:r>
        <w:rPr>
          <w:rFonts w:hint="eastAsia" w:eastAsia="方正仿宋_GBK" w:cs="Times New Roman"/>
          <w:b w:val="0"/>
          <w:bCs w:val="0"/>
          <w:color w:val="000000"/>
          <w:sz w:val="32"/>
          <w:szCs w:val="32"/>
          <w:lang w:val="en-US" w:eastAsia="zh-CN"/>
        </w:rPr>
        <w:t>10</w:t>
      </w:r>
      <w:r>
        <w:rPr>
          <w:rFonts w:hint="default" w:ascii="Times New Roman" w:hAnsi="Times New Roman" w:eastAsia="方正仿宋_GBK" w:cs="Times New Roman"/>
          <w:b w:val="0"/>
          <w:bCs w:val="0"/>
          <w:color w:val="000000"/>
          <w:sz w:val="32"/>
          <w:szCs w:val="32"/>
          <w:lang w:eastAsia="zh-CN"/>
        </w:rPr>
        <w:t>条，机构概况</w:t>
      </w:r>
      <w:r>
        <w:rPr>
          <w:rFonts w:hint="eastAsia"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lang w:eastAsia="zh-CN"/>
        </w:rPr>
        <w:t>条。</w:t>
      </w:r>
      <w:r>
        <w:rPr>
          <w:rFonts w:hint="eastAsia" w:eastAsia="方正仿宋_GBK" w:cs="Times New Roman"/>
          <w:b w:val="0"/>
          <w:bCs w:val="0"/>
          <w:color w:val="000000"/>
          <w:sz w:val="32"/>
          <w:szCs w:val="32"/>
          <w:lang w:eastAsia="zh-CN"/>
        </w:rPr>
        <w:t>其中，</w:t>
      </w:r>
      <w:r>
        <w:rPr>
          <w:rFonts w:hint="default" w:ascii="Times New Roman" w:hAnsi="Times New Roman" w:eastAsia="方正仿宋_GBK" w:cs="Times New Roman"/>
          <w:color w:val="auto"/>
          <w:sz w:val="32"/>
          <w:szCs w:val="32"/>
          <w:lang w:val="en-US" w:eastAsia="zh-CN"/>
        </w:rPr>
        <w:t>重点领域信息公开专栏公布信息情况</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工作动态15</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条、会议</w:t>
      </w:r>
      <w:r>
        <w:rPr>
          <w:rFonts w:hint="eastAsia" w:eastAsia="方正仿宋_GBK" w:cs="Times New Roman"/>
          <w:color w:val="auto"/>
          <w:sz w:val="32"/>
          <w:szCs w:val="32"/>
          <w:lang w:val="en-US" w:eastAsia="zh-CN"/>
        </w:rPr>
        <w:t>46</w:t>
      </w:r>
      <w:r>
        <w:rPr>
          <w:rFonts w:hint="default" w:ascii="Times New Roman" w:hAnsi="Times New Roman" w:eastAsia="方正仿宋_GBK" w:cs="Times New Roman"/>
          <w:color w:val="auto"/>
          <w:sz w:val="32"/>
          <w:szCs w:val="32"/>
          <w:lang w:val="en-US" w:eastAsia="zh-CN"/>
        </w:rPr>
        <w:t>条、房地产信息公开</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条、放管服信息公开2条、政府文件和政策解读</w:t>
      </w:r>
      <w:r>
        <w:rPr>
          <w:rFonts w:hint="eastAsia" w:eastAsia="方正仿宋_GBK" w:cs="Times New Roman"/>
          <w:color w:val="auto"/>
          <w:sz w:val="32"/>
          <w:szCs w:val="32"/>
          <w:lang w:val="en-US" w:eastAsia="zh-CN"/>
        </w:rPr>
        <w:t>86</w:t>
      </w:r>
      <w:r>
        <w:rPr>
          <w:rFonts w:hint="default" w:ascii="Times New Roman" w:hAnsi="Times New Roman" w:eastAsia="方正仿宋_GBK" w:cs="Times New Roman"/>
          <w:color w:val="auto"/>
          <w:sz w:val="32"/>
          <w:szCs w:val="32"/>
          <w:lang w:val="en-US" w:eastAsia="zh-CN"/>
        </w:rPr>
        <w:t>条。</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依申请公开情况。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eastAsia="方正仿宋_GBK" w:cs="Times New Roman"/>
          <w:color w:val="auto"/>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按照上级关于依申请公开工作要求，我镇设立了依申请公开政府信息的制度，在《江城镇镇政府信息依申请公开制度》中明确了依申请公开事宜，内容涵盖依申请公开的途径、方法等，在政务信息公开网已上传制度和申请表。坚持依法依规合理界定涉密信息范围，对应保密的党政信息准备口径，在收到依申请公开时及时做好解释说明工作。</w:t>
      </w:r>
      <w:r>
        <w:rPr>
          <w:rFonts w:hint="eastAsia" w:eastAsia="方正仿宋_GBK" w:cs="Times New Roman"/>
          <w:b w:val="0"/>
          <w:bCs w:val="0"/>
          <w:color w:val="000000"/>
          <w:sz w:val="32"/>
          <w:szCs w:val="32"/>
          <w:highlight w:val="none"/>
          <w:lang w:val="en-US" w:eastAsia="zh-CN"/>
        </w:rPr>
        <w:t>2019年</w:t>
      </w:r>
      <w:r>
        <w:rPr>
          <w:rFonts w:hint="eastAsia" w:ascii="Times New Roman" w:hAnsi="Times New Roman" w:eastAsia="方正仿宋_GBK" w:cs="Times New Roman"/>
          <w:b w:val="0"/>
          <w:bCs w:val="0"/>
          <w:color w:val="000000"/>
          <w:sz w:val="32"/>
          <w:szCs w:val="32"/>
          <w:highlight w:val="none"/>
          <w:lang w:val="en-US" w:eastAsia="zh-CN"/>
        </w:rPr>
        <w:t>，</w:t>
      </w:r>
      <w:r>
        <w:rPr>
          <w:rFonts w:hint="eastAsia" w:ascii="Times New Roman" w:hAnsi="Times New Roman" w:eastAsia="方正仿宋_GBK" w:cs="Times New Roman"/>
          <w:b w:val="0"/>
          <w:bCs w:val="0"/>
          <w:color w:val="000000"/>
          <w:sz w:val="32"/>
          <w:szCs w:val="32"/>
          <w:lang w:val="en-US" w:eastAsia="zh-CN"/>
        </w:rPr>
        <w:t>江城镇没有收到依申请公开请求。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eastAsia="方正仿宋_GBK" w:cs="Times New Roman"/>
          <w:color w:val="auto"/>
          <w:sz w:val="32"/>
          <w:szCs w:val="32"/>
          <w:lang w:val="en-US" w:eastAsia="zh-CN"/>
        </w:rPr>
      </w:pPr>
      <w:r>
        <w:rPr>
          <w:rFonts w:hint="eastAsia" w:eastAsia="方正仿宋_GBK" w:cs="Times New Roman"/>
          <w:b/>
          <w:bCs/>
          <w:color w:val="auto"/>
          <w:sz w:val="32"/>
          <w:szCs w:val="32"/>
          <w:lang w:val="en-US" w:eastAsia="zh-CN"/>
        </w:rPr>
        <w:t>一是</w:t>
      </w:r>
      <w:r>
        <w:rPr>
          <w:rFonts w:hint="eastAsia" w:eastAsia="方正仿宋_GBK" w:cs="Times New Roman"/>
          <w:color w:val="auto"/>
          <w:sz w:val="32"/>
          <w:szCs w:val="32"/>
          <w:lang w:val="en-US" w:eastAsia="zh-CN"/>
        </w:rPr>
        <w:t>健全组织领导机构，2019年信息工作组织结构体系结合全镇机构调整，及时调整政务公开领导小组，</w:t>
      </w:r>
      <w:r>
        <w:rPr>
          <w:rFonts w:hint="eastAsia" w:ascii="Times New Roman" w:hAnsi="Times New Roman" w:eastAsia="方正仿宋_GBK" w:cs="Times New Roman"/>
          <w:color w:val="000000"/>
          <w:sz w:val="32"/>
          <w:szCs w:val="32"/>
          <w:lang w:val="en-US" w:eastAsia="zh-CN"/>
        </w:rPr>
        <w:t>形成以镇长赵子良为组长，党委副书记李春伟、综合管理办主任为副组长，相关文秘为成员的江城镇政务公开领导小组。下设办公室在镇综合管理办，由王昇国兼任办公室主任，办公室人员由</w:t>
      </w:r>
      <w:r>
        <w:rPr>
          <w:rFonts w:hint="eastAsia" w:eastAsia="方正仿宋_GBK" w:cs="Times New Roman"/>
          <w:color w:val="000000"/>
          <w:sz w:val="32"/>
          <w:szCs w:val="32"/>
          <w:lang w:val="en-US" w:eastAsia="zh-CN"/>
        </w:rPr>
        <w:t>保密专干、宣传专干以及办公室文秘</w:t>
      </w:r>
      <w:r>
        <w:rPr>
          <w:rFonts w:hint="eastAsia" w:ascii="Times New Roman" w:hAnsi="Times New Roman" w:eastAsia="方正仿宋_GBK" w:cs="Times New Roman"/>
          <w:color w:val="000000"/>
          <w:sz w:val="32"/>
          <w:szCs w:val="32"/>
          <w:lang w:val="en-US" w:eastAsia="zh-CN"/>
        </w:rPr>
        <w:t>组成，负责政务公开日常工作</w:t>
      </w:r>
      <w:r>
        <w:rPr>
          <w:rFonts w:hint="eastAsia" w:eastAsia="方正仿宋_GBK" w:cs="Times New Roman"/>
          <w:color w:val="000000"/>
          <w:sz w:val="32"/>
          <w:szCs w:val="32"/>
          <w:lang w:val="en-US" w:eastAsia="zh-CN"/>
        </w:rPr>
        <w:t>，</w:t>
      </w:r>
      <w:r>
        <w:rPr>
          <w:rFonts w:hint="eastAsia" w:eastAsia="方正仿宋_GBK" w:cs="Times New Roman"/>
          <w:color w:val="auto"/>
          <w:sz w:val="32"/>
          <w:szCs w:val="32"/>
          <w:lang w:val="en-US" w:eastAsia="zh-CN"/>
        </w:rPr>
        <w:t>确保我镇政务公开工作按流程、按制度、按职责有序开展</w:t>
      </w:r>
      <w:r>
        <w:rPr>
          <w:rFonts w:hint="eastAsia" w:ascii="Times New Roman" w:hAnsi="Times New Roman" w:eastAsia="方正仿宋_GBK" w:cs="Times New Roman"/>
          <w:color w:val="000000"/>
          <w:sz w:val="32"/>
          <w:szCs w:val="32"/>
          <w:lang w:val="en-US" w:eastAsia="zh-CN"/>
        </w:rPr>
        <w:t>。为提升镇文秘信息业务能力，定期组织文秘开展信息知识培训</w:t>
      </w:r>
      <w:r>
        <w:rPr>
          <w:rFonts w:hint="eastAsia" w:eastAsia="方正仿宋_GBK" w:cs="Times New Roman"/>
          <w:color w:val="auto"/>
          <w:sz w:val="32"/>
          <w:szCs w:val="32"/>
          <w:lang w:val="en-US" w:eastAsia="zh-CN"/>
        </w:rPr>
        <w:t>。</w:t>
      </w:r>
      <w:r>
        <w:rPr>
          <w:rFonts w:hint="eastAsia" w:eastAsia="方正仿宋_GBK" w:cs="Times New Roman"/>
          <w:b/>
          <w:bCs/>
          <w:color w:val="auto"/>
          <w:sz w:val="32"/>
          <w:szCs w:val="32"/>
          <w:lang w:val="en-US" w:eastAsia="zh-CN"/>
        </w:rPr>
        <w:t>二是</w:t>
      </w:r>
      <w:r>
        <w:rPr>
          <w:rFonts w:hint="eastAsia" w:eastAsia="方正仿宋_GBK" w:cs="Times New Roman"/>
          <w:color w:val="auto"/>
          <w:sz w:val="32"/>
          <w:szCs w:val="32"/>
          <w:lang w:val="en-US" w:eastAsia="zh-CN"/>
        </w:rPr>
        <w:t>从严完成规定动作，认真执行《江城镇人民政府文件公开属性审查制度》，严把信息文字关，做到涉密信息不上网，上网不涉密，并通过职工大会、周一例会等形式不断提高干部职工的保密意识，进一步推动我镇信息公开工作规范化和制度化。</w:t>
      </w:r>
      <w:r>
        <w:rPr>
          <w:rFonts w:hint="eastAsia" w:eastAsia="方正仿宋_GBK" w:cs="Times New Roman"/>
          <w:b/>
          <w:bCs/>
          <w:color w:val="auto"/>
          <w:sz w:val="32"/>
          <w:szCs w:val="32"/>
          <w:lang w:val="en-US" w:eastAsia="zh-CN"/>
        </w:rPr>
        <w:t>三是</w:t>
      </w:r>
      <w:r>
        <w:rPr>
          <w:rFonts w:hint="eastAsia" w:eastAsia="方正仿宋_GBK" w:cs="Times New Roman"/>
          <w:color w:val="auto"/>
          <w:sz w:val="32"/>
          <w:szCs w:val="32"/>
          <w:lang w:val="en-US" w:eastAsia="zh-CN"/>
        </w:rPr>
        <w:t>将信息工作纳入到镇属部门、各村（居）委会全年综合目标考核，充分调动我镇干部职工、各村（居）委会积极性，确保中心工作、重点工作以及群众关心信息及时更新上传，对信息工作做到与政府重点工作和中心工作同部署、同考核。</w:t>
      </w:r>
      <w:r>
        <w:rPr>
          <w:rFonts w:hint="eastAsia" w:eastAsia="方正仿宋_GBK" w:cs="Times New Roman"/>
          <w:b/>
          <w:bCs/>
          <w:color w:val="auto"/>
          <w:sz w:val="32"/>
          <w:szCs w:val="32"/>
          <w:lang w:val="en-US" w:eastAsia="zh-CN"/>
        </w:rPr>
        <w:t>四是</w:t>
      </w:r>
      <w:r>
        <w:rPr>
          <w:rFonts w:hint="eastAsia" w:eastAsia="方正仿宋_GBK" w:cs="Times New Roman"/>
          <w:color w:val="auto"/>
          <w:sz w:val="32"/>
          <w:szCs w:val="32"/>
          <w:lang w:val="en-US" w:eastAsia="zh-CN"/>
        </w:rPr>
        <w:t>完善“网络回应人”制度和新闻发言人制度，党政班子成员对重大舆情做到经常研究，明确人员密切监测收集苗头性舆情，做到24小时镇值班电话时时有人接听。面对重点工作推进、突发应急事件时，特别是对涉及特别重大、重大突发事件的政务舆情，按照政务舆情处理时限要求和党委政府紧急信息报送工作要求快速反应，及时上报，同时落实政务舆情回应的主体责任，主要领导、工作负责同志当好“第一新闻发言人”，将通过发表讲话、接受媒体访谈、网站发布信息等方式处理舆情，引导正确舆论。</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Chars="196" w:right="0" w:rightChars="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平台建设。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eastAsia="方正仿宋_GBK" w:cs="Times New Roman"/>
          <w:color w:val="auto"/>
          <w:sz w:val="32"/>
          <w:szCs w:val="32"/>
          <w:lang w:val="en-US" w:eastAsia="zh-CN"/>
        </w:rPr>
      </w:pPr>
      <w:r>
        <w:rPr>
          <w:rFonts w:hint="eastAsia" w:eastAsia="方正仿宋_GBK" w:cs="Times New Roman"/>
          <w:b/>
          <w:bCs/>
          <w:color w:val="auto"/>
          <w:sz w:val="32"/>
          <w:szCs w:val="32"/>
          <w:lang w:val="en-US" w:eastAsia="zh-CN"/>
        </w:rPr>
        <w:t>一是</w:t>
      </w:r>
      <w:r>
        <w:rPr>
          <w:rFonts w:hint="eastAsia" w:eastAsia="方正仿宋_GBK" w:cs="Times New Roman"/>
          <w:color w:val="auto"/>
          <w:sz w:val="32"/>
          <w:szCs w:val="32"/>
          <w:lang w:val="en-US" w:eastAsia="zh-CN"/>
        </w:rPr>
        <w:t>完善公开制度建设。结合镇政府工作实际，修订完善了《江城镇政府网站管理办法（试行）》，严格执行政府信息保密审查制度和政务“五公开”制度，进一步明确信息公开的内容、条件及范围，对国家安全、公共安全、经济安全和社会稳定等不予公开的信息坚决没有公开，确保国家信息安全，社会稳定。全镇拟公开政务信息都由综合管理办主任、分管综合管理办领导进行保密审查、审核后才进行公开，确保泄密事件不发生，2019年在政务信息公开工作中未发生过失涉密问题。同时没有出现被上级通报和政府网站找错、曝光台指出问题需要整改情况。</w:t>
      </w:r>
      <w:r>
        <w:rPr>
          <w:rFonts w:hint="eastAsia" w:eastAsia="方正仿宋_GBK" w:cs="Times New Roman"/>
          <w:b/>
          <w:bCs/>
          <w:color w:val="auto"/>
          <w:sz w:val="32"/>
          <w:szCs w:val="32"/>
          <w:lang w:val="en-US" w:eastAsia="zh-CN"/>
        </w:rPr>
        <w:t>二是</w:t>
      </w:r>
      <w:r>
        <w:rPr>
          <w:rFonts w:hint="eastAsia" w:eastAsia="方正仿宋_GBK" w:cs="Times New Roman"/>
          <w:color w:val="auto"/>
          <w:sz w:val="32"/>
          <w:szCs w:val="32"/>
          <w:lang w:val="en-US" w:eastAsia="zh-CN"/>
        </w:rPr>
        <w:t>专人负责使用，确保网站正常运行。我镇明确综合管理办工作人员每周定时访问镇政府门户网站，对网站存在的困难，及时联系上级部门解决，确保政府网站运行通畅。</w:t>
      </w:r>
      <w:r>
        <w:rPr>
          <w:rFonts w:hint="eastAsia" w:eastAsia="方正仿宋_GBK" w:cs="Times New Roman"/>
          <w:b/>
          <w:bCs/>
          <w:color w:val="auto"/>
          <w:sz w:val="32"/>
          <w:szCs w:val="32"/>
          <w:lang w:val="en-US" w:eastAsia="zh-CN"/>
        </w:rPr>
        <w:t>三是</w:t>
      </w:r>
      <w:r>
        <w:rPr>
          <w:rFonts w:hint="eastAsia" w:eastAsia="方正仿宋_GBK" w:cs="Times New Roman"/>
          <w:color w:val="auto"/>
          <w:sz w:val="32"/>
          <w:szCs w:val="32"/>
          <w:lang w:val="en-US" w:eastAsia="zh-CN"/>
        </w:rPr>
        <w:t>江城镇认真做好网民留言办理回复工作。按照镇人民政府主要领导批示、镇属对应部门办理并提交办理报告、镇综合办把关按时限上报的办理程序对网民留言进行回复，2019年江城镇收到和办理网民留言共8件。</w:t>
      </w:r>
      <w:r>
        <w:rPr>
          <w:rFonts w:hint="eastAsia" w:eastAsia="方正仿宋_GBK" w:cs="Times New Roman"/>
          <w:b/>
          <w:bCs/>
          <w:color w:val="auto"/>
          <w:sz w:val="32"/>
          <w:szCs w:val="32"/>
          <w:lang w:val="en-US" w:eastAsia="zh-CN"/>
        </w:rPr>
        <w:t>四是</w:t>
      </w:r>
      <w:r>
        <w:rPr>
          <w:rFonts w:hint="eastAsia" w:eastAsia="方正仿宋_GBK" w:cs="Times New Roman"/>
          <w:color w:val="auto"/>
          <w:sz w:val="32"/>
          <w:szCs w:val="32"/>
          <w:lang w:val="en-US" w:eastAsia="zh-CN"/>
        </w:rPr>
        <w:t>认真接听群众来电。江城镇对外公布的座机号码接听率高，工作日全天由综合管理办工作人员负责接听，周末则由值班人员负责人接听，转接及接听率达96%以上。</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27" w:leftChars="196" w:right="0" w:rightChars="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加大信息公开力度，镇政府积极运用政务信息公开，进一步加强和改进了政府工作作风，促进了工作效能提高。注重运用政务信息公开网、微信公众号、江川新闻网等途径传递政府信息，进而为公众提供快捷、方便的服务。扩大主动公开的范围，积极将镇人大代表建议、政协提案年度总体办理情况、镇政府2018年度部门决算、镇政府部门2019年度预算等财政信息进行公开，不断提高政府信息资源的共享水平，保证政府信息公开及时有效，方便群众及时完整地获取政府信息。</w:t>
      </w:r>
    </w:p>
    <w:p>
      <w:pPr>
        <w:keepNext w:val="0"/>
        <w:keepLines w:val="0"/>
        <w:pageBreakBefore w:val="0"/>
        <w:widowControl/>
        <w:kinsoku/>
        <w:wordWrap/>
        <w:overflowPunct/>
        <w:topLinePunct w:val="0"/>
        <w:autoSpaceDE/>
        <w:autoSpaceDN/>
        <w:bidi w:val="0"/>
        <w:adjustRightInd/>
        <w:snapToGrid/>
        <w:spacing w:line="586" w:lineRule="exact"/>
        <w:ind w:firstLine="640" w:firstLineChars="200"/>
        <w:jc w:val="both"/>
        <w:textAlignment w:val="auto"/>
        <w:rPr>
          <w:rFonts w:hint="eastAsia" w:eastAsia="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二、主动公开政府信息情况</w:t>
      </w:r>
    </w:p>
    <w:tbl>
      <w:tblPr>
        <w:tblStyle w:val="6"/>
        <w:tblW w:w="8240" w:type="dxa"/>
        <w:jc w:val="center"/>
        <w:tblLayout w:type="fixed"/>
        <w:tblCellMar>
          <w:top w:w="0" w:type="dxa"/>
          <w:left w:w="10" w:type="dxa"/>
          <w:bottom w:w="0" w:type="dxa"/>
          <w:right w:w="10" w:type="dxa"/>
        </w:tblCellMar>
      </w:tblPr>
      <w:tblGrid>
        <w:gridCol w:w="3142"/>
        <w:gridCol w:w="1893"/>
        <w:gridCol w:w="1263"/>
        <w:gridCol w:w="1942"/>
      </w:tblGrid>
      <w:tr>
        <w:tblPrEx>
          <w:tblCellMar>
            <w:top w:w="0" w:type="dxa"/>
            <w:left w:w="10" w:type="dxa"/>
            <w:bottom w:w="0" w:type="dxa"/>
            <w:right w:w="10" w:type="dxa"/>
          </w:tblCellMar>
        </w:tblPrEx>
        <w:trPr>
          <w:trHeight w:val="719" w:hRule="exact"/>
          <w:jc w:val="center"/>
        </w:trPr>
        <w:tc>
          <w:tcPr>
            <w:tcW w:w="8240"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第二十条第（一）顼</w:t>
            </w:r>
          </w:p>
        </w:tc>
      </w:tr>
      <w:tr>
        <w:tblPrEx>
          <w:tblCellMar>
            <w:top w:w="0" w:type="dxa"/>
            <w:left w:w="10" w:type="dxa"/>
            <w:bottom w:w="0" w:type="dxa"/>
            <w:right w:w="10" w:type="dxa"/>
          </w:tblCellMar>
        </w:tblPrEx>
        <w:trPr>
          <w:trHeight w:val="1247" w:hRule="exact"/>
          <w:jc w:val="center"/>
        </w:trPr>
        <w:tc>
          <w:tcPr>
            <w:tcW w:w="314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信息内容</w:t>
            </w:r>
          </w:p>
        </w:tc>
        <w:tc>
          <w:tcPr>
            <w:tcW w:w="189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本年新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制作数量</w:t>
            </w:r>
          </w:p>
        </w:tc>
        <w:tc>
          <w:tcPr>
            <w:tcW w:w="126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本年新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公开数量</w:t>
            </w:r>
          </w:p>
        </w:tc>
        <w:tc>
          <w:tcPr>
            <w:tcW w:w="194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对外公开总数量</w:t>
            </w:r>
          </w:p>
        </w:tc>
      </w:tr>
      <w:tr>
        <w:tblPrEx>
          <w:tblCellMar>
            <w:top w:w="0" w:type="dxa"/>
            <w:left w:w="10" w:type="dxa"/>
            <w:bottom w:w="0" w:type="dxa"/>
            <w:right w:w="10" w:type="dxa"/>
          </w:tblCellMar>
        </w:tblPrEx>
        <w:trPr>
          <w:trHeight w:val="719"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规章</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规范性文件</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650" w:hRule="exact"/>
          <w:jc w:val="center"/>
        </w:trPr>
        <w:tc>
          <w:tcPr>
            <w:tcW w:w="8240"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第二十条第（五）项</w:t>
            </w:r>
          </w:p>
        </w:tc>
      </w:tr>
      <w:tr>
        <w:tblPrEx>
          <w:tblCellMar>
            <w:top w:w="0" w:type="dxa"/>
            <w:left w:w="10" w:type="dxa"/>
            <w:bottom w:w="0" w:type="dxa"/>
            <w:right w:w="10" w:type="dxa"/>
          </w:tblCellMar>
        </w:tblPrEx>
        <w:trPr>
          <w:trHeight w:val="773" w:hRule="exact"/>
          <w:jc w:val="center"/>
        </w:trPr>
        <w:tc>
          <w:tcPr>
            <w:tcW w:w="314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信息内容</w:t>
            </w:r>
          </w:p>
        </w:tc>
        <w:tc>
          <w:tcPr>
            <w:tcW w:w="189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上一年项目数量</w:t>
            </w:r>
          </w:p>
        </w:tc>
        <w:tc>
          <w:tcPr>
            <w:tcW w:w="126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本年増/减</w:t>
            </w:r>
          </w:p>
        </w:tc>
        <w:tc>
          <w:tcPr>
            <w:tcW w:w="194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处理决定数量</w:t>
            </w:r>
          </w:p>
        </w:tc>
      </w:tr>
      <w:tr>
        <w:tblPrEx>
          <w:tblCellMar>
            <w:top w:w="0" w:type="dxa"/>
            <w:left w:w="10" w:type="dxa"/>
            <w:bottom w:w="0" w:type="dxa"/>
            <w:right w:w="10" w:type="dxa"/>
          </w:tblCellMar>
        </w:tblPrEx>
        <w:trPr>
          <w:trHeight w:val="719"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行政许可</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其他对外管理服务事项</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667" w:hRule="exact"/>
          <w:jc w:val="center"/>
        </w:trPr>
        <w:tc>
          <w:tcPr>
            <w:tcW w:w="8240"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第二十条第（六）项</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信息内容</w:t>
            </w:r>
          </w:p>
        </w:tc>
        <w:tc>
          <w:tcPr>
            <w:tcW w:w="189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上一年项目数量</w:t>
            </w:r>
          </w:p>
        </w:tc>
        <w:tc>
          <w:tcPr>
            <w:tcW w:w="126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本年増/减</w:t>
            </w:r>
          </w:p>
        </w:tc>
        <w:tc>
          <w:tcPr>
            <w:tcW w:w="1942"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处理决定数量</w:t>
            </w:r>
          </w:p>
        </w:tc>
      </w:tr>
      <w:tr>
        <w:tblPrEx>
          <w:tblCellMar>
            <w:top w:w="0" w:type="dxa"/>
            <w:left w:w="10" w:type="dxa"/>
            <w:bottom w:w="0" w:type="dxa"/>
            <w:right w:w="10" w:type="dxa"/>
          </w:tblCellMar>
        </w:tblPrEx>
        <w:trPr>
          <w:trHeight w:val="719"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行政处罚</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行政强制</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26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1942"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650" w:hRule="exact"/>
          <w:jc w:val="center"/>
        </w:trPr>
        <w:tc>
          <w:tcPr>
            <w:tcW w:w="8240"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第二十条第（八）项</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信息内容</w:t>
            </w:r>
          </w:p>
        </w:tc>
        <w:tc>
          <w:tcPr>
            <w:tcW w:w="189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上一年项目数量</w:t>
            </w:r>
          </w:p>
        </w:tc>
        <w:tc>
          <w:tcPr>
            <w:tcW w:w="3205"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本年增/减</w:t>
            </w:r>
          </w:p>
        </w:tc>
      </w:tr>
      <w:tr>
        <w:tblPrEx>
          <w:tblCellMar>
            <w:top w:w="0" w:type="dxa"/>
            <w:left w:w="10" w:type="dxa"/>
            <w:bottom w:w="0" w:type="dxa"/>
            <w:right w:w="10" w:type="dxa"/>
          </w:tblCellMar>
        </w:tblPrEx>
        <w:trPr>
          <w:trHeight w:val="755" w:hRule="exact"/>
          <w:jc w:val="center"/>
        </w:trPr>
        <w:tc>
          <w:tcPr>
            <w:tcW w:w="3142"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行政事业性收费</w:t>
            </w:r>
          </w:p>
        </w:tc>
        <w:tc>
          <w:tcPr>
            <w:tcW w:w="1893" w:type="dxa"/>
            <w:tcBorders>
              <w:top w:val="single" w:color="auto" w:sz="4" w:space="0"/>
              <w:lef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c>
          <w:tcPr>
            <w:tcW w:w="3205" w:type="dxa"/>
            <w:gridSpan w:val="2"/>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0</w:t>
            </w:r>
          </w:p>
        </w:tc>
      </w:tr>
      <w:tr>
        <w:tblPrEx>
          <w:tblCellMar>
            <w:top w:w="0" w:type="dxa"/>
            <w:left w:w="10" w:type="dxa"/>
            <w:bottom w:w="0" w:type="dxa"/>
            <w:right w:w="10" w:type="dxa"/>
          </w:tblCellMar>
        </w:tblPrEx>
        <w:trPr>
          <w:trHeight w:val="667" w:hRule="exact"/>
          <w:jc w:val="center"/>
        </w:trPr>
        <w:tc>
          <w:tcPr>
            <w:tcW w:w="8240" w:type="dxa"/>
            <w:gridSpan w:val="4"/>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第二十条第（九）项</w:t>
            </w:r>
          </w:p>
        </w:tc>
      </w:tr>
      <w:tr>
        <w:tblPrEx>
          <w:tblCellMar>
            <w:top w:w="0" w:type="dxa"/>
            <w:left w:w="10" w:type="dxa"/>
            <w:bottom w:w="0" w:type="dxa"/>
            <w:right w:w="10" w:type="dxa"/>
          </w:tblCellMar>
        </w:tblPrEx>
        <w:trPr>
          <w:trHeight w:val="738" w:hRule="exact"/>
          <w:jc w:val="center"/>
        </w:trPr>
        <w:tc>
          <w:tcPr>
            <w:tcW w:w="314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信息内容</w:t>
            </w:r>
          </w:p>
        </w:tc>
        <w:tc>
          <w:tcPr>
            <w:tcW w:w="1893"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采购项目数量</w:t>
            </w:r>
          </w:p>
        </w:tc>
        <w:tc>
          <w:tcPr>
            <w:tcW w:w="3205"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采购总金额</w:t>
            </w:r>
          </w:p>
        </w:tc>
      </w:tr>
      <w:tr>
        <w:tblPrEx>
          <w:tblCellMar>
            <w:top w:w="0" w:type="dxa"/>
            <w:left w:w="10" w:type="dxa"/>
            <w:bottom w:w="0" w:type="dxa"/>
            <w:right w:w="10" w:type="dxa"/>
          </w:tblCellMar>
        </w:tblPrEx>
        <w:trPr>
          <w:trHeight w:val="2497" w:hRule="exact"/>
          <w:jc w:val="center"/>
        </w:trPr>
        <w:tc>
          <w:tcPr>
            <w:tcW w:w="3142"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政府集中采购</w:t>
            </w:r>
          </w:p>
        </w:tc>
        <w:tc>
          <w:tcPr>
            <w:tcW w:w="1893"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leftChars="0" w:right="0" w:rightChars="0" w:firstLine="0" w:firstLineChars="0"/>
              <w:jc w:val="both"/>
              <w:textAlignment w:val="auto"/>
              <w:outlineLvl w:val="9"/>
              <w:rPr>
                <w:rFonts w:hint="eastAsia" w:ascii="方正黑体_GBK" w:hAnsi="方正黑体_GBK" w:eastAsia="方正黑体_GBK" w:cs="方正黑体_GBK"/>
                <w:kern w:val="2"/>
                <w:sz w:val="18"/>
                <w:szCs w:val="18"/>
                <w:lang w:val="en-US" w:eastAsia="zh-CN" w:bidi="ar-SA"/>
              </w:rPr>
            </w:pPr>
            <w:r>
              <w:rPr>
                <w:rFonts w:hint="eastAsia" w:ascii="方正黑体_GBK" w:hAnsi="方正黑体_GBK" w:eastAsia="方正黑体_GBK" w:cs="方正黑体_GBK"/>
                <w:kern w:val="2"/>
                <w:sz w:val="18"/>
                <w:szCs w:val="18"/>
                <w:lang w:val="en-US" w:eastAsia="zh-CN" w:bidi="ar-SA"/>
              </w:rPr>
              <w:t>付云南博超科技公司科普e站建设安装43寸卧式落地屏费用，付玉溪捷通信息技术有限公司综治办购置电脑、打印机各2台设备款，泥浆泵8台，柴油发电机组1，文件柜1个。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p>
        </w:tc>
        <w:tc>
          <w:tcPr>
            <w:tcW w:w="3205"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75680元</w:t>
            </w:r>
          </w:p>
        </w:tc>
      </w:tr>
    </w:tbl>
    <w:p>
      <w:pPr>
        <w:keepNext w:val="0"/>
        <w:keepLines w:val="0"/>
        <w:pageBreakBefore w:val="0"/>
        <w:widowControl/>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三、收到和处理政府信息公开申请情况</w:t>
      </w:r>
    </w:p>
    <w:tbl>
      <w:tblPr>
        <w:tblStyle w:val="6"/>
        <w:tblW w:w="8697" w:type="dxa"/>
        <w:jc w:val="center"/>
        <w:tblLayout w:type="fixed"/>
        <w:tblCellMar>
          <w:top w:w="0" w:type="dxa"/>
          <w:left w:w="10" w:type="dxa"/>
          <w:bottom w:w="0" w:type="dxa"/>
          <w:right w:w="10" w:type="dxa"/>
        </w:tblCellMar>
      </w:tblPr>
      <w:tblGrid>
        <w:gridCol w:w="648"/>
        <w:gridCol w:w="888"/>
        <w:gridCol w:w="1737"/>
        <w:gridCol w:w="802"/>
        <w:gridCol w:w="749"/>
        <w:gridCol w:w="749"/>
        <w:gridCol w:w="792"/>
        <w:gridCol w:w="878"/>
        <w:gridCol w:w="720"/>
        <w:gridCol w:w="734"/>
      </w:tblGrid>
      <w:tr>
        <w:tblPrEx>
          <w:tblCellMar>
            <w:top w:w="0" w:type="dxa"/>
            <w:left w:w="10" w:type="dxa"/>
            <w:bottom w:w="0" w:type="dxa"/>
            <w:right w:w="10" w:type="dxa"/>
          </w:tblCellMar>
        </w:tblPrEx>
        <w:trPr>
          <w:trHeight w:val="590" w:hRule="exact"/>
          <w:jc w:val="center"/>
        </w:trPr>
        <w:tc>
          <w:tcPr>
            <w:tcW w:w="3273" w:type="dxa"/>
            <w:gridSpan w:val="3"/>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（本列数据的勾稽关系为：第一项加第二项之和，等于第三项加第四项之和）</w:t>
            </w:r>
          </w:p>
        </w:tc>
        <w:tc>
          <w:tcPr>
            <w:tcW w:w="5424" w:type="dxa"/>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申请人情况</w:t>
            </w:r>
          </w:p>
        </w:tc>
      </w:tr>
      <w:tr>
        <w:tblPrEx>
          <w:tblCellMar>
            <w:top w:w="0" w:type="dxa"/>
            <w:left w:w="10" w:type="dxa"/>
            <w:bottom w:w="0" w:type="dxa"/>
            <w:right w:w="10" w:type="dxa"/>
          </w:tblCellMar>
        </w:tblPrEx>
        <w:trPr>
          <w:trHeight w:val="590" w:hRule="exact"/>
          <w:jc w:val="center"/>
        </w:trPr>
        <w:tc>
          <w:tcPr>
            <w:tcW w:w="3273" w:type="dxa"/>
            <w:gridSpan w:val="3"/>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802"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自然人</w:t>
            </w:r>
          </w:p>
        </w:tc>
        <w:tc>
          <w:tcPr>
            <w:tcW w:w="3888" w:type="dxa"/>
            <w:gridSpan w:val="5"/>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法人或其他组织</w:t>
            </w:r>
          </w:p>
        </w:tc>
        <w:tc>
          <w:tcPr>
            <w:tcW w:w="734"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总计</w:t>
            </w:r>
          </w:p>
        </w:tc>
      </w:tr>
      <w:tr>
        <w:tblPrEx>
          <w:tblCellMar>
            <w:top w:w="0" w:type="dxa"/>
            <w:left w:w="10" w:type="dxa"/>
            <w:bottom w:w="0" w:type="dxa"/>
            <w:right w:w="10" w:type="dxa"/>
          </w:tblCellMar>
        </w:tblPrEx>
        <w:trPr>
          <w:trHeight w:val="994" w:hRule="exact"/>
          <w:jc w:val="center"/>
        </w:trPr>
        <w:tc>
          <w:tcPr>
            <w:tcW w:w="3273" w:type="dxa"/>
            <w:gridSpan w:val="3"/>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02"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商业 企业</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科研 机构</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社会公益组织</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法律服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务机构</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其他</w:t>
            </w:r>
          </w:p>
        </w:tc>
        <w:tc>
          <w:tcPr>
            <w:tcW w:w="7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r>
      <w:tr>
        <w:tblPrEx>
          <w:tblCellMar>
            <w:top w:w="0" w:type="dxa"/>
            <w:left w:w="10" w:type="dxa"/>
            <w:bottom w:w="0" w:type="dxa"/>
            <w:right w:w="10" w:type="dxa"/>
          </w:tblCellMar>
        </w:tblPrEx>
        <w:trPr>
          <w:trHeight w:val="742" w:hRule="exact"/>
          <w:jc w:val="center"/>
        </w:trPr>
        <w:tc>
          <w:tcPr>
            <w:tcW w:w="3273" w:type="dxa"/>
            <w:gridSpan w:val="3"/>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一、本年新收政府信息公开申请数量</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805" w:hRule="exact"/>
          <w:jc w:val="center"/>
        </w:trPr>
        <w:tc>
          <w:tcPr>
            <w:tcW w:w="3273" w:type="dxa"/>
            <w:gridSpan w:val="3"/>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二、上年结转政府信息公开申请数量</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590" w:hRule="exact"/>
          <w:jc w:val="center"/>
        </w:trPr>
        <w:tc>
          <w:tcPr>
            <w:tcW w:w="648"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方正仿宋_GBK"/>
                <w:sz w:val="21"/>
                <w:szCs w:val="21"/>
                <w:lang w:val="en-US" w:eastAsia="zh-CN"/>
              </w:rPr>
            </w:pPr>
            <w:r>
              <w:rPr>
                <w:rFonts w:hint="eastAsia" w:ascii="方正黑体_GBK" w:hAnsi="方正黑体_GBK" w:eastAsia="方正黑体_GBK" w:cs="方正黑体_GBK"/>
                <w:kern w:val="2"/>
                <w:sz w:val="21"/>
                <w:szCs w:val="21"/>
                <w:lang w:val="en-US" w:eastAsia="zh-CN" w:bidi="ar-SA"/>
              </w:rPr>
              <w:t>三、本年度办理结果</w:t>
            </w:r>
          </w:p>
        </w:tc>
        <w:tc>
          <w:tcPr>
            <w:tcW w:w="2625" w:type="dxa"/>
            <w:gridSpan w:val="2"/>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（一）予以公开</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1397"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2625" w:type="dxa"/>
            <w:gridSpan w:val="2"/>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（二）部分公开（区分处理的，只计这一情形，不计其他情形）</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590"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（三） 不予公开</w:t>
            </w: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1.属于国家秘密</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2.其他法律行政法规禁止公开</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3.危及“三安全一稳定”</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4.保护第三方合法权益</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5.属于三类内部事务信息</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6.属于四类过程性信息</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7.属于行政执法案卷</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8.属于行政查询事项</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（四）无法提供</w:t>
            </w: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1.本机关不掌握相关政府信息</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2.没有现成信息需要另行制作</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3.补正后申请内容仍不明确</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（五）不于处理</w:t>
            </w: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1.信访举报投诉类申请</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590"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2.重复申请</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3.要求提供公开出版物</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994"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4.无正当理由大量反复申请</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1397"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88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1737"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5.要求行政机关确认或重新出具已获取信息</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590"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2625" w:type="dxa"/>
            <w:gridSpan w:val="2"/>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（六）其他处理</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590" w:hRule="exact"/>
          <w:jc w:val="center"/>
        </w:trPr>
        <w:tc>
          <w:tcPr>
            <w:tcW w:w="648"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p>
        </w:tc>
        <w:tc>
          <w:tcPr>
            <w:tcW w:w="2625" w:type="dxa"/>
            <w:gridSpan w:val="2"/>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eastAsia="方正仿宋_GBK"/>
                <w:sz w:val="21"/>
                <w:szCs w:val="21"/>
                <w:lang w:val="en-US" w:eastAsia="zh-CN"/>
              </w:rPr>
            </w:pPr>
            <w:r>
              <w:rPr>
                <w:rFonts w:hint="eastAsia" w:eastAsia="方正仿宋_GBK"/>
                <w:sz w:val="21"/>
                <w:szCs w:val="21"/>
                <w:lang w:val="en-US" w:eastAsia="zh-CN"/>
              </w:rPr>
              <w:t>（七）总计</w:t>
            </w:r>
          </w:p>
        </w:tc>
        <w:tc>
          <w:tcPr>
            <w:tcW w:w="80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r>
        <w:tblPrEx>
          <w:tblCellMar>
            <w:top w:w="0" w:type="dxa"/>
            <w:left w:w="10" w:type="dxa"/>
            <w:bottom w:w="0" w:type="dxa"/>
            <w:right w:w="10" w:type="dxa"/>
          </w:tblCellMar>
        </w:tblPrEx>
        <w:trPr>
          <w:trHeight w:val="605" w:hRule="exact"/>
          <w:jc w:val="center"/>
        </w:trPr>
        <w:tc>
          <w:tcPr>
            <w:tcW w:w="3273" w:type="dxa"/>
            <w:gridSpan w:val="3"/>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方正仿宋_GBK"/>
                <w:sz w:val="21"/>
                <w:szCs w:val="21"/>
                <w:lang w:val="en-US" w:eastAsia="zh-CN"/>
              </w:rPr>
            </w:pPr>
            <w:r>
              <w:rPr>
                <w:rFonts w:hint="eastAsia" w:ascii="方正黑体_GBK" w:hAnsi="方正黑体_GBK" w:eastAsia="方正黑体_GBK" w:cs="方正黑体_GBK"/>
                <w:sz w:val="21"/>
                <w:szCs w:val="21"/>
                <w:lang w:val="en-US" w:eastAsia="zh-CN"/>
              </w:rPr>
              <w:t>四、结转下年度继续办理</w:t>
            </w:r>
          </w:p>
        </w:tc>
        <w:tc>
          <w:tcPr>
            <w:tcW w:w="80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4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9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87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2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eastAsia="方正仿宋_GBK"/>
                <w:sz w:val="21"/>
                <w:szCs w:val="21"/>
                <w:lang w:val="en-US" w:eastAsia="zh-CN"/>
              </w:rPr>
            </w:pPr>
            <w:r>
              <w:rPr>
                <w:rFonts w:hint="eastAsia" w:eastAsia="方正仿宋_GBK"/>
                <w:sz w:val="21"/>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586"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四、政府信息公开行政复议、行政诉讼情况</w:t>
      </w:r>
    </w:p>
    <w:tbl>
      <w:tblPr>
        <w:tblStyle w:val="6"/>
        <w:tblW w:w="8698" w:type="dxa"/>
        <w:jc w:val="center"/>
        <w:tblLayout w:type="fixed"/>
        <w:tblCellMar>
          <w:top w:w="0" w:type="dxa"/>
          <w:left w:w="10" w:type="dxa"/>
          <w:bottom w:w="0" w:type="dxa"/>
          <w:right w:w="10" w:type="dxa"/>
        </w:tblCellMar>
      </w:tblPr>
      <w:tblGrid>
        <w:gridCol w:w="562"/>
        <w:gridCol w:w="576"/>
        <w:gridCol w:w="576"/>
        <w:gridCol w:w="576"/>
        <w:gridCol w:w="605"/>
        <w:gridCol w:w="562"/>
        <w:gridCol w:w="576"/>
        <w:gridCol w:w="576"/>
        <w:gridCol w:w="576"/>
        <w:gridCol w:w="576"/>
        <w:gridCol w:w="576"/>
        <w:gridCol w:w="576"/>
        <w:gridCol w:w="590"/>
        <w:gridCol w:w="590"/>
        <w:gridCol w:w="605"/>
      </w:tblGrid>
      <w:tr>
        <w:tblPrEx>
          <w:tblCellMar>
            <w:top w:w="0" w:type="dxa"/>
            <w:left w:w="10" w:type="dxa"/>
            <w:bottom w:w="0" w:type="dxa"/>
            <w:right w:w="10" w:type="dxa"/>
          </w:tblCellMar>
        </w:tblPrEx>
        <w:trPr>
          <w:trHeight w:val="590" w:hRule="exact"/>
          <w:jc w:val="center"/>
        </w:trPr>
        <w:tc>
          <w:tcPr>
            <w:tcW w:w="2895" w:type="dxa"/>
            <w:gridSpan w:val="5"/>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行政复议</w:t>
            </w:r>
          </w:p>
        </w:tc>
        <w:tc>
          <w:tcPr>
            <w:tcW w:w="5803"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行政诉讼</w:t>
            </w:r>
          </w:p>
        </w:tc>
      </w:tr>
      <w:tr>
        <w:tblPrEx>
          <w:tblCellMar>
            <w:top w:w="0" w:type="dxa"/>
            <w:left w:w="10" w:type="dxa"/>
            <w:bottom w:w="0" w:type="dxa"/>
            <w:right w:w="10" w:type="dxa"/>
          </w:tblCellMar>
        </w:tblPrEx>
        <w:trPr>
          <w:trHeight w:val="590" w:hRule="exact"/>
          <w:jc w:val="center"/>
        </w:trPr>
        <w:tc>
          <w:tcPr>
            <w:tcW w:w="562"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维  持</w:t>
            </w:r>
          </w:p>
        </w:tc>
        <w:tc>
          <w:tcPr>
            <w:tcW w:w="576"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纠  正</w:t>
            </w:r>
          </w:p>
        </w:tc>
        <w:tc>
          <w:tcPr>
            <w:tcW w:w="576"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其  他  结  果</w:t>
            </w:r>
          </w:p>
        </w:tc>
        <w:tc>
          <w:tcPr>
            <w:tcW w:w="576"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尚  未  审  结</w:t>
            </w:r>
          </w:p>
        </w:tc>
        <w:tc>
          <w:tcPr>
            <w:tcW w:w="605" w:type="dxa"/>
            <w:vMerge w:val="restart"/>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总 计</w:t>
            </w:r>
          </w:p>
        </w:tc>
        <w:tc>
          <w:tcPr>
            <w:tcW w:w="2866" w:type="dxa"/>
            <w:gridSpan w:val="5"/>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未经复议直接起诉</w:t>
            </w:r>
          </w:p>
        </w:tc>
        <w:tc>
          <w:tcPr>
            <w:tcW w:w="2937" w:type="dxa"/>
            <w:gridSpan w:val="5"/>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复议后起诉</w:t>
            </w:r>
          </w:p>
        </w:tc>
      </w:tr>
      <w:tr>
        <w:tblPrEx>
          <w:tblCellMar>
            <w:top w:w="0" w:type="dxa"/>
            <w:left w:w="10" w:type="dxa"/>
            <w:bottom w:w="0" w:type="dxa"/>
            <w:right w:w="10" w:type="dxa"/>
          </w:tblCellMar>
        </w:tblPrEx>
        <w:trPr>
          <w:trHeight w:val="1800" w:hRule="exact"/>
          <w:jc w:val="center"/>
        </w:trPr>
        <w:tc>
          <w:tcPr>
            <w:tcW w:w="562"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576"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576"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576"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605" w:type="dxa"/>
            <w:vMerge w:val="continue"/>
            <w:tcBorders>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维  持</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纠  正</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其  他  结  果</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尚  未  审  结</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总  计</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维  持</w:t>
            </w:r>
          </w:p>
        </w:tc>
        <w:tc>
          <w:tcPr>
            <w:tcW w:w="576"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结  果  纠  正</w:t>
            </w:r>
          </w:p>
        </w:tc>
        <w:tc>
          <w:tcPr>
            <w:tcW w:w="59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其他结果</w:t>
            </w:r>
          </w:p>
        </w:tc>
        <w:tc>
          <w:tcPr>
            <w:tcW w:w="590" w:type="dxa"/>
            <w:tcBorders>
              <w:top w:val="single" w:color="auto" w:sz="4" w:space="0"/>
              <w:lef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尚未审结</w:t>
            </w:r>
          </w:p>
        </w:tc>
        <w:tc>
          <w:tcPr>
            <w:tcW w:w="605"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kern w:val="2"/>
                <w:sz w:val="21"/>
                <w:szCs w:val="21"/>
                <w:lang w:val="en-US" w:eastAsia="zh-CN" w:bidi="ar-SA"/>
              </w:rPr>
            </w:pPr>
            <w:r>
              <w:rPr>
                <w:rFonts w:hint="eastAsia" w:ascii="方正黑体_GBK" w:hAnsi="方正黑体_GBK" w:eastAsia="方正黑体_GBK" w:cs="方正黑体_GBK"/>
                <w:kern w:val="2"/>
                <w:sz w:val="21"/>
                <w:szCs w:val="21"/>
                <w:lang w:val="en-US" w:eastAsia="zh-CN" w:bidi="ar-SA"/>
              </w:rPr>
              <w:t>总计</w:t>
            </w:r>
          </w:p>
        </w:tc>
      </w:tr>
      <w:tr>
        <w:tblPrEx>
          <w:tblCellMar>
            <w:top w:w="0" w:type="dxa"/>
            <w:left w:w="10" w:type="dxa"/>
            <w:bottom w:w="0" w:type="dxa"/>
            <w:right w:w="10" w:type="dxa"/>
          </w:tblCellMar>
        </w:tblPrEx>
        <w:trPr>
          <w:trHeight w:val="605" w:hRule="exact"/>
          <w:jc w:val="center"/>
        </w:trPr>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60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7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59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00" w:firstLineChars="200"/>
              <w:jc w:val="center"/>
              <w:textAlignment w:val="auto"/>
              <w:rPr>
                <w:rFonts w:hint="eastAsia" w:eastAsia="方正仿宋_GBK"/>
                <w:sz w:val="20"/>
                <w:szCs w:val="20"/>
                <w:lang w:val="en-US" w:eastAsia="zh-CN"/>
              </w:rPr>
            </w:pPr>
            <w:r>
              <w:rPr>
                <w:rFonts w:hint="eastAsia" w:eastAsia="方正仿宋_GBK"/>
                <w:sz w:val="20"/>
                <w:szCs w:val="20"/>
                <w:lang w:val="en-US" w:eastAsia="zh-CN"/>
              </w:rPr>
              <w:t>0</w:t>
            </w:r>
          </w:p>
        </w:tc>
      </w:tr>
    </w:tbl>
    <w:p>
      <w:pPr>
        <w:spacing w:line="586" w:lineRule="exact"/>
        <w:ind w:firstLine="627" w:firstLineChars="196"/>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五、存在的主要问题及改进情况</w:t>
      </w:r>
    </w:p>
    <w:p>
      <w:pPr>
        <w:spacing w:line="586" w:lineRule="exact"/>
        <w:ind w:firstLine="627" w:firstLineChars="196"/>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2018年</w:t>
      </w:r>
      <w:r>
        <w:rPr>
          <w:rFonts w:hint="default" w:ascii="Times New Roman" w:hAnsi="Times New Roman" w:eastAsia="方正仿宋_GBK" w:cs="Times New Roman"/>
          <w:color w:val="auto"/>
          <w:sz w:val="32"/>
          <w:szCs w:val="32"/>
          <w:lang w:val="en-US" w:eastAsia="zh-CN"/>
        </w:rPr>
        <w:t>我镇政府门户网站主要存在三方面的问题：</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从事政府信息公开工作的人员均为兼职人员，工作力量不足；</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主动公开的政府信息内容与公众需求还有一定差距，公开量、公开面、公开形式、公开深度等方面还不能满足群众的要求，信息公开更新不够及时；</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政府信息公开平台面对社会宣传力度不够，群众对本镇有关信息的知晓率有待提高。</w:t>
      </w:r>
    </w:p>
    <w:p>
      <w:pPr>
        <w:spacing w:line="586" w:lineRule="exact"/>
        <w:ind w:firstLine="627" w:firstLineChars="196"/>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针对问题，2019年我镇明确专人负责政府信息公开工作，同时统筹镇综合管理办和党建办工作人员，壮大镇信息队伍，确保信息质量，做好会议、活动、公示公告等重点领域的编写，对可公开的信息及时公开，确保信息有效性。为扩大群众对信息知晓度和强化社会宣传，我镇结合江川新闻网（江城镇）、江城微信公众号“滇国故里江城”强化政府信息公开，做到每周有专门负责网站的工作人员按照相关保密、公开的条例或原则及时更新信息。对于扶贫、厕所革命、社保、护林防火等民生领域，通过组织相关部门分发宣传海报、宣传手册、挂展板等方式向社会大众主动公开信息。</w:t>
      </w:r>
    </w:p>
    <w:p>
      <w:pPr>
        <w:spacing w:line="586" w:lineRule="exact"/>
        <w:ind w:firstLine="627" w:firstLineChars="196"/>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2019年我镇政府门户网站主要存在以下几个方面问题：</w:t>
      </w:r>
      <w:r>
        <w:rPr>
          <w:rFonts w:hint="eastAsia" w:eastAsia="方正仿宋_GBK" w:cs="Times New Roman"/>
          <w:b/>
          <w:bCs/>
          <w:color w:val="auto"/>
          <w:sz w:val="32"/>
          <w:szCs w:val="32"/>
          <w:lang w:val="en-US" w:eastAsia="zh-CN"/>
        </w:rPr>
        <w:t>一是</w:t>
      </w:r>
      <w:r>
        <w:rPr>
          <w:rFonts w:hint="eastAsia" w:eastAsia="方正仿宋_GBK" w:cs="Times New Roman"/>
          <w:color w:val="auto"/>
          <w:sz w:val="32"/>
          <w:szCs w:val="32"/>
          <w:lang w:val="en-US" w:eastAsia="zh-CN"/>
        </w:rPr>
        <w:t>信息公开工作力度需要进一步加强。对政府信息公开工作认识有待提高，存在“推一推，动一动”情况，报送单位信息不及时。</w:t>
      </w:r>
      <w:r>
        <w:rPr>
          <w:rFonts w:hint="eastAsia" w:eastAsia="方正仿宋_GBK" w:cs="Times New Roman"/>
          <w:b/>
          <w:bCs/>
          <w:color w:val="auto"/>
          <w:sz w:val="32"/>
          <w:szCs w:val="32"/>
          <w:lang w:val="en-US" w:eastAsia="zh-CN"/>
        </w:rPr>
        <w:t>二是</w:t>
      </w:r>
      <w:r>
        <w:rPr>
          <w:rFonts w:hint="eastAsia" w:eastAsia="方正仿宋_GBK" w:cs="Times New Roman"/>
          <w:color w:val="auto"/>
          <w:sz w:val="32"/>
          <w:szCs w:val="32"/>
          <w:lang w:val="en-US" w:eastAsia="zh-CN"/>
        </w:rPr>
        <w:t>公开意识需要进一步强化。镇属部分部门对主动公开的部门信息还存在一些距离，不会及时主动报送本部门信息，同时信息公开内容质量和及时性还有一些差距。</w:t>
      </w:r>
    </w:p>
    <w:p>
      <w:pPr>
        <w:spacing w:line="586" w:lineRule="exact"/>
        <w:ind w:firstLine="627" w:firstLineChars="196"/>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六、其他需要报告的事项</w:t>
      </w:r>
    </w:p>
    <w:p>
      <w:pPr>
        <w:spacing w:line="586" w:lineRule="exact"/>
        <w:ind w:firstLine="630" w:firstLineChars="196"/>
        <w:rPr>
          <w:rFonts w:hint="default" w:ascii="Times New Roman" w:hAnsi="Times New Roman" w:eastAsia="方正仿宋_GBK" w:cs="Times New Roman"/>
          <w:b/>
          <w:bCs/>
          <w:i w:val="0"/>
          <w:caps w:val="0"/>
          <w:color w:val="000000"/>
          <w:spacing w:val="0"/>
          <w:sz w:val="32"/>
          <w:szCs w:val="32"/>
          <w:shd w:val="clear" w:fill="FFFFFF"/>
          <w:lang w:val="en-US" w:eastAsia="zh-CN"/>
        </w:rPr>
      </w:pP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认真做好重要政策解读。我镇认真做好重要政策解读，我镇解读重要政策和措施由镇主要领导主抓，镇综合管理办承担信息发布的抓落实，对涉及我镇重点项目和重点工作的实施政策从背景依据、主要内容、涉及范围等部门进行解读并上传。对政策解读涉及其他部门的，镇综合管理办加强与部门对接，统一口径，确保内容准确。对公开发布的我镇党内规范性文件和政府规章、行政规范性文件的解读材料，发布前须经镇及区级法规、法制部门审查。</w:t>
      </w:r>
      <w:r>
        <w:rPr>
          <w:rFonts w:hint="eastAsia"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w:t>
      </w:r>
      <w:r>
        <w:rPr>
          <w:rFonts w:hint="default" w:ascii="Times New Roman" w:hAnsi="Times New Roman" w:eastAsia="方正仿宋_GBK" w:cs="Times New Roman"/>
          <w:color w:val="auto"/>
          <w:sz w:val="32"/>
          <w:szCs w:val="32"/>
          <w:lang w:val="en-US" w:eastAsia="zh-CN"/>
        </w:rPr>
        <w:t>按规转载可公开重要政策。对上级部门重要政策、规范性文件以及出台的重要文件的解读信息在可公开原则下进行转载，充分发挥政务公开工作作为为人民服务、对人民负责、接受人民监督的作用。</w:t>
      </w:r>
      <w:r>
        <w:rPr>
          <w:rFonts w:hint="eastAsia" w:eastAsia="方正仿宋_GBK" w:cs="Times New Roman"/>
          <w:b/>
          <w:bCs/>
          <w:color w:val="auto"/>
          <w:sz w:val="32"/>
          <w:szCs w:val="32"/>
          <w:lang w:val="en-US" w:eastAsia="zh-CN"/>
        </w:rPr>
        <w:t>三</w:t>
      </w:r>
      <w:r>
        <w:rPr>
          <w:rFonts w:hint="default" w:ascii="Times New Roman" w:hAnsi="Times New Roman" w:eastAsia="方正仿宋_GBK" w:cs="Times New Roman"/>
          <w:b/>
          <w:bCs/>
          <w:color w:val="auto"/>
          <w:sz w:val="32"/>
          <w:szCs w:val="32"/>
          <w:lang w:val="en-US" w:eastAsia="zh-CN"/>
        </w:rPr>
        <w:t>是</w:t>
      </w:r>
      <w:r>
        <w:rPr>
          <w:rFonts w:hint="default" w:ascii="Times New Roman" w:hAnsi="Times New Roman" w:eastAsia="方正仿宋_GBK" w:cs="Times New Roman"/>
          <w:color w:val="auto"/>
          <w:sz w:val="32"/>
          <w:szCs w:val="32"/>
          <w:lang w:val="en-US" w:eastAsia="zh-CN"/>
        </w:rPr>
        <w:t>从日常工作抓起，做细工作安排。我镇按照区政府、区信息中心安排部署，按时、按要求上报有关文件、材料，聚焦群众的热点，按要求主动及时更新信息，丰富我镇政务公开网站，充分发挥网站的政策宣传、民心互动、便民利民的作用。</w:t>
      </w:r>
      <w:r>
        <w:rPr>
          <w:rFonts w:hint="eastAsia" w:eastAsia="方正仿宋_GBK" w:cs="Times New Roman"/>
          <w:b/>
          <w:bCs/>
          <w:color w:val="auto"/>
          <w:sz w:val="32"/>
          <w:szCs w:val="32"/>
          <w:lang w:val="en-US" w:eastAsia="zh-CN"/>
        </w:rPr>
        <w:t>四是</w:t>
      </w:r>
      <w:r>
        <w:rPr>
          <w:rFonts w:hint="default" w:ascii="Times New Roman" w:hAnsi="Times New Roman" w:eastAsia="方正仿宋_GBK" w:cs="Times New Roman"/>
          <w:color w:val="auto"/>
          <w:sz w:val="32"/>
          <w:szCs w:val="32"/>
          <w:lang w:val="en-US" w:eastAsia="zh-CN"/>
        </w:rPr>
        <w:t>江城镇作为信息直报点，认真做好信息收集工作，围绕全镇工作重点和群众反映的“热点”问题，采集、加工、报送信息，并结合各项工作的开展，有情况、有分析、有建议的采写信息，做到了眼明、脑灵、手勤，发现有价值的信息捕捉及时，核实准确、报送迅速并注重发掘深层信息。我镇坚持喜忧兼报，对那些带有倾向性、苗头性的问题适时传报，积极上报江城工作动态中的问题建议类、经验总结类信息至市、区委、区政府信息系统。</w:t>
      </w:r>
    </w:p>
    <w:p>
      <w:pPr>
        <w:jc w:val="left"/>
        <w:rPr>
          <w:rFonts w:hint="default" w:ascii="Times New Roman" w:hAnsi="Times New Roman" w:eastAsia="方正仿宋_GBK" w:cs="Times New Roman"/>
          <w:b/>
          <w:bCs/>
          <w:i w:val="0"/>
          <w:caps w:val="0"/>
          <w:color w:val="000000"/>
          <w:spacing w:val="0"/>
          <w:sz w:val="32"/>
          <w:szCs w:val="32"/>
          <w:shd w:val="clear" w:fill="FFFFFF"/>
          <w:lang w:val="en-US" w:eastAsia="zh-CN"/>
        </w:rPr>
      </w:pPr>
    </w:p>
    <w:p>
      <w:pPr>
        <w:ind w:firstLine="3840" w:firstLineChars="1200"/>
        <w:jc w:val="left"/>
        <w:rPr>
          <w:rFonts w:hint="eastAsia" w:eastAsia="方正仿宋_GBK" w:cs="Times New Roman"/>
          <w:b w:val="0"/>
          <w:bCs w:val="0"/>
          <w:i w:val="0"/>
          <w:caps w:val="0"/>
          <w:color w:val="000000"/>
          <w:spacing w:val="0"/>
          <w:sz w:val="32"/>
          <w:szCs w:val="32"/>
          <w:shd w:val="clear" w:fill="FFFFFF"/>
          <w:lang w:val="en-US" w:eastAsia="zh-CN"/>
        </w:rPr>
      </w:pPr>
      <w:r>
        <w:rPr>
          <w:rFonts w:hint="eastAsia" w:eastAsia="方正仿宋_GBK" w:cs="Times New Roman"/>
          <w:b w:val="0"/>
          <w:bCs w:val="0"/>
          <w:i w:val="0"/>
          <w:caps w:val="0"/>
          <w:color w:val="000000"/>
          <w:spacing w:val="0"/>
          <w:sz w:val="32"/>
          <w:szCs w:val="32"/>
          <w:shd w:val="clear" w:fill="FFFFFF"/>
          <w:lang w:val="en-US" w:eastAsia="zh-CN"/>
        </w:rPr>
        <w:t>玉溪市江川区江城镇人民政府</w:t>
      </w:r>
    </w:p>
    <w:p>
      <w:pPr>
        <w:jc w:val="left"/>
        <w:rPr>
          <w:rFonts w:hint="default" w:eastAsia="方正仿宋_GBK" w:cs="Times New Roman"/>
          <w:b w:val="0"/>
          <w:bCs w:val="0"/>
          <w:i w:val="0"/>
          <w:caps w:val="0"/>
          <w:color w:val="000000"/>
          <w:spacing w:val="0"/>
          <w:sz w:val="32"/>
          <w:szCs w:val="32"/>
          <w:shd w:val="clear" w:fill="FFFFFF"/>
          <w:lang w:val="en-US" w:eastAsia="zh-CN"/>
        </w:rPr>
      </w:pPr>
      <w:r>
        <w:rPr>
          <w:rFonts w:hint="eastAsia" w:eastAsia="方正仿宋_GBK" w:cs="Times New Roman"/>
          <w:b w:val="0"/>
          <w:bCs w:val="0"/>
          <w:i w:val="0"/>
          <w:caps w:val="0"/>
          <w:color w:val="000000"/>
          <w:spacing w:val="0"/>
          <w:sz w:val="32"/>
          <w:szCs w:val="32"/>
          <w:shd w:val="clear" w:fill="FFFFFF"/>
          <w:lang w:val="en-US" w:eastAsia="zh-CN"/>
        </w:rPr>
        <w:t xml:space="preserve">                              2020年2月13日</w:t>
      </w:r>
    </w:p>
    <w:sectPr>
      <w:headerReference r:id="rId3" w:type="default"/>
      <w:footerReference r:id="rId4" w:type="default"/>
      <w:pgSz w:w="11906" w:h="16838"/>
      <w:pgMar w:top="2098" w:right="1587" w:bottom="2098" w:left="1587" w:header="851" w:footer="992" w:gutter="17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569AF"/>
    <w:multiLevelType w:val="singleLevel"/>
    <w:tmpl w:val="5C3569AF"/>
    <w:lvl w:ilvl="0" w:tentative="0">
      <w:start w:val="1"/>
      <w:numFmt w:val="chineseCounting"/>
      <w:suff w:val="nothing"/>
      <w:lvlText w:val="%1、"/>
      <w:lvlJc w:val="left"/>
    </w:lvl>
  </w:abstractNum>
  <w:abstractNum w:abstractNumId="1">
    <w:nsid w:val="5E4251E8"/>
    <w:multiLevelType w:val="singleLevel"/>
    <w:tmpl w:val="5E4251E8"/>
    <w:lvl w:ilvl="0" w:tentative="0">
      <w:start w:val="2"/>
      <w:numFmt w:val="chineseCounting"/>
      <w:suff w:val="nothing"/>
      <w:lvlText w:val="（%1）"/>
      <w:lvlJc w:val="left"/>
    </w:lvl>
  </w:abstractNum>
  <w:abstractNum w:abstractNumId="2">
    <w:nsid w:val="5E42521F"/>
    <w:multiLevelType w:val="singleLevel"/>
    <w:tmpl w:val="5E42521F"/>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NWFiYjlmNjhiNDEyZWY4M2FmMjlhMDZjMWViNTcifQ=="/>
  </w:docVars>
  <w:rsids>
    <w:rsidRoot w:val="00000000"/>
    <w:rsid w:val="00FC5257"/>
    <w:rsid w:val="0BF4537C"/>
    <w:rsid w:val="0C082C3E"/>
    <w:rsid w:val="0CA917B1"/>
    <w:rsid w:val="0F840D53"/>
    <w:rsid w:val="198C56D0"/>
    <w:rsid w:val="1AE4690E"/>
    <w:rsid w:val="23277987"/>
    <w:rsid w:val="25841A9C"/>
    <w:rsid w:val="2A8A2922"/>
    <w:rsid w:val="2DFA0B7A"/>
    <w:rsid w:val="307F7AFA"/>
    <w:rsid w:val="36CA478C"/>
    <w:rsid w:val="43A925C9"/>
    <w:rsid w:val="47387D7A"/>
    <w:rsid w:val="4D0B0962"/>
    <w:rsid w:val="4E0F4962"/>
    <w:rsid w:val="51C62465"/>
    <w:rsid w:val="51F07E15"/>
    <w:rsid w:val="552A52C9"/>
    <w:rsid w:val="5DB7040B"/>
    <w:rsid w:val="5ECF5509"/>
    <w:rsid w:val="60EF5E01"/>
    <w:rsid w:val="6968346C"/>
    <w:rsid w:val="69B43362"/>
    <w:rsid w:val="6AFB6D66"/>
    <w:rsid w:val="76606207"/>
    <w:rsid w:val="76BE34AB"/>
    <w:rsid w:val="7EE85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44"/>
      <w:sz w:val="32"/>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720" w:lineRule="exact"/>
      <w:jc w:val="center"/>
      <w:outlineLvl w:val="0"/>
    </w:pPr>
    <w:rPr>
      <w:rFonts w:eastAsia="方正小标宋_GBK" w:asciiTheme="minorAscii" w:hAnsiTheme="minorAscii"/>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cp:lastPrinted>2020-02-12T09:22:00Z</cp:lastPrinted>
  <dcterms:modified xsi:type="dcterms:W3CDTF">2024-01-31T08:48:18Z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86CF154DEC654B22AC21BC12A5E800EF_12</vt:lpwstr>
  </property>
</Properties>
</file>