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eastAsia="方正小标宋_GBK"/>
          <w:sz w:val="44"/>
          <w:szCs w:val="44"/>
        </w:rPr>
      </w:pPr>
      <w:r>
        <w:rPr>
          <w:rFonts w:hint="eastAsia" w:eastAsia="方正小标宋_GBK"/>
          <w:sz w:val="44"/>
          <w:szCs w:val="44"/>
        </w:rPr>
        <w:t>玉溪市江川区农业局</w:t>
      </w:r>
      <w:r>
        <w:rPr>
          <w:rFonts w:eastAsia="方正小标宋_GBK"/>
          <w:sz w:val="44"/>
          <w:szCs w:val="44"/>
        </w:rPr>
        <w:t>2017年政府信息公开工作年度报告</w:t>
      </w:r>
    </w:p>
    <w:p>
      <w:pPr>
        <w:spacing w:line="586" w:lineRule="exact"/>
        <w:rPr>
          <w:rFonts w:eastAsia="方正仿宋_GBK"/>
          <w:szCs w:val="32"/>
        </w:rPr>
      </w:pPr>
    </w:p>
    <w:p>
      <w:pPr>
        <w:spacing w:line="360" w:lineRule="auto"/>
        <w:jc w:val="center"/>
        <w:rPr>
          <w:rFonts w:hint="eastAsia" w:ascii="方正黑体_GBK" w:eastAsia="方正黑体_GBK"/>
          <w:sz w:val="32"/>
          <w:szCs w:val="32"/>
        </w:rPr>
      </w:pPr>
      <w:r>
        <w:rPr>
          <w:rFonts w:hint="eastAsia" w:ascii="方正黑体_GBK" w:eastAsia="方正黑体_GBK"/>
          <w:sz w:val="32"/>
          <w:szCs w:val="32"/>
        </w:rPr>
        <w:t>引言</w:t>
      </w:r>
    </w:p>
    <w:p>
      <w:pPr>
        <w:spacing w:line="360" w:lineRule="auto"/>
        <w:ind w:firstLine="640" w:firstLineChars="200"/>
        <w:rPr>
          <w:rFonts w:hint="eastAsia" w:ascii="方正仿宋_GBK" w:eastAsia="方正仿宋_GBK"/>
          <w:sz w:val="32"/>
          <w:szCs w:val="32"/>
        </w:rPr>
      </w:pPr>
      <w:r>
        <w:rPr>
          <w:rFonts w:hint="eastAsia" w:ascii="方正仿宋_GBK" w:eastAsia="方正仿宋_GBK"/>
          <w:sz w:val="32"/>
          <w:szCs w:val="32"/>
        </w:rPr>
        <w:t>本年度报告根据《中华人民共和国政府信息公开条例》要求，由玉溪市江川区农业局编制。全文内容包括概述，主动公开政府信息情况，政府信息依申请公开办理情况，因政府信息公开申请行政复议、提起行政诉讼的情况，存在的主要问题及改进措施，需要说明的其他事项等六个部分。报告中所列数据的统计期限自2017年1月1日起至2017年12月31日止。本报告全文在江川区政府信息公开网站江川区农业局站点http://xxgk.yuxi.gov.cn/jcqzfxxgk/jcqnyj/ “政府信息公开年度报告”栏目公布。如对本报告公告有任何疑问，请联系江川区农业局办公室（地址：玉溪市江川区大街街道宁海路3号，联系电话：0877-8011139，电子邮箱：jcxnyj@126.com）。</w:t>
      </w:r>
    </w:p>
    <w:p>
      <w:pPr>
        <w:spacing w:line="360" w:lineRule="auto"/>
        <w:ind w:firstLine="640" w:firstLineChars="200"/>
        <w:rPr>
          <w:rFonts w:hint="eastAsia" w:ascii="方正黑体_GBK" w:eastAsia="方正黑体_GBK"/>
          <w:sz w:val="32"/>
          <w:szCs w:val="32"/>
        </w:rPr>
      </w:pPr>
      <w:r>
        <w:rPr>
          <w:rFonts w:hint="eastAsia" w:ascii="方正黑体_GBK" w:eastAsia="方正黑体_GBK"/>
          <w:sz w:val="32"/>
          <w:szCs w:val="32"/>
        </w:rPr>
        <w:t>一、概述</w:t>
      </w:r>
    </w:p>
    <w:p>
      <w:pPr>
        <w:spacing w:line="360" w:lineRule="auto"/>
        <w:ind w:firstLine="640" w:firstLineChars="200"/>
        <w:rPr>
          <w:rFonts w:hint="eastAsia" w:ascii="方正仿宋_GBK" w:eastAsia="方正仿宋_GBK"/>
          <w:sz w:val="32"/>
          <w:szCs w:val="32"/>
        </w:rPr>
      </w:pPr>
      <w:r>
        <w:rPr>
          <w:rFonts w:hint="eastAsia" w:ascii="方正仿宋_GBK" w:eastAsia="方正仿宋_GBK"/>
          <w:sz w:val="32"/>
          <w:szCs w:val="32"/>
        </w:rPr>
        <w:t>为贯彻落实《条例》《办法》和区委、区政府各项部署及《玉溪市江川区人民政府办公室关于印发玉溪市江川区贯彻落实玉溪市政府办公室2017年政务公开工作要点分工方案的通知》(玉江政办发〔2017〕20号)文件精神，我局结合工作实际制定了《玉溪市江川区农业局政务公开工作实施方案》并予以实施，全面推进农产品价格、预决算、农业政策和执法监管等方面的信息公开，现将一年来政务公开工作概述如下：</w:t>
      </w:r>
    </w:p>
    <w:p>
      <w:pPr>
        <w:spacing w:line="360" w:lineRule="auto"/>
        <w:ind w:firstLine="640" w:firstLineChars="200"/>
        <w:rPr>
          <w:rFonts w:hint="eastAsia" w:ascii="方正仿宋_GBK" w:eastAsia="方正仿宋_GBK"/>
          <w:sz w:val="32"/>
          <w:szCs w:val="32"/>
        </w:rPr>
      </w:pPr>
      <w:r>
        <w:rPr>
          <w:rFonts w:hint="eastAsia" w:ascii="方正仿宋_GBK" w:eastAsia="方正仿宋_GBK"/>
          <w:sz w:val="32"/>
          <w:szCs w:val="32"/>
        </w:rPr>
        <w:t xml:space="preserve">（一）推进决策、政策公开。把“公众参与、专家论证、风险评估、合法性审查、集体讨论决定”作为重大行政决策必行程序。涉及群众切身利益、需要社会广泛知晓的重大政策措施、重点工程项目，都在决策前广泛听取公众意见，以各种方式公布意见收集和采纳情况，增强了决策透明度。农业方面所涉及的重大政策，在政府信息公开网、农业信息网站公开及解读，增强了政策公开的系统性、针对性、可读性。 </w:t>
      </w:r>
    </w:p>
    <w:p>
      <w:pPr>
        <w:spacing w:line="360" w:lineRule="auto"/>
        <w:ind w:firstLine="640" w:firstLineChars="200"/>
        <w:rPr>
          <w:rFonts w:hint="eastAsia" w:ascii="方正仿宋_GBK" w:eastAsia="方正仿宋_GBK"/>
          <w:sz w:val="32"/>
          <w:szCs w:val="32"/>
        </w:rPr>
      </w:pPr>
      <w:r>
        <w:rPr>
          <w:rFonts w:hint="eastAsia" w:ascii="方正仿宋_GBK" w:eastAsia="方正仿宋_GBK"/>
          <w:sz w:val="32"/>
          <w:szCs w:val="32"/>
        </w:rPr>
        <w:t>（二）推进权责清单公开。1、推行行政审批标准化，编制、公开了农业局所涉及的项行政审批办事指南。2、全面公开部门权力清单和责任清单，及时动态更新，方便公众获取和监督。2、对下放的2项行政审批事项，及时做好承接、取消工作，及时在政府信息公开网上公开了保留的行政许可事项清单。</w:t>
      </w:r>
    </w:p>
    <w:p>
      <w:pPr>
        <w:spacing w:line="360" w:lineRule="auto"/>
        <w:ind w:firstLine="640" w:firstLineChars="200"/>
        <w:rPr>
          <w:rFonts w:hint="eastAsia" w:ascii="方正仿宋_GBK" w:eastAsia="方正仿宋_GBK"/>
          <w:sz w:val="32"/>
          <w:szCs w:val="32"/>
        </w:rPr>
      </w:pPr>
      <w:r>
        <w:rPr>
          <w:rFonts w:hint="eastAsia" w:ascii="方正仿宋_GBK" w:eastAsia="方正仿宋_GBK"/>
          <w:sz w:val="32"/>
          <w:szCs w:val="32"/>
        </w:rPr>
        <w:t>（三）推进执行公开。要紧紧围绕农业重点改革任务、重要政策、重大工程项目和发展规划提出的重要事项及中心任务，主动公开执行措施、实施步骤、责任分工、监督方式等，并根据工作进展公布取得成效、后续举措，广泛听取公众的意见建议，加强和改进工作。2017年以来，在政府信息公开网上发布相关信息100多条。</w:t>
      </w:r>
    </w:p>
    <w:p>
      <w:pPr>
        <w:spacing w:line="360" w:lineRule="auto"/>
        <w:ind w:firstLine="640" w:firstLineChars="200"/>
        <w:rPr>
          <w:rFonts w:hint="eastAsia" w:ascii="方正仿宋_GBK" w:eastAsia="方正仿宋_GBK"/>
          <w:sz w:val="32"/>
          <w:szCs w:val="32"/>
        </w:rPr>
      </w:pPr>
      <w:r>
        <w:rPr>
          <w:rFonts w:hint="eastAsia" w:ascii="方正仿宋_GBK" w:eastAsia="方正仿宋_GBK"/>
          <w:sz w:val="32"/>
          <w:szCs w:val="32"/>
        </w:rPr>
        <w:t>（四）推进市场监管公开透明。制定了“双随机</w:t>
      </w:r>
      <w:r>
        <w:rPr>
          <w:rFonts w:hint="eastAsia" w:ascii="方正仿宋_GBK" w:eastAsia="方正仿宋_GBK"/>
          <w:sz w:val="32"/>
          <w:szCs w:val="32"/>
          <w:lang w:eastAsia="zh-CN"/>
        </w:rPr>
        <w:t>、</w:t>
      </w:r>
      <w:r>
        <w:rPr>
          <w:rFonts w:hint="eastAsia" w:ascii="方正仿宋_GBK" w:eastAsia="方正仿宋_GBK"/>
          <w:sz w:val="32"/>
          <w:szCs w:val="32"/>
        </w:rPr>
        <w:t>一公开”工作实施方案，严格按照要求梳理出随机抽查事项16项，明确抽查依据、主体、内容、方式等，在政府信息公开网、农业局法治宣传栏上进行了公布。及时依法公开安全生产、农业生态环境、农产品质量安全、农资市场等方面的执法监管信息。</w:t>
      </w:r>
    </w:p>
    <w:p>
      <w:pPr>
        <w:spacing w:line="360" w:lineRule="auto"/>
        <w:ind w:firstLine="640" w:firstLineChars="200"/>
        <w:rPr>
          <w:rFonts w:hint="eastAsia" w:ascii="方正仿宋_GBK" w:eastAsia="方正仿宋_GBK"/>
          <w:sz w:val="32"/>
          <w:szCs w:val="32"/>
        </w:rPr>
      </w:pPr>
      <w:r>
        <w:rPr>
          <w:rFonts w:hint="eastAsia" w:ascii="方正仿宋_GBK" w:eastAsia="方正仿宋_GBK"/>
          <w:sz w:val="32"/>
          <w:szCs w:val="32"/>
        </w:rPr>
        <w:t>全面公开制售假冒伪劣农资和侵犯知识产权行政处罚案件名称、被处罚者姓名或单位名称，以及主要违法事实和</w:t>
      </w:r>
      <w:bookmarkStart w:id="0" w:name="_GoBack"/>
      <w:bookmarkEnd w:id="0"/>
      <w:r>
        <w:rPr>
          <w:rFonts w:hint="eastAsia" w:ascii="方正仿宋_GBK" w:eastAsia="方正仿宋_GBK"/>
          <w:sz w:val="32"/>
          <w:szCs w:val="32"/>
        </w:rPr>
        <w:t>处罚种类、依据、结果等信息。</w:t>
      </w:r>
    </w:p>
    <w:p>
      <w:pPr>
        <w:spacing w:line="360" w:lineRule="auto"/>
        <w:ind w:firstLine="640" w:firstLineChars="200"/>
        <w:rPr>
          <w:rFonts w:hint="eastAsia" w:ascii="方正仿宋_GBK" w:eastAsia="方正仿宋_GBK"/>
          <w:sz w:val="32"/>
          <w:szCs w:val="32"/>
        </w:rPr>
      </w:pPr>
      <w:r>
        <w:rPr>
          <w:rFonts w:hint="eastAsia" w:ascii="方正仿宋_GBK" w:eastAsia="方正仿宋_GBK"/>
          <w:sz w:val="32"/>
          <w:szCs w:val="32"/>
        </w:rPr>
        <w:t>（五）推进政务服务公开。完善行政许可事项及办理程序，在网上办事大厅里进行发布，逐步推进服务事项在线咨询、网上办理。及时在政府信息公开网上公开行政审批事项清理及办理情况。</w:t>
      </w:r>
    </w:p>
    <w:p>
      <w:pPr>
        <w:spacing w:line="360" w:lineRule="auto"/>
        <w:ind w:firstLine="640" w:firstLineChars="200"/>
        <w:rPr>
          <w:rFonts w:hint="eastAsia" w:ascii="方正仿宋_GBK" w:eastAsia="方正仿宋_GBK"/>
          <w:sz w:val="32"/>
          <w:szCs w:val="32"/>
        </w:rPr>
      </w:pPr>
      <w:r>
        <w:rPr>
          <w:rFonts w:hint="eastAsia" w:ascii="方正仿宋_GBK" w:eastAsia="方正仿宋_GBK"/>
          <w:sz w:val="32"/>
          <w:szCs w:val="32"/>
        </w:rPr>
        <w:t>（六）推进重点领域信息公开。1、做好农村土地承包经营权确权登记颁证、农村土地承包经营权流转信息公开工作，在政府信息公开网上发布相关信息。2、做好农产品质量安全监管信息的公开工作，及时向相关单位、媒体发布行政处罚信息和警示信息。3、按照规定在网站上公开本部门2017年预决算信息和“三公”经费信息。4、结合部门实际，在玉溪农网及农网江川栏目统一发布农产品价格信息。5、公开强农惠农政策，及时公开了种植业补贴、农机购置补贴等政策措施及情况。</w:t>
      </w:r>
    </w:p>
    <w:p>
      <w:pPr>
        <w:spacing w:line="360" w:lineRule="auto"/>
        <w:ind w:firstLine="640" w:firstLineChars="200"/>
        <w:rPr>
          <w:rFonts w:hint="eastAsia" w:ascii="方正仿宋_GBK" w:eastAsia="方正仿宋_GBK"/>
          <w:sz w:val="32"/>
          <w:szCs w:val="32"/>
        </w:rPr>
      </w:pPr>
      <w:r>
        <w:rPr>
          <w:rFonts w:hint="eastAsia" w:ascii="方正仿宋_GBK" w:eastAsia="方正仿宋_GBK"/>
          <w:sz w:val="32"/>
          <w:szCs w:val="32"/>
        </w:rPr>
        <w:t>（七）落实“五公开”要求。严格落实决策、执行、管理、服务、结果公开（以下简称“五公开”）要求，对重大决策、重要政策落实情况，发展规划和政府工作报告、政府决定事项落实结果，农业中心工作的开展情况，在政府信息公开网、部门门户网站或宣传栏上及时进行了公开。</w:t>
      </w:r>
    </w:p>
    <w:p>
      <w:pPr>
        <w:spacing w:line="360" w:lineRule="auto"/>
        <w:ind w:firstLine="640" w:firstLineChars="200"/>
        <w:rPr>
          <w:rFonts w:hint="eastAsia" w:ascii="方正仿宋_GBK" w:eastAsia="方正仿宋_GBK"/>
          <w:sz w:val="32"/>
          <w:szCs w:val="32"/>
        </w:rPr>
      </w:pPr>
      <w:r>
        <w:rPr>
          <w:rFonts w:hint="eastAsia" w:ascii="方正仿宋_GBK" w:eastAsia="方正仿宋_GBK"/>
          <w:sz w:val="32"/>
          <w:szCs w:val="32"/>
        </w:rPr>
        <w:t>（八）加强解读回应。1、进一步充实完善政府信息公开网（农业局网页）政策法规功能，及时发布农业新修订完善的法律法规，体现“政府文件”和“政策解读”功能。2、充分利用电视台、报刊等解读宣传农业政策和法律法规，及时了回应社会关切。</w:t>
      </w:r>
    </w:p>
    <w:p>
      <w:pPr>
        <w:spacing w:line="360" w:lineRule="auto"/>
        <w:ind w:firstLine="640" w:firstLineChars="200"/>
        <w:rPr>
          <w:rFonts w:hint="eastAsia" w:ascii="方正黑体_GBK" w:eastAsia="方正黑体_GBK"/>
          <w:sz w:val="32"/>
          <w:szCs w:val="32"/>
        </w:rPr>
      </w:pPr>
      <w:r>
        <w:rPr>
          <w:rFonts w:hint="eastAsia" w:ascii="方正黑体_GBK" w:eastAsia="方正黑体_GBK"/>
          <w:sz w:val="32"/>
          <w:szCs w:val="32"/>
        </w:rPr>
        <w:t>二、主动公开政府信息情况</w:t>
      </w:r>
    </w:p>
    <w:p>
      <w:pPr>
        <w:spacing w:line="360" w:lineRule="auto"/>
        <w:ind w:firstLine="640" w:firstLineChars="200"/>
        <w:rPr>
          <w:rFonts w:hint="eastAsia" w:ascii="方正仿宋_GBK" w:eastAsia="方正仿宋_GBK"/>
          <w:sz w:val="32"/>
          <w:szCs w:val="32"/>
        </w:rPr>
      </w:pPr>
      <w:r>
        <w:rPr>
          <w:rFonts w:hint="eastAsia" w:ascii="方正仿宋_GBK" w:eastAsia="方正仿宋_GBK"/>
          <w:sz w:val="32"/>
          <w:szCs w:val="32"/>
        </w:rPr>
        <w:t>（一）2017年，农业局主动公开信息277条（历年累计434条），其中在江川区政府信息公开网站累计主动公开政府信息197条。</w:t>
      </w:r>
    </w:p>
    <w:p>
      <w:pPr>
        <w:spacing w:line="360" w:lineRule="auto"/>
        <w:ind w:firstLine="640" w:firstLineChars="200"/>
        <w:rPr>
          <w:rFonts w:hint="eastAsia" w:ascii="方正仿宋_GBK" w:eastAsia="方正仿宋_GBK"/>
          <w:sz w:val="32"/>
          <w:szCs w:val="32"/>
        </w:rPr>
      </w:pPr>
      <w:r>
        <w:rPr>
          <w:rFonts w:hint="eastAsia" w:ascii="方正仿宋_GBK" w:eastAsia="方正仿宋_GBK"/>
          <w:sz w:val="32"/>
          <w:szCs w:val="32"/>
        </w:rPr>
        <w:t>（二）2017年农业局江川区政府信息公开网站累计主动公开政府信息197条（其中工作动态119条、法律法规类12条、行政许可类7条、农机购置补贴类18条、预决算公开类5条，行政许可类7条，公众监督类16条）。</w:t>
      </w:r>
    </w:p>
    <w:p>
      <w:pPr>
        <w:spacing w:line="360" w:lineRule="auto"/>
        <w:ind w:firstLine="640" w:firstLineChars="200"/>
        <w:rPr>
          <w:rFonts w:hint="eastAsia" w:ascii="方正仿宋_GBK" w:eastAsia="方正仿宋_GBK"/>
          <w:sz w:val="32"/>
          <w:szCs w:val="32"/>
        </w:rPr>
      </w:pPr>
      <w:r>
        <w:rPr>
          <w:rFonts w:hint="eastAsia" w:ascii="方正仿宋_GBK" w:eastAsia="方正仿宋_GBK"/>
          <w:sz w:val="32"/>
          <w:szCs w:val="32"/>
        </w:rPr>
        <w:t>（三）主动公开政府信息的形式主要为政府信息公开网、农业局公开专栏及农业局微信群。</w:t>
      </w:r>
    </w:p>
    <w:p>
      <w:pPr>
        <w:spacing w:line="360" w:lineRule="auto"/>
        <w:ind w:firstLine="640" w:firstLineChars="200"/>
        <w:rPr>
          <w:rFonts w:hint="eastAsia" w:ascii="方正仿宋_GBK" w:eastAsia="方正仿宋_GBK"/>
          <w:sz w:val="32"/>
          <w:szCs w:val="32"/>
        </w:rPr>
      </w:pPr>
      <w:r>
        <w:rPr>
          <w:rFonts w:hint="eastAsia" w:ascii="方正仿宋_GBK" w:eastAsia="方正仿宋_GBK"/>
          <w:sz w:val="32"/>
          <w:szCs w:val="32"/>
        </w:rPr>
        <w:t>（四）开展农产品质量安全方面的政策解读工作，政策解读数量为1件。</w:t>
      </w:r>
    </w:p>
    <w:p>
      <w:pPr>
        <w:spacing w:line="360" w:lineRule="auto"/>
        <w:ind w:firstLine="640" w:firstLineChars="200"/>
        <w:rPr>
          <w:rFonts w:hint="eastAsia" w:ascii="方正仿宋_GBK" w:eastAsia="方正仿宋_GBK"/>
          <w:sz w:val="32"/>
          <w:szCs w:val="32"/>
        </w:rPr>
      </w:pPr>
      <w:r>
        <w:rPr>
          <w:rFonts w:hint="eastAsia" w:ascii="方正仿宋_GBK" w:eastAsia="方正仿宋_GBK"/>
          <w:sz w:val="32"/>
          <w:szCs w:val="32"/>
        </w:rPr>
        <w:t>（五）无政务舆情处置情况。</w:t>
      </w:r>
    </w:p>
    <w:p>
      <w:pPr>
        <w:spacing w:line="360" w:lineRule="auto"/>
        <w:ind w:firstLine="640" w:firstLineChars="200"/>
        <w:rPr>
          <w:rFonts w:hint="eastAsia" w:ascii="方正黑体_GBK" w:eastAsia="方正黑体_GBK"/>
          <w:sz w:val="32"/>
          <w:szCs w:val="32"/>
        </w:rPr>
      </w:pPr>
      <w:r>
        <w:rPr>
          <w:rFonts w:hint="eastAsia" w:ascii="方正黑体_GBK" w:eastAsia="方正黑体_GBK"/>
          <w:sz w:val="32"/>
          <w:szCs w:val="32"/>
        </w:rPr>
        <w:t>三、政府信息依申请公开办理情况</w:t>
      </w:r>
    </w:p>
    <w:p>
      <w:pPr>
        <w:spacing w:line="360" w:lineRule="auto"/>
        <w:ind w:firstLine="640" w:firstLineChars="200"/>
        <w:rPr>
          <w:rFonts w:hint="eastAsia" w:ascii="方正仿宋_GBK" w:eastAsia="方正仿宋_GBK"/>
          <w:sz w:val="32"/>
          <w:szCs w:val="32"/>
        </w:rPr>
      </w:pPr>
      <w:r>
        <w:rPr>
          <w:rFonts w:hint="eastAsia" w:ascii="方正仿宋_GBK" w:eastAsia="方正仿宋_GBK"/>
          <w:sz w:val="32"/>
          <w:szCs w:val="32"/>
        </w:rPr>
        <w:t>我局建立了依申请公开制度，明确了依申请公开的受理机构和受理流程，按规定程序受理、审核、处理和答复。2017年，农业局未收到信息公开申请。</w:t>
      </w:r>
    </w:p>
    <w:p>
      <w:pPr>
        <w:spacing w:line="360" w:lineRule="auto"/>
        <w:ind w:firstLine="640" w:firstLineChars="200"/>
        <w:rPr>
          <w:rFonts w:hint="eastAsia" w:ascii="方正黑体_GBK" w:eastAsia="方正黑体_GBK"/>
          <w:sz w:val="32"/>
          <w:szCs w:val="32"/>
        </w:rPr>
      </w:pPr>
      <w:r>
        <w:rPr>
          <w:rFonts w:hint="eastAsia" w:ascii="方正黑体_GBK" w:eastAsia="方正黑体_GBK"/>
          <w:sz w:val="32"/>
          <w:szCs w:val="32"/>
        </w:rPr>
        <w:t>四、因政府信息公开申请行政复议、提起行政诉讼的情况</w:t>
      </w:r>
    </w:p>
    <w:p>
      <w:pPr>
        <w:spacing w:line="360" w:lineRule="auto"/>
        <w:ind w:firstLine="640" w:firstLineChars="200"/>
        <w:rPr>
          <w:rFonts w:hint="eastAsia" w:ascii="方正仿宋_GBK" w:eastAsia="方正仿宋_GBK"/>
          <w:sz w:val="32"/>
          <w:szCs w:val="32"/>
        </w:rPr>
      </w:pPr>
      <w:r>
        <w:rPr>
          <w:rFonts w:hint="eastAsia" w:ascii="方正仿宋_GBK" w:eastAsia="方正仿宋_GBK"/>
          <w:sz w:val="32"/>
          <w:szCs w:val="32"/>
        </w:rPr>
        <w:t>2017年农业局没有因政府信息公开申请行政复议、提起行政诉讼的情况。</w:t>
      </w:r>
    </w:p>
    <w:p>
      <w:pPr>
        <w:spacing w:line="360" w:lineRule="auto"/>
        <w:ind w:firstLine="640" w:firstLineChars="200"/>
        <w:rPr>
          <w:rFonts w:hint="eastAsia" w:ascii="方正黑体_GBK" w:eastAsia="方正黑体_GBK"/>
          <w:sz w:val="32"/>
          <w:szCs w:val="32"/>
        </w:rPr>
      </w:pPr>
      <w:r>
        <w:rPr>
          <w:rFonts w:hint="eastAsia" w:ascii="方正黑体_GBK" w:eastAsia="方正黑体_GBK"/>
          <w:sz w:val="32"/>
          <w:szCs w:val="32"/>
        </w:rPr>
        <w:t>五、存在的主要问题及改进措施</w:t>
      </w:r>
    </w:p>
    <w:p>
      <w:pPr>
        <w:spacing w:line="360" w:lineRule="auto"/>
        <w:ind w:firstLine="640" w:firstLineChars="200"/>
        <w:rPr>
          <w:rFonts w:hint="eastAsia" w:ascii="方正仿宋_GBK" w:eastAsia="方正仿宋_GBK"/>
          <w:sz w:val="32"/>
          <w:szCs w:val="32"/>
        </w:rPr>
      </w:pPr>
      <w:r>
        <w:rPr>
          <w:rFonts w:hint="eastAsia" w:ascii="方正仿宋_GBK" w:eastAsia="方正仿宋_GBK"/>
          <w:sz w:val="32"/>
          <w:szCs w:val="32"/>
        </w:rPr>
        <w:t>（一）工作中存在的主要问题和困难</w:t>
      </w:r>
    </w:p>
    <w:p>
      <w:pPr>
        <w:spacing w:line="360" w:lineRule="auto"/>
        <w:ind w:firstLine="640" w:firstLineChars="200"/>
        <w:rPr>
          <w:rFonts w:hint="eastAsia" w:ascii="方正仿宋_GBK" w:eastAsia="方正仿宋_GBK"/>
          <w:sz w:val="32"/>
          <w:szCs w:val="32"/>
        </w:rPr>
      </w:pPr>
      <w:r>
        <w:rPr>
          <w:rFonts w:hint="eastAsia" w:ascii="方正仿宋_GBK" w:eastAsia="方正仿宋_GBK"/>
          <w:sz w:val="32"/>
          <w:szCs w:val="32"/>
        </w:rPr>
        <w:t>1、有的信息公开不够及时、全面。</w:t>
      </w:r>
    </w:p>
    <w:p>
      <w:pPr>
        <w:spacing w:line="360" w:lineRule="auto"/>
        <w:ind w:firstLine="640" w:firstLineChars="200"/>
        <w:rPr>
          <w:rFonts w:hint="eastAsia" w:ascii="方正仿宋_GBK" w:eastAsia="方正仿宋_GBK"/>
          <w:sz w:val="32"/>
          <w:szCs w:val="32"/>
        </w:rPr>
      </w:pPr>
      <w:r>
        <w:rPr>
          <w:rFonts w:hint="eastAsia" w:ascii="方正仿宋_GBK" w:eastAsia="方正仿宋_GBK"/>
          <w:sz w:val="32"/>
          <w:szCs w:val="32"/>
        </w:rPr>
        <w:t>2、网页栏目设置还不尽完善。</w:t>
      </w:r>
    </w:p>
    <w:p>
      <w:pPr>
        <w:spacing w:line="360" w:lineRule="auto"/>
        <w:ind w:firstLine="640" w:firstLineChars="200"/>
        <w:rPr>
          <w:rFonts w:hint="eastAsia" w:ascii="方正仿宋_GBK" w:eastAsia="方正仿宋_GBK"/>
          <w:sz w:val="32"/>
          <w:szCs w:val="32"/>
        </w:rPr>
      </w:pPr>
      <w:r>
        <w:rPr>
          <w:rFonts w:hint="eastAsia" w:ascii="方正仿宋_GBK" w:eastAsia="方正仿宋_GBK"/>
          <w:sz w:val="32"/>
          <w:szCs w:val="32"/>
        </w:rPr>
        <w:t xml:space="preserve">3、通过政务微博、微信公开政务信息还有待进一步加强。 </w:t>
      </w:r>
    </w:p>
    <w:p>
      <w:pPr>
        <w:spacing w:line="360" w:lineRule="auto"/>
        <w:ind w:firstLine="640" w:firstLineChars="200"/>
        <w:rPr>
          <w:rFonts w:hint="eastAsia" w:ascii="方正仿宋_GBK" w:eastAsia="方正仿宋_GBK"/>
          <w:sz w:val="32"/>
          <w:szCs w:val="32"/>
        </w:rPr>
      </w:pPr>
      <w:r>
        <w:rPr>
          <w:rFonts w:hint="eastAsia" w:ascii="方正仿宋_GBK" w:eastAsia="方正仿宋_GBK"/>
          <w:sz w:val="32"/>
          <w:szCs w:val="32"/>
        </w:rPr>
        <w:t>（二）具体解决办法和改进措施</w:t>
      </w:r>
    </w:p>
    <w:p>
      <w:pPr>
        <w:spacing w:line="360" w:lineRule="auto"/>
        <w:ind w:firstLine="640" w:firstLineChars="200"/>
        <w:rPr>
          <w:rFonts w:hint="eastAsia" w:ascii="方正仿宋_GBK" w:eastAsia="方正仿宋_GBK"/>
          <w:sz w:val="32"/>
          <w:szCs w:val="32"/>
        </w:rPr>
      </w:pPr>
      <w:r>
        <w:rPr>
          <w:rFonts w:hint="eastAsia" w:ascii="方正仿宋_GBK" w:eastAsia="方正仿宋_GBK"/>
          <w:sz w:val="32"/>
          <w:szCs w:val="32"/>
        </w:rPr>
        <w:t xml:space="preserve">1、进一步加强领导。继续加强组织领导，坚持主要负责亲自部署，分管领导具体负责、具体落实，相关部门协同配合，继续采取强有力的措施狠抓落实。 </w:t>
      </w:r>
    </w:p>
    <w:p>
      <w:pPr>
        <w:spacing w:line="360" w:lineRule="auto"/>
        <w:ind w:firstLine="640" w:firstLineChars="200"/>
        <w:rPr>
          <w:rFonts w:hint="eastAsia" w:ascii="方正仿宋_GBK" w:eastAsia="方正仿宋_GBK"/>
          <w:sz w:val="32"/>
          <w:szCs w:val="32"/>
        </w:rPr>
      </w:pPr>
      <w:r>
        <w:rPr>
          <w:rFonts w:hint="eastAsia" w:ascii="方正仿宋_GBK" w:eastAsia="方正仿宋_GBK"/>
          <w:sz w:val="32"/>
          <w:szCs w:val="32"/>
        </w:rPr>
        <w:t xml:space="preserve">2、进一步完善工作制度。修订完善和落实政务公开相关制度，突出做好主动公开，及时督促局机关各股室、属相关单位做好公开工作。 </w:t>
      </w:r>
    </w:p>
    <w:p>
      <w:pPr>
        <w:spacing w:line="360" w:lineRule="auto"/>
        <w:ind w:firstLine="640" w:firstLineChars="200"/>
        <w:rPr>
          <w:rFonts w:hint="eastAsia" w:ascii="方正仿宋_GBK" w:eastAsia="方正仿宋_GBK"/>
          <w:sz w:val="32"/>
          <w:szCs w:val="32"/>
        </w:rPr>
      </w:pPr>
      <w:r>
        <w:rPr>
          <w:rFonts w:hint="eastAsia" w:ascii="方正仿宋_GBK" w:eastAsia="方正仿宋_GBK"/>
          <w:sz w:val="32"/>
          <w:szCs w:val="32"/>
        </w:rPr>
        <w:t xml:space="preserve">3、进一步抓好网页栏目建设。根据新要求，对公开网网页栏目进行完善和优化，确保重点公开的内容醒目、及时地予以公开。运用微信、微博推进公开工作，及时回应社会关切，扎实做好依申请公开工作。 </w:t>
      </w:r>
    </w:p>
    <w:p>
      <w:pPr>
        <w:spacing w:line="360" w:lineRule="auto"/>
        <w:ind w:firstLine="640" w:firstLineChars="200"/>
        <w:rPr>
          <w:rFonts w:hint="eastAsia" w:ascii="方正仿宋_GBK" w:eastAsia="方正仿宋_GBK"/>
          <w:sz w:val="32"/>
          <w:szCs w:val="32"/>
        </w:rPr>
      </w:pPr>
      <w:r>
        <w:rPr>
          <w:rFonts w:hint="eastAsia" w:ascii="方正仿宋_GBK" w:eastAsia="方正仿宋_GBK"/>
          <w:sz w:val="32"/>
          <w:szCs w:val="32"/>
        </w:rPr>
        <w:t xml:space="preserve">4、进一步加强队伍建设。加强信息撰写业务培训工作，指导具体工作人员掌握新知识、运用新技术，提高政务公开水平。 </w:t>
      </w:r>
    </w:p>
    <w:p>
      <w:pPr>
        <w:spacing w:line="360" w:lineRule="auto"/>
        <w:ind w:firstLine="640" w:firstLineChars="200"/>
        <w:rPr>
          <w:rFonts w:hint="eastAsia" w:ascii="方正黑体_GBK" w:eastAsia="方正黑体_GBK"/>
          <w:sz w:val="32"/>
          <w:szCs w:val="32"/>
        </w:rPr>
      </w:pPr>
      <w:r>
        <w:rPr>
          <w:rFonts w:hint="eastAsia" w:ascii="方正黑体_GBK" w:eastAsia="方正黑体_GBK"/>
          <w:sz w:val="32"/>
          <w:szCs w:val="32"/>
        </w:rPr>
        <w:t>六、需要说明的其他事项与附表</w:t>
      </w:r>
    </w:p>
    <w:p>
      <w:pPr>
        <w:spacing w:line="360" w:lineRule="auto"/>
        <w:ind w:firstLine="640" w:firstLineChars="200"/>
        <w:rPr>
          <w:rFonts w:hint="eastAsia" w:ascii="方正仿宋_GBK" w:eastAsia="方正仿宋_GBK"/>
          <w:sz w:val="32"/>
          <w:szCs w:val="32"/>
        </w:rPr>
      </w:pPr>
      <w:r>
        <w:rPr>
          <w:rFonts w:hint="eastAsia" w:ascii="方正仿宋_GBK" w:eastAsia="方正仿宋_GBK"/>
          <w:sz w:val="32"/>
          <w:szCs w:val="32"/>
        </w:rPr>
        <w:t>（一）需要说明的其他事项</w:t>
      </w:r>
    </w:p>
    <w:p>
      <w:pPr>
        <w:spacing w:line="360" w:lineRule="auto"/>
        <w:ind w:firstLine="640" w:firstLineChars="200"/>
        <w:rPr>
          <w:rFonts w:hint="eastAsia" w:ascii="方正仿宋_GBK" w:eastAsia="方正仿宋_GBK"/>
          <w:sz w:val="32"/>
          <w:szCs w:val="32"/>
        </w:rPr>
      </w:pPr>
      <w:r>
        <w:rPr>
          <w:rFonts w:hint="eastAsia" w:ascii="方正仿宋_GBK" w:eastAsia="方正仿宋_GBK"/>
          <w:sz w:val="32"/>
          <w:szCs w:val="32"/>
        </w:rPr>
        <w:t>无</w:t>
      </w:r>
    </w:p>
    <w:p>
      <w:pPr>
        <w:spacing w:line="360" w:lineRule="auto"/>
        <w:ind w:firstLine="640" w:firstLineChars="200"/>
        <w:rPr>
          <w:rFonts w:hint="eastAsia" w:ascii="方正仿宋_GBK" w:eastAsia="方正仿宋_GBK"/>
          <w:sz w:val="32"/>
          <w:szCs w:val="32"/>
        </w:rPr>
      </w:pPr>
      <w:r>
        <w:rPr>
          <w:rFonts w:hint="eastAsia" w:ascii="方正仿宋_GBK" w:eastAsia="方正仿宋_GBK"/>
          <w:sz w:val="32"/>
          <w:szCs w:val="32"/>
        </w:rPr>
        <w:t>（二）政府信息公开情况统计表</w:t>
      </w:r>
    </w:p>
    <w:p>
      <w:pPr>
        <w:spacing w:line="360" w:lineRule="auto"/>
        <w:ind w:firstLine="640" w:firstLineChars="200"/>
        <w:rPr>
          <w:rFonts w:hint="eastAsia" w:ascii="方正仿宋_GBK" w:eastAsia="方正仿宋_GBK"/>
          <w:sz w:val="32"/>
          <w:szCs w:val="32"/>
        </w:rPr>
      </w:pPr>
      <w:r>
        <w:rPr>
          <w:rFonts w:hint="eastAsia" w:ascii="方正仿宋_GBK" w:eastAsia="方正仿宋_GBK"/>
          <w:sz w:val="32"/>
          <w:szCs w:val="32"/>
        </w:rPr>
        <w:t>详见统计表</w:t>
      </w:r>
    </w:p>
    <w:p>
      <w:pPr>
        <w:spacing w:line="360" w:lineRule="auto"/>
        <w:ind w:firstLine="640" w:firstLineChars="200"/>
        <w:rPr>
          <w:rFonts w:hint="eastAsia" w:ascii="方正仿宋_GBK" w:eastAsia="方正仿宋_GBK"/>
          <w:sz w:val="32"/>
          <w:szCs w:val="32"/>
        </w:rPr>
      </w:pPr>
    </w:p>
    <w:p>
      <w:pPr>
        <w:spacing w:line="360" w:lineRule="auto"/>
        <w:ind w:firstLine="640" w:firstLineChars="200"/>
        <w:rPr>
          <w:rFonts w:hint="eastAsia" w:ascii="方正仿宋_GBK" w:eastAsia="方正仿宋_GBK"/>
          <w:sz w:val="32"/>
          <w:szCs w:val="32"/>
        </w:rPr>
      </w:pPr>
    </w:p>
    <w:p>
      <w:pPr>
        <w:spacing w:line="360" w:lineRule="auto"/>
        <w:ind w:firstLine="4800" w:firstLineChars="1500"/>
        <w:rPr>
          <w:rFonts w:hint="eastAsia" w:ascii="方正仿宋_GBK" w:eastAsia="方正仿宋_GBK"/>
          <w:sz w:val="32"/>
          <w:szCs w:val="32"/>
        </w:rPr>
      </w:pPr>
      <w:r>
        <w:rPr>
          <w:rFonts w:hint="eastAsia" w:ascii="方正仿宋_GBK" w:eastAsia="方正仿宋_GBK"/>
          <w:sz w:val="32"/>
          <w:szCs w:val="32"/>
        </w:rPr>
        <w:t>玉溪市江川区农业局</w:t>
      </w:r>
    </w:p>
    <w:p>
      <w:pPr>
        <w:spacing w:line="360" w:lineRule="auto"/>
        <w:ind w:firstLine="5120" w:firstLineChars="1600"/>
        <w:rPr>
          <w:rFonts w:hint="eastAsia" w:ascii="方正仿宋_GBK" w:eastAsia="方正仿宋_GBK"/>
          <w:sz w:val="32"/>
          <w:szCs w:val="32"/>
        </w:rPr>
      </w:pPr>
      <w:r>
        <w:rPr>
          <w:rFonts w:hint="eastAsia" w:ascii="方正仿宋_GBK" w:eastAsia="方正仿宋_GBK"/>
          <w:sz w:val="32"/>
          <w:szCs w:val="32"/>
        </w:rPr>
        <w:t>2018年1月24日</w:t>
      </w:r>
    </w:p>
    <w:p>
      <w:pPr>
        <w:spacing w:line="360" w:lineRule="auto"/>
        <w:ind w:firstLine="640" w:firstLineChars="200"/>
        <w:rPr>
          <w:rFonts w:hint="eastAsia" w:ascii="方正仿宋_GBK" w:eastAsia="方正仿宋_GBK"/>
          <w:sz w:val="32"/>
          <w:szCs w:val="32"/>
        </w:rPr>
      </w:pPr>
    </w:p>
    <w:p>
      <w:pPr>
        <w:spacing w:line="360" w:lineRule="auto"/>
        <w:ind w:firstLine="640" w:firstLineChars="200"/>
        <w:rPr>
          <w:rFonts w:hint="eastAsia" w:ascii="方正仿宋_GBK" w:eastAsia="方正仿宋_GBK"/>
          <w:sz w:val="32"/>
          <w:szCs w:val="32"/>
        </w:rPr>
      </w:pPr>
    </w:p>
    <w:p>
      <w:pPr>
        <w:spacing w:line="586" w:lineRule="exact"/>
        <w:rPr>
          <w:rFonts w:eastAsia="方正仿宋_GBK"/>
          <w:szCs w:val="32"/>
        </w:rPr>
      </w:pPr>
    </w:p>
    <w:p>
      <w:pPr>
        <w:autoSpaceDN w:val="0"/>
        <w:adjustRightInd w:val="0"/>
        <w:snapToGrid w:val="0"/>
        <w:spacing w:line="586" w:lineRule="exact"/>
        <w:jc w:val="center"/>
        <w:rPr>
          <w:rFonts w:hint="eastAsia" w:eastAsia="方正小标宋_GBK"/>
          <w:bCs/>
          <w:sz w:val="44"/>
          <w:szCs w:val="44"/>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542" w:h="437" w:hRule="exact" w:wrap="around" w:vAnchor="page" w:hAnchor="page" w:x="8733" w:y="14992" w:anchorLock="1"/>
      <w:jc w:val="center"/>
      <w:rPr>
        <w:rStyle w:val="7"/>
        <w:rFonts w:ascii="宋体" w:hAnsi="宋体"/>
        <w:spacing w:val="10"/>
        <w:sz w:val="28"/>
        <w:szCs w:val="28"/>
      </w:rPr>
    </w:pPr>
    <w:r>
      <w:rPr>
        <w:rStyle w:val="7"/>
        <w:rFonts w:hint="eastAsia" w:ascii="宋体" w:hAnsi="宋体"/>
        <w:spacing w:val="10"/>
        <w:sz w:val="28"/>
        <w:szCs w:val="28"/>
      </w:rPr>
      <w:t xml:space="preserve">— </w:t>
    </w:r>
    <w:r>
      <w:rPr>
        <w:rStyle w:val="7"/>
        <w:rFonts w:ascii="宋体" w:hAnsi="宋体"/>
        <w:spacing w:val="10"/>
        <w:sz w:val="28"/>
        <w:szCs w:val="28"/>
      </w:rPr>
      <w:fldChar w:fldCharType="begin"/>
    </w:r>
    <w:r>
      <w:rPr>
        <w:rStyle w:val="7"/>
        <w:rFonts w:ascii="宋体" w:hAnsi="宋体"/>
        <w:spacing w:val="10"/>
        <w:sz w:val="28"/>
        <w:szCs w:val="28"/>
      </w:rPr>
      <w:instrText xml:space="preserve"> PAGE  \* Arabic </w:instrText>
    </w:r>
    <w:r>
      <w:rPr>
        <w:rStyle w:val="7"/>
        <w:rFonts w:ascii="宋体" w:hAnsi="宋体"/>
        <w:spacing w:val="10"/>
        <w:sz w:val="28"/>
        <w:szCs w:val="28"/>
      </w:rPr>
      <w:fldChar w:fldCharType="separate"/>
    </w:r>
    <w:r>
      <w:rPr>
        <w:rStyle w:val="7"/>
        <w:rFonts w:ascii="宋体" w:hAnsi="宋体"/>
        <w:spacing w:val="10"/>
        <w:sz w:val="28"/>
        <w:szCs w:val="28"/>
      </w:rPr>
      <w:t>1</w:t>
    </w:r>
    <w:r>
      <w:rPr>
        <w:rStyle w:val="7"/>
        <w:rFonts w:ascii="宋体" w:hAnsi="宋体"/>
        <w:spacing w:val="10"/>
        <w:sz w:val="28"/>
        <w:szCs w:val="28"/>
      </w:rPr>
      <w:fldChar w:fldCharType="end"/>
    </w:r>
    <w:r>
      <w:rPr>
        <w:rStyle w:val="7"/>
        <w:rFonts w:hint="eastAsia" w:ascii="宋体" w:hAnsi="宋体"/>
        <w:spacing w:val="10"/>
        <w:sz w:val="28"/>
        <w:szCs w:val="28"/>
      </w:rPr>
      <w:t xml:space="preserve"> —</w:t>
    </w:r>
  </w:p>
  <w:p>
    <w:pPr>
      <w:pStyle w:val="2"/>
      <w:framePr w:wrap="around" w:vAnchor="text" w:hAnchor="page" w:x="9568" w:y="-10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565" w:h="437" w:hRule="exact" w:wrap="around" w:vAnchor="page" w:hAnchor="page" w:x="1645" w:y="14992" w:anchorLock="1"/>
      <w:jc w:val="center"/>
      <w:rPr>
        <w:rStyle w:val="7"/>
        <w:rFonts w:ascii="宋体" w:hAnsi="宋体"/>
        <w:spacing w:val="10"/>
        <w:sz w:val="28"/>
        <w:szCs w:val="28"/>
      </w:rPr>
    </w:pPr>
    <w:r>
      <w:rPr>
        <w:rStyle w:val="7"/>
        <w:rFonts w:hint="eastAsia" w:ascii="宋体" w:hAnsi="宋体"/>
        <w:spacing w:val="10"/>
        <w:sz w:val="28"/>
        <w:szCs w:val="28"/>
      </w:rPr>
      <w:t xml:space="preserve">— </w:t>
    </w:r>
    <w:r>
      <w:rPr>
        <w:rStyle w:val="7"/>
        <w:rFonts w:ascii="宋体" w:hAnsi="宋体"/>
        <w:spacing w:val="10"/>
        <w:sz w:val="28"/>
        <w:szCs w:val="28"/>
      </w:rPr>
      <w:fldChar w:fldCharType="begin"/>
    </w:r>
    <w:r>
      <w:rPr>
        <w:rStyle w:val="7"/>
        <w:rFonts w:ascii="宋体" w:hAnsi="宋体"/>
        <w:spacing w:val="10"/>
        <w:sz w:val="28"/>
        <w:szCs w:val="28"/>
      </w:rPr>
      <w:instrText xml:space="preserve"> PAGE  \* Arabic </w:instrText>
    </w:r>
    <w:r>
      <w:rPr>
        <w:rStyle w:val="7"/>
        <w:rFonts w:ascii="宋体" w:hAnsi="宋体"/>
        <w:spacing w:val="10"/>
        <w:sz w:val="28"/>
        <w:szCs w:val="28"/>
      </w:rPr>
      <w:fldChar w:fldCharType="separate"/>
    </w:r>
    <w:r>
      <w:rPr>
        <w:rStyle w:val="7"/>
        <w:rFonts w:ascii="宋体" w:hAnsi="宋体"/>
        <w:spacing w:val="10"/>
        <w:sz w:val="28"/>
        <w:szCs w:val="28"/>
      </w:rPr>
      <w:t>6</w:t>
    </w:r>
    <w:r>
      <w:rPr>
        <w:rStyle w:val="7"/>
        <w:rFonts w:ascii="宋体" w:hAnsi="宋体"/>
        <w:spacing w:val="10"/>
        <w:sz w:val="28"/>
        <w:szCs w:val="28"/>
      </w:rPr>
      <w:fldChar w:fldCharType="end"/>
    </w:r>
    <w:r>
      <w:rPr>
        <w:rStyle w:val="7"/>
        <w:rFonts w:hint="eastAsia" w:ascii="宋体" w:hAnsi="宋体"/>
        <w:spacing w:val="10"/>
        <w:sz w:val="28"/>
        <w:szCs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D15AC"/>
    <w:rsid w:val="00150829"/>
    <w:rsid w:val="00170A32"/>
    <w:rsid w:val="0030787E"/>
    <w:rsid w:val="00316BB0"/>
    <w:rsid w:val="004D22A2"/>
    <w:rsid w:val="00651466"/>
    <w:rsid w:val="008A331B"/>
    <w:rsid w:val="008D15AC"/>
    <w:rsid w:val="00FA4ECE"/>
    <w:rsid w:val="0CEC6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rFonts w:ascii="Times New Roman" w:hAnsi="Times New Roman" w:eastAsia="仿宋_GB2312" w:cs="Times New Roman"/>
      <w:kern w:val="44"/>
      <w:sz w:val="18"/>
      <w:szCs w:val="20"/>
    </w:rPr>
  </w:style>
  <w:style w:type="paragraph" w:styleId="3">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eastAsia="宋体" w:cs="Times New Roman"/>
      <w:kern w:val="0"/>
      <w:sz w:val="24"/>
      <w:szCs w:val="24"/>
    </w:rPr>
  </w:style>
  <w:style w:type="character" w:styleId="7">
    <w:name w:val="page number"/>
    <w:basedOn w:val="6"/>
    <w:uiPriority w:val="0"/>
  </w:style>
  <w:style w:type="character" w:styleId="8">
    <w:name w:val="Hyperlink"/>
    <w:basedOn w:val="6"/>
    <w:unhideWhenUsed/>
    <w:uiPriority w:val="99"/>
    <w:rPr>
      <w:color w:val="0000FF" w:themeColor="hyperlink"/>
      <w:u w:val="single"/>
    </w:rPr>
  </w:style>
  <w:style w:type="character" w:customStyle="1" w:styleId="9">
    <w:name w:val="页脚 Char"/>
    <w:basedOn w:val="6"/>
    <w:link w:val="2"/>
    <w:uiPriority w:val="0"/>
    <w:rPr>
      <w:rFonts w:ascii="Times New Roman" w:hAnsi="Times New Roman" w:eastAsia="仿宋_GB2312" w:cs="Times New Roman"/>
      <w:kern w:val="44"/>
      <w:sz w:val="18"/>
      <w:szCs w:val="20"/>
    </w:rPr>
  </w:style>
  <w:style w:type="character" w:customStyle="1" w:styleId="10">
    <w:name w:val="页眉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394</Words>
  <Characters>2252</Characters>
  <Lines>18</Lines>
  <Paragraphs>5</Paragraphs>
  <TotalTime>40</TotalTime>
  <ScaleCrop>false</ScaleCrop>
  <LinksUpToDate>false</LinksUpToDate>
  <CharactersWithSpaces>2641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2018-01-24T06:24:00Z</dcterms:created>
  <dc:creator>as</dc:creator>
  <cp:lastModifiedBy>Administrator</cp:lastModifiedBy>
  <dcterms:modified xsi:type="dcterms:W3CDTF">2024-02-02T03:13:54Z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