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方正小标宋_GBK" w:hAnsi="仿宋" w:eastAsia="方正小标宋_GBK" w:cs="宋体"/>
          <w:color w:val="333333"/>
          <w:kern w:val="0"/>
          <w:sz w:val="44"/>
          <w:szCs w:val="44"/>
        </w:rPr>
      </w:pPr>
      <w:r>
        <w:rPr>
          <w:rFonts w:hint="eastAsia" w:ascii="方正小标宋_GBK" w:hAnsi="仿宋" w:eastAsia="方正小标宋_GBK" w:cs="宋体"/>
          <w:color w:val="333333"/>
          <w:kern w:val="0"/>
          <w:sz w:val="44"/>
          <w:szCs w:val="44"/>
        </w:rPr>
        <w:t>关于推行新建商品房购房人自行申请办理商品房所有权转移登记的公告</w:t>
      </w:r>
    </w:p>
    <w:p>
      <w:pPr>
        <w:widowControl/>
        <w:shd w:val="clear" w:color="auto" w:fill="FFFFFF"/>
        <w:spacing w:line="600" w:lineRule="atLeast"/>
        <w:jc w:val="left"/>
        <w:rPr>
          <w:rFonts w:ascii="方正仿宋_GBK" w:hAnsi="仿宋" w:eastAsia="方正仿宋_GBK" w:cs="宋体"/>
          <w:color w:val="333333"/>
          <w:kern w:val="0"/>
          <w:sz w:val="32"/>
          <w:szCs w:val="32"/>
        </w:rPr>
      </w:pPr>
    </w:p>
    <w:p>
      <w:pPr>
        <w:widowControl/>
        <w:shd w:val="clear" w:color="auto" w:fill="FFFFFF"/>
        <w:spacing w:line="600" w:lineRule="atLeast"/>
        <w:jc w:val="left"/>
        <w:rPr>
          <w:rFonts w:ascii="方正仿宋_GBK" w:hAnsi="仿宋" w:eastAsia="方正仿宋_GBK" w:cs="宋体"/>
          <w:color w:val="333333"/>
          <w:kern w:val="0"/>
          <w:szCs w:val="21"/>
        </w:rPr>
      </w:pPr>
      <w:r>
        <w:rPr>
          <w:rFonts w:hint="eastAsia" w:ascii="方正仿宋_GBK" w:hAnsi="仿宋" w:eastAsia="方正仿宋_GBK" w:cs="宋体"/>
          <w:color w:val="333333"/>
          <w:kern w:val="0"/>
          <w:sz w:val="32"/>
          <w:szCs w:val="32"/>
        </w:rPr>
        <w:t>各房地产开发企业、金融机构、广大购房群众：</w:t>
      </w:r>
    </w:p>
    <w:p>
      <w:pPr>
        <w:widowControl/>
        <w:shd w:val="clear" w:color="auto" w:fill="FFFFFF"/>
        <w:spacing w:line="480" w:lineRule="atLeast"/>
        <w:ind w:firstLine="640"/>
        <w:rPr>
          <w:rFonts w:ascii="方正仿宋_GBK" w:hAnsi="仿宋" w:eastAsia="方正仿宋_GBK" w:cs="宋体"/>
          <w:color w:val="333333"/>
          <w:kern w:val="0"/>
          <w:sz w:val="24"/>
          <w:szCs w:val="24"/>
        </w:rPr>
      </w:pPr>
      <w:r>
        <w:rPr>
          <w:rFonts w:hint="eastAsia" w:ascii="方正仿宋_GBK" w:hAnsi="仿宋" w:eastAsia="方正仿宋_GBK" w:cs="宋体"/>
          <w:color w:val="333333"/>
          <w:kern w:val="0"/>
          <w:sz w:val="32"/>
          <w:szCs w:val="32"/>
          <w:shd w:val="clear" w:color="auto" w:fill="FFFFFF"/>
        </w:rPr>
        <w:t>为进一步落实国家、省、市“放管服”改革的决策部署，打造一流不动产登记营商环境，方便购房群众办理不动产登记，依据《优化营商环境条例》《不动产登记暂行条例实施细则》的相关规定，自2024年4月15日起在全区范围内推行新建商品房购房人自行申请办理商品房所有权转移登记，现将有关事项公告如下：</w:t>
      </w:r>
      <w:r>
        <w:rPr>
          <w:rFonts w:ascii="方正仿宋_GBK" w:hAnsi="仿宋" w:eastAsia="方正仿宋_GBK" w:cs="宋体"/>
          <w:color w:val="333333"/>
          <w:kern w:val="0"/>
          <w:sz w:val="24"/>
          <w:szCs w:val="24"/>
        </w:rPr>
        <w:t xml:space="preserve"> </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仿宋" w:hAnsi="仿宋" w:eastAsia="仿宋" w:cs="宋体"/>
          <w:color w:val="333333"/>
          <w:kern w:val="0"/>
          <w:sz w:val="32"/>
          <w:szCs w:val="32"/>
          <w:shd w:val="clear" w:color="auto" w:fill="FFFFFF"/>
        </w:rPr>
        <w:t>一、本公告适用于</w:t>
      </w:r>
      <w:r>
        <w:rPr>
          <w:rFonts w:hint="eastAsia" w:ascii="方正仿宋_GBK" w:hAnsi="仿宋" w:eastAsia="方正仿宋_GBK" w:cs="宋体"/>
          <w:color w:val="333333"/>
          <w:kern w:val="0"/>
          <w:sz w:val="32"/>
          <w:szCs w:val="32"/>
          <w:shd w:val="clear" w:color="auto" w:fill="FFFFFF"/>
        </w:rPr>
        <w:t>已办理商品房买卖合同网签备案和完成</w:t>
      </w:r>
      <w:r>
        <w:rPr>
          <w:rFonts w:hint="eastAsia" w:ascii="仿宋" w:hAnsi="仿宋" w:eastAsia="仿宋"/>
          <w:color w:val="333333"/>
          <w:spacing w:val="8"/>
          <w:sz w:val="32"/>
          <w:szCs w:val="32"/>
          <w:shd w:val="clear" w:color="auto" w:fill="FFFFFF"/>
        </w:rPr>
        <w:t>商品房首次登记的新建商品房</w:t>
      </w:r>
      <w:r>
        <w:rPr>
          <w:rFonts w:hint="eastAsia" w:ascii="方正仿宋_GBK" w:hAnsi="仿宋" w:eastAsia="方正仿宋_GBK" w:cs="宋体"/>
          <w:color w:val="333333"/>
          <w:kern w:val="0"/>
          <w:sz w:val="32"/>
          <w:szCs w:val="32"/>
          <w:shd w:val="clear" w:color="auto" w:fill="FFFFFF"/>
        </w:rPr>
        <w:t>，经开发企业同意并提交由购房人自行办理商品房所有权转移登记申请书和承诺书的情形。</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二、具备购房人自行申请办理转移登记条件的商品房项目，在开发企业完成商品房所有权首次登记，且已提交由购房人自行办理商品房所有权转移登记申请书、承诺书和商品房销售基本信息表的，购房人可以自行向玉溪市江川区不动产登记中心申请办理转移登记。</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三、一次性付款购房的，购房人自行申请办理商品房所有权转移登记时，应向玉溪市江川区不动产登记中心提交身份证明材料、经网签备案的商品房买卖合同（已经办理预告登记的提交预告登记证明）、不动产完税凭证。</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四、按揭贷款购房的，购房人须与金融机构共同申请商品房所有权转移登记和抵押权登记，已办理商品房预告登记和抵押权预告登记的，须共同申请办理预告商品房转移登记和预告抵押权转房屋抵押权登记。</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五、开发企业不同意购房人自行申请办理商品房所有权转移登记的，应当及时向玉溪市江川区不动产登记中心提交相应材料（包括但不限于商品房买卖合同解除协议、因商品房买卖合同纠纷提起诉讼、申请仲裁的受理通知书等相关材料）。</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六、本公告发布后，开发企业申请办理商品房所有权首次登记时，必须同时向玉溪市江川区不动产登记中心提交是否可由购房人自行办理商品房所有权转移登记的相关材料。</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七、本公告发布前，已经办理商品房所有权首次登记的项目，也可补充提交相应材料后按本公告规定办理。</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八、对于已完成首次登记及开发企业已提交转移登记申请书、承诺书，具备购房人自行申请办理转移登记条件的商品房项目，玉溪市江川区不动产登记中心将在玉溪市江川区人民政府网站进行公示。</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九、本公告自2024年4月15日起执行。</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十、本公告由玉溪市江川区自然资源局负责解释。</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附件：</w:t>
      </w:r>
      <w:r>
        <w:rPr>
          <w:rFonts w:ascii="方正仿宋_GBK" w:hAnsi="仿宋" w:eastAsia="方正仿宋_GBK" w:cs="宋体"/>
          <w:color w:val="333333"/>
          <w:kern w:val="0"/>
          <w:sz w:val="32"/>
          <w:szCs w:val="32"/>
          <w:shd w:val="clear" w:color="auto" w:fill="FFFFFF"/>
        </w:rPr>
        <w:t>1.</w:t>
      </w:r>
      <w:r>
        <w:rPr>
          <w:rFonts w:hint="eastAsia" w:ascii="方正仿宋_GBK" w:hAnsi="仿宋" w:eastAsia="方正仿宋_GBK" w:cs="宋体"/>
          <w:color w:val="333333"/>
          <w:kern w:val="0"/>
          <w:sz w:val="32"/>
          <w:szCs w:val="32"/>
          <w:shd w:val="clear" w:color="auto" w:fill="FFFFFF"/>
        </w:rPr>
        <w:t>申请书</w:t>
      </w:r>
    </w:p>
    <w:p>
      <w:pPr>
        <w:widowControl/>
        <w:shd w:val="clear" w:color="auto" w:fill="FFFFFF"/>
        <w:spacing w:line="480" w:lineRule="atLeast"/>
        <w:ind w:firstLine="1600" w:firstLineChars="500"/>
        <w:rPr>
          <w:rFonts w:ascii="方正仿宋_GBK" w:hAnsi="仿宋" w:eastAsia="方正仿宋_GBK" w:cs="宋体"/>
          <w:color w:val="333333"/>
          <w:kern w:val="0"/>
          <w:sz w:val="32"/>
          <w:szCs w:val="32"/>
          <w:shd w:val="clear" w:color="auto" w:fill="FFFFFF"/>
        </w:rPr>
      </w:pPr>
      <w:r>
        <w:rPr>
          <w:rFonts w:ascii="方正仿宋_GBK" w:hAnsi="仿宋" w:eastAsia="方正仿宋_GBK" w:cs="宋体"/>
          <w:color w:val="333333"/>
          <w:kern w:val="0"/>
          <w:sz w:val="32"/>
          <w:szCs w:val="32"/>
          <w:shd w:val="clear" w:color="auto" w:fill="FFFFFF"/>
        </w:rPr>
        <w:t>2.</w:t>
      </w:r>
      <w:r>
        <w:rPr>
          <w:rFonts w:hint="eastAsia" w:ascii="方正仿宋_GBK" w:hAnsi="仿宋" w:eastAsia="方正仿宋_GBK" w:cs="宋体"/>
          <w:color w:val="333333"/>
          <w:kern w:val="0"/>
          <w:sz w:val="32"/>
          <w:szCs w:val="32"/>
          <w:shd w:val="clear" w:color="auto" w:fill="FFFFFF"/>
        </w:rPr>
        <w:t>承诺书</w:t>
      </w:r>
    </w:p>
    <w:p>
      <w:pPr>
        <w:widowControl/>
        <w:shd w:val="clear" w:color="auto" w:fill="FFFFFF"/>
        <w:spacing w:line="480" w:lineRule="atLeast"/>
        <w:ind w:firstLine="1600" w:firstLineChars="50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3.</w:t>
      </w:r>
      <w:r>
        <w:rPr>
          <w:rFonts w:hint="eastAsia"/>
        </w:rPr>
        <w:t xml:space="preserve"> </w:t>
      </w:r>
      <w:r>
        <w:rPr>
          <w:rFonts w:hint="eastAsia" w:ascii="方正仿宋_GBK" w:hAnsi="仿宋" w:eastAsia="方正仿宋_GBK" w:cs="宋体"/>
          <w:color w:val="333333"/>
          <w:kern w:val="0"/>
          <w:sz w:val="32"/>
          <w:szCs w:val="32"/>
          <w:shd w:val="clear" w:color="auto" w:fill="FFFFFF"/>
        </w:rPr>
        <w:t>商品房销售基本信息表</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left="4318" w:leftChars="304" w:hanging="3680" w:hangingChars="1150"/>
        <w:rPr>
          <w:rFonts w:ascii="方正仿宋_GBK" w:hAnsi="仿宋" w:eastAsia="方正仿宋_GBK" w:cs="宋体"/>
          <w:color w:val="333333"/>
          <w:kern w:val="0"/>
          <w:sz w:val="32"/>
          <w:szCs w:val="32"/>
          <w:shd w:val="clear" w:color="auto" w:fill="FFFFFF"/>
        </w:rPr>
      </w:pPr>
      <w:r>
        <w:rPr>
          <w:rFonts w:ascii="方正仿宋_GBK" w:hAnsi="仿宋" w:eastAsia="方正仿宋_GBK" w:cs="宋体"/>
          <w:color w:val="333333"/>
          <w:kern w:val="0"/>
          <w:sz w:val="32"/>
          <w:szCs w:val="32"/>
          <w:shd w:val="clear" w:color="auto" w:fill="FFFFFF"/>
        </w:rPr>
        <w:t>                                                                         </w:t>
      </w:r>
      <w:r>
        <w:rPr>
          <w:rFonts w:hint="eastAsia" w:ascii="方正仿宋_GBK" w:hAnsi="仿宋" w:eastAsia="方正仿宋_GBK" w:cs="宋体"/>
          <w:color w:val="333333"/>
          <w:kern w:val="0"/>
          <w:sz w:val="32"/>
          <w:szCs w:val="32"/>
          <w:shd w:val="clear" w:color="auto" w:fill="FFFFFF"/>
        </w:rPr>
        <w:t>玉溪市江川区自然资源局</w:t>
      </w:r>
      <w:r>
        <w:rPr>
          <w:rFonts w:ascii="方正仿宋_GBK" w:hAnsi="仿宋" w:eastAsia="方正仿宋_GBK" w:cs="宋体"/>
          <w:color w:val="333333"/>
          <w:kern w:val="0"/>
          <w:sz w:val="32"/>
          <w:szCs w:val="32"/>
          <w:shd w:val="clear" w:color="auto" w:fill="FFFFFF"/>
        </w:rPr>
        <w:t>       202</w:t>
      </w:r>
      <w:r>
        <w:rPr>
          <w:rFonts w:hint="eastAsia" w:ascii="方正仿宋_GBK" w:hAnsi="仿宋" w:eastAsia="方正仿宋_GBK" w:cs="宋体"/>
          <w:color w:val="333333"/>
          <w:kern w:val="0"/>
          <w:sz w:val="32"/>
          <w:szCs w:val="32"/>
          <w:shd w:val="clear" w:color="auto" w:fill="FFFFFF"/>
        </w:rPr>
        <w:t>4年4月10日</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hint="eastAsia"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hint="eastAsia"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firstLineChars="20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附件1：</w:t>
      </w:r>
    </w:p>
    <w:p>
      <w:pPr>
        <w:widowControl/>
        <w:shd w:val="clear" w:color="auto" w:fill="FFFFFF"/>
        <w:spacing w:line="480" w:lineRule="atLeast"/>
        <w:ind w:firstLine="640"/>
        <w:jc w:val="center"/>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申请书</w:t>
      </w:r>
    </w:p>
    <w:p>
      <w:pPr>
        <w:widowControl/>
        <w:shd w:val="clear" w:color="auto" w:fill="FFFFFF"/>
        <w:spacing w:line="480" w:lineRule="atLeast"/>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江川区不动产登记中心：</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我公司开发的       项目，宗地代码             ，现已完成了国有建设用地使用权及房屋所有权首次登记。为了方便购房群众办理不动产登记，凡属我公司出具自行申请转移登记名单且购房合同经住建部门网签备案的购房人，可以自行向贵中心申请办理不动产转移登记。</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5920" w:firstLineChars="185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申请单位：</w:t>
      </w:r>
    </w:p>
    <w:p>
      <w:pPr>
        <w:widowControl/>
        <w:shd w:val="clear" w:color="auto" w:fill="FFFFFF"/>
        <w:spacing w:line="480" w:lineRule="atLeast"/>
        <w:ind w:firstLine="6240" w:firstLineChars="195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年 月 日</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附件2：</w:t>
      </w:r>
    </w:p>
    <w:p>
      <w:pPr>
        <w:widowControl/>
        <w:shd w:val="clear" w:color="auto" w:fill="FFFFFF"/>
        <w:spacing w:line="480" w:lineRule="atLeast"/>
        <w:ind w:firstLine="640"/>
        <w:jc w:val="center"/>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承诺书</w:t>
      </w:r>
    </w:p>
    <w:p>
      <w:pPr>
        <w:widowControl/>
        <w:shd w:val="clear" w:color="auto" w:fill="FFFFFF"/>
        <w:spacing w:line="480" w:lineRule="atLeast"/>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玉溪市江川区不动产登记中心：</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 xml:space="preserve">本公司开发建设的项目                      (宗地代码:                    )商业     套、住宅     套、车位      个，现已完成了国有建设使用权及房屋所有权首次登记， 为了购房人方便快捷办理不动产权证，现就我公司代办及购房人自行申请的不动产登记有关事项承诺如下： </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1、付款方式为一次性付款的，授权并同意购房人(合同网签备案的买受人)自行申请办理转移登记。</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 xml:space="preserve"> 2、付款方式为按揭贷款的，授权并同意购房人(合同网签备案的买受人)与贷款金融机构共同申请办理转移登记及抵押权合并登记事项。</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在办理上述登记事项中购房人、贷款金融机构签署的相关文件均予以承认并承担相应的法律责任。</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240" w:firstLineChars="195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承诺单位：</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ascii="方正仿宋_GBK" w:hAnsi="仿宋" w:eastAsia="方正仿宋_GBK" w:cs="宋体"/>
          <w:color w:val="333333"/>
          <w:kern w:val="0"/>
          <w:sz w:val="32"/>
          <w:szCs w:val="32"/>
          <w:shd w:val="clear" w:color="auto" w:fill="FFFFFF"/>
        </w:rPr>
        <w:t>               </w:t>
      </w:r>
      <w:r>
        <w:rPr>
          <w:rFonts w:hint="eastAsia" w:ascii="方正仿宋_GBK" w:hAnsi="仿宋" w:eastAsia="方正仿宋_GBK" w:cs="宋体"/>
          <w:color w:val="333333"/>
          <w:kern w:val="0"/>
          <w:sz w:val="32"/>
          <w:szCs w:val="32"/>
          <w:shd w:val="clear" w:color="auto" w:fill="FFFFFF"/>
        </w:rPr>
        <w:t xml:space="preserve">    年</w:t>
      </w:r>
      <w:r>
        <w:rPr>
          <w:rFonts w:ascii="方正仿宋_GBK" w:hAnsi="仿宋" w:eastAsia="方正仿宋_GBK" w:cs="宋体"/>
          <w:color w:val="333333"/>
          <w:kern w:val="0"/>
          <w:sz w:val="32"/>
          <w:szCs w:val="32"/>
          <w:shd w:val="clear" w:color="auto" w:fill="FFFFFF"/>
        </w:rPr>
        <w:t xml:space="preserve">  </w:t>
      </w:r>
      <w:r>
        <w:rPr>
          <w:rFonts w:hint="eastAsia" w:ascii="方正仿宋_GBK" w:hAnsi="仿宋" w:eastAsia="方正仿宋_GBK" w:cs="宋体"/>
          <w:color w:val="333333"/>
          <w:kern w:val="0"/>
          <w:sz w:val="32"/>
          <w:szCs w:val="32"/>
          <w:shd w:val="clear" w:color="auto" w:fill="FFFFFF"/>
        </w:rPr>
        <w:t>月</w:t>
      </w:r>
      <w:r>
        <w:rPr>
          <w:rFonts w:ascii="方正仿宋_GBK" w:hAnsi="仿宋" w:eastAsia="方正仿宋_GBK" w:cs="宋体"/>
          <w:color w:val="333333"/>
          <w:kern w:val="0"/>
          <w:sz w:val="32"/>
          <w:szCs w:val="32"/>
          <w:shd w:val="clear" w:color="auto" w:fill="FFFFFF"/>
        </w:rPr>
        <w:t xml:space="preserve">  </w:t>
      </w:r>
      <w:r>
        <w:rPr>
          <w:rFonts w:hint="eastAsia" w:ascii="方正仿宋_GBK" w:hAnsi="仿宋" w:eastAsia="方正仿宋_GBK" w:cs="宋体"/>
          <w:color w:val="333333"/>
          <w:kern w:val="0"/>
          <w:sz w:val="32"/>
          <w:szCs w:val="32"/>
          <w:shd w:val="clear" w:color="auto" w:fill="FFFFFF"/>
        </w:rPr>
        <w:t>日</w:t>
      </w:r>
    </w:p>
    <w:p>
      <w:pPr>
        <w:widowControl/>
        <w:shd w:val="clear" w:color="auto" w:fill="FFFFFF"/>
        <w:spacing w:line="480" w:lineRule="atLeast"/>
        <w:ind w:firstLine="640"/>
        <w:rPr>
          <w:rFonts w:ascii="仿宋" w:hAnsi="仿宋" w:eastAsia="仿宋" w:cs="宋体"/>
          <w:color w:val="333333"/>
          <w:kern w:val="0"/>
          <w:sz w:val="32"/>
          <w:szCs w:val="32"/>
          <w:shd w:val="clear" w:color="auto" w:fill="FFFFFF"/>
        </w:rPr>
      </w:pPr>
    </w:p>
    <w:p>
      <w:pPr>
        <w:widowControl/>
        <w:shd w:val="clear" w:color="auto" w:fill="FFFFFF"/>
        <w:spacing w:line="480" w:lineRule="atLeast"/>
        <w:ind w:firstLine="640"/>
        <w:rPr>
          <w:rFonts w:ascii="仿宋" w:hAnsi="仿宋" w:eastAsia="仿宋" w:cs="宋体"/>
          <w:color w:val="333333"/>
          <w:kern w:val="0"/>
          <w:sz w:val="32"/>
          <w:szCs w:val="32"/>
          <w:shd w:val="clear" w:color="auto" w:fill="FFFFFF"/>
        </w:rPr>
      </w:pPr>
    </w:p>
    <w:p>
      <w:pPr>
        <w:widowControl/>
        <w:shd w:val="clear" w:color="auto" w:fill="FFFFFF"/>
        <w:spacing w:line="480" w:lineRule="atLeast"/>
        <w:ind w:firstLine="640"/>
        <w:rPr>
          <w:rFonts w:ascii="仿宋" w:hAnsi="仿宋" w:eastAsia="仿宋" w:cs="宋体"/>
          <w:color w:val="333333"/>
          <w:kern w:val="0"/>
          <w:sz w:val="32"/>
          <w:szCs w:val="32"/>
          <w:shd w:val="clear" w:color="auto" w:fill="FFFFFF"/>
        </w:rPr>
      </w:pPr>
    </w:p>
    <w:p>
      <w:pPr>
        <w:widowControl/>
        <w:shd w:val="clear" w:color="auto" w:fill="FFFFFF"/>
        <w:spacing w:line="480" w:lineRule="atLeast"/>
        <w:ind w:firstLine="640"/>
        <w:rPr>
          <w:rFonts w:ascii="仿宋" w:hAnsi="仿宋" w:eastAsia="仿宋" w:cs="宋体"/>
          <w:color w:val="333333"/>
          <w:kern w:val="0"/>
          <w:sz w:val="32"/>
          <w:szCs w:val="32"/>
          <w:shd w:val="clear" w:color="auto" w:fill="FFFFFF"/>
        </w:rPr>
      </w:pPr>
    </w:p>
    <w:p>
      <w:pPr>
        <w:widowControl/>
        <w:shd w:val="clear" w:color="auto" w:fill="FFFFFF"/>
        <w:spacing w:line="480" w:lineRule="atLeast"/>
        <w:rPr>
          <w:rFonts w:ascii="Calibri" w:hAnsi="Calibri" w:eastAsia="宋体" w:cs="宋体"/>
          <w:color w:val="333333"/>
          <w:kern w:val="0"/>
          <w:sz w:val="24"/>
          <w:szCs w:val="24"/>
        </w:rPr>
      </w:pPr>
      <w:r>
        <w:rPr>
          <w:rFonts w:hint="eastAsia" w:ascii="仿宋" w:hAnsi="仿宋" w:eastAsia="仿宋" w:cs="宋体"/>
          <w:color w:val="333333"/>
          <w:kern w:val="0"/>
          <w:sz w:val="32"/>
          <w:szCs w:val="32"/>
          <w:shd w:val="clear" w:color="auto" w:fill="FFFFFF"/>
        </w:rPr>
        <w:t>附件</w:t>
      </w:r>
      <w:r>
        <w:rPr>
          <w:rFonts w:hint="eastAsia" w:ascii="宋体" w:hAnsi="宋体" w:eastAsia="宋体" w:cs="宋体"/>
          <w:color w:val="333333"/>
          <w:kern w:val="0"/>
          <w:sz w:val="32"/>
          <w:szCs w:val="32"/>
          <w:shd w:val="clear" w:color="auto" w:fill="FFFFFF"/>
        </w:rPr>
        <w:t> 3</w:t>
      </w:r>
      <w:r>
        <w:rPr>
          <w:rFonts w:hint="eastAsia" w:ascii="仿宋" w:hAnsi="仿宋" w:eastAsia="仿宋" w:cs="宋体"/>
          <w:color w:val="333333"/>
          <w:kern w:val="0"/>
          <w:sz w:val="32"/>
          <w:szCs w:val="32"/>
          <w:shd w:val="clear" w:color="auto" w:fill="FFFFFF"/>
        </w:rPr>
        <w:t>：</w:t>
      </w:r>
    </w:p>
    <w:p>
      <w:pPr>
        <w:widowControl/>
        <w:shd w:val="clear" w:color="auto" w:fill="FFFFFF"/>
        <w:spacing w:line="480" w:lineRule="atLeast"/>
        <w:jc w:val="center"/>
        <w:rPr>
          <w:rFonts w:ascii="方正仿宋_GBK" w:eastAsia="方正仿宋_GBK" w:cs="宋体" w:hAnsiTheme="minorEastAsia"/>
          <w:color w:val="333333"/>
          <w:kern w:val="0"/>
          <w:sz w:val="32"/>
          <w:szCs w:val="32"/>
        </w:rPr>
      </w:pPr>
      <w:r>
        <w:rPr>
          <w:rFonts w:hint="eastAsia" w:ascii="方正仿宋_GBK" w:eastAsia="方正仿宋_GBK" w:cs="宋体" w:hAnsiTheme="minorEastAsia"/>
          <w:color w:val="333333"/>
          <w:kern w:val="0"/>
          <w:sz w:val="32"/>
          <w:szCs w:val="32"/>
          <w:u w:val="single"/>
          <w:shd w:val="clear" w:color="auto" w:fill="FFFFFF"/>
        </w:rPr>
        <w:t xml:space="preserve">            </w:t>
      </w:r>
      <w:bookmarkStart w:id="0" w:name="_GoBack"/>
      <w:r>
        <w:rPr>
          <w:rFonts w:hint="eastAsia" w:ascii="方正仿宋_GBK" w:eastAsia="方正仿宋_GBK" w:cs="宋体" w:hAnsiTheme="minorEastAsia"/>
          <w:color w:val="333333"/>
          <w:kern w:val="0"/>
          <w:sz w:val="32"/>
          <w:szCs w:val="32"/>
          <w:shd w:val="clear" w:color="auto" w:fill="FFFFFF"/>
        </w:rPr>
        <w:t>项目商品房销售基本信息表</w:t>
      </w:r>
      <w:bookmarkEnd w:id="0"/>
    </w:p>
    <w:p>
      <w:pPr>
        <w:widowControl/>
        <w:shd w:val="clear" w:color="auto" w:fill="FFFFFF"/>
        <w:spacing w:line="480" w:lineRule="atLeast"/>
        <w:rPr>
          <w:rFonts w:ascii="Calibri" w:hAnsi="Calibri" w:eastAsia="宋体" w:cs="宋体"/>
          <w:color w:val="333333"/>
          <w:kern w:val="0"/>
          <w:sz w:val="24"/>
          <w:szCs w:val="24"/>
        </w:rPr>
      </w:pPr>
    </w:p>
    <w:tbl>
      <w:tblPr>
        <w:tblStyle w:val="8"/>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302"/>
        <w:gridCol w:w="3402"/>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jc w:val="center"/>
              <w:rPr>
                <w:rFonts w:ascii="Calibri" w:hAnsi="Calibri" w:eastAsia="宋体" w:cs="宋体"/>
                <w:color w:val="333333"/>
                <w:kern w:val="0"/>
                <w:sz w:val="24"/>
                <w:szCs w:val="24"/>
              </w:rPr>
            </w:pPr>
            <w:r>
              <w:rPr>
                <w:rFonts w:hint="eastAsia" w:ascii="Calibri" w:hAnsi="Calibri" w:eastAsia="宋体" w:cs="宋体"/>
                <w:color w:val="333333"/>
                <w:kern w:val="0"/>
                <w:sz w:val="24"/>
                <w:szCs w:val="24"/>
              </w:rPr>
              <w:t>序号</w:t>
            </w:r>
          </w:p>
        </w:tc>
        <w:tc>
          <w:tcPr>
            <w:tcW w:w="2302" w:type="dxa"/>
          </w:tcPr>
          <w:p>
            <w:pPr>
              <w:widowControl/>
              <w:spacing w:line="480" w:lineRule="atLeast"/>
              <w:jc w:val="center"/>
              <w:rPr>
                <w:rFonts w:ascii="Calibri" w:hAnsi="Calibri" w:eastAsia="宋体" w:cs="宋体"/>
                <w:color w:val="333333"/>
                <w:kern w:val="0"/>
                <w:sz w:val="24"/>
                <w:szCs w:val="24"/>
              </w:rPr>
            </w:pPr>
            <w:r>
              <w:rPr>
                <w:rFonts w:hint="eastAsia" w:ascii="Calibri" w:hAnsi="Calibri" w:eastAsia="宋体" w:cs="宋体"/>
                <w:color w:val="333333"/>
                <w:kern w:val="0"/>
                <w:sz w:val="24"/>
                <w:szCs w:val="24"/>
              </w:rPr>
              <w:t>购房人姓名</w:t>
            </w:r>
          </w:p>
        </w:tc>
        <w:tc>
          <w:tcPr>
            <w:tcW w:w="3402" w:type="dxa"/>
          </w:tcPr>
          <w:p>
            <w:pPr>
              <w:widowControl/>
              <w:spacing w:line="480" w:lineRule="atLeast"/>
              <w:jc w:val="center"/>
              <w:rPr>
                <w:rFonts w:ascii="Calibri" w:hAnsi="Calibri" w:eastAsia="宋体" w:cs="宋体"/>
                <w:color w:val="333333"/>
                <w:kern w:val="0"/>
                <w:sz w:val="24"/>
                <w:szCs w:val="24"/>
              </w:rPr>
            </w:pPr>
            <w:r>
              <w:rPr>
                <w:rFonts w:hint="eastAsia" w:ascii="Calibri" w:hAnsi="Calibri" w:eastAsia="宋体" w:cs="宋体"/>
                <w:color w:val="333333"/>
                <w:kern w:val="0"/>
                <w:sz w:val="24"/>
                <w:szCs w:val="24"/>
              </w:rPr>
              <w:t>房屋坐落</w:t>
            </w:r>
          </w:p>
        </w:tc>
        <w:tc>
          <w:tcPr>
            <w:tcW w:w="1559" w:type="dxa"/>
          </w:tcPr>
          <w:p>
            <w:pPr>
              <w:widowControl/>
              <w:spacing w:line="480" w:lineRule="atLeast"/>
              <w:jc w:val="center"/>
              <w:rPr>
                <w:rFonts w:ascii="Calibri" w:hAnsi="Calibri" w:eastAsia="宋体" w:cs="宋体"/>
                <w:color w:val="333333"/>
                <w:kern w:val="0"/>
                <w:sz w:val="24"/>
                <w:szCs w:val="24"/>
              </w:rPr>
            </w:pPr>
            <w:r>
              <w:rPr>
                <w:rFonts w:hint="eastAsia" w:ascii="Calibri" w:hAnsi="Calibri" w:eastAsia="宋体" w:cs="宋体"/>
                <w:color w:val="333333"/>
                <w:kern w:val="0"/>
                <w:sz w:val="24"/>
                <w:szCs w:val="24"/>
              </w:rPr>
              <w:t>付款方式</w:t>
            </w:r>
          </w:p>
        </w:tc>
        <w:tc>
          <w:tcPr>
            <w:tcW w:w="1843" w:type="dxa"/>
          </w:tcPr>
          <w:p>
            <w:pPr>
              <w:widowControl/>
              <w:spacing w:line="480" w:lineRule="atLeast"/>
              <w:jc w:val="center"/>
              <w:rPr>
                <w:rFonts w:ascii="Calibri" w:hAnsi="Calibri" w:eastAsia="宋体" w:cs="宋体"/>
                <w:color w:val="333333"/>
                <w:kern w:val="0"/>
                <w:sz w:val="24"/>
                <w:szCs w:val="24"/>
              </w:rPr>
            </w:pPr>
            <w:r>
              <w:rPr>
                <w:rFonts w:hint="eastAsia" w:ascii="Calibri" w:hAnsi="Calibri" w:eastAsia="宋体" w:cs="宋体"/>
                <w:color w:val="333333"/>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80" w:lineRule="atLeast"/>
              <w:rPr>
                <w:rFonts w:ascii="Calibri" w:hAnsi="Calibri" w:eastAsia="宋体" w:cs="宋体"/>
                <w:color w:val="333333"/>
                <w:kern w:val="0"/>
                <w:sz w:val="24"/>
                <w:szCs w:val="24"/>
              </w:rPr>
            </w:pPr>
          </w:p>
        </w:tc>
        <w:tc>
          <w:tcPr>
            <w:tcW w:w="2302" w:type="dxa"/>
          </w:tcPr>
          <w:p>
            <w:pPr>
              <w:widowControl/>
              <w:spacing w:line="480" w:lineRule="atLeast"/>
              <w:rPr>
                <w:rFonts w:ascii="Calibri" w:hAnsi="Calibri" w:eastAsia="宋体" w:cs="宋体"/>
                <w:color w:val="333333"/>
                <w:kern w:val="0"/>
                <w:sz w:val="24"/>
                <w:szCs w:val="24"/>
              </w:rPr>
            </w:pPr>
          </w:p>
        </w:tc>
        <w:tc>
          <w:tcPr>
            <w:tcW w:w="3402" w:type="dxa"/>
          </w:tcPr>
          <w:p>
            <w:pPr>
              <w:widowControl/>
              <w:spacing w:line="480" w:lineRule="atLeast"/>
              <w:rPr>
                <w:rFonts w:ascii="Calibri" w:hAnsi="Calibri" w:eastAsia="宋体" w:cs="宋体"/>
                <w:color w:val="333333"/>
                <w:kern w:val="0"/>
                <w:sz w:val="24"/>
                <w:szCs w:val="24"/>
              </w:rPr>
            </w:pPr>
          </w:p>
        </w:tc>
        <w:tc>
          <w:tcPr>
            <w:tcW w:w="1559" w:type="dxa"/>
          </w:tcPr>
          <w:p>
            <w:pPr>
              <w:widowControl/>
              <w:spacing w:line="480" w:lineRule="atLeast"/>
              <w:rPr>
                <w:rFonts w:ascii="Calibri" w:hAnsi="Calibri" w:eastAsia="宋体" w:cs="宋体"/>
                <w:color w:val="333333"/>
                <w:kern w:val="0"/>
                <w:sz w:val="24"/>
                <w:szCs w:val="24"/>
              </w:rPr>
            </w:pPr>
          </w:p>
        </w:tc>
        <w:tc>
          <w:tcPr>
            <w:tcW w:w="1843" w:type="dxa"/>
          </w:tcPr>
          <w:p>
            <w:pPr>
              <w:widowControl/>
              <w:spacing w:line="480" w:lineRule="atLeast"/>
              <w:rPr>
                <w:rFonts w:ascii="Calibri" w:hAnsi="Calibri" w:eastAsia="宋体" w:cs="宋体"/>
                <w:color w:val="333333"/>
                <w:kern w:val="0"/>
                <w:sz w:val="24"/>
                <w:szCs w:val="24"/>
              </w:rPr>
            </w:pPr>
          </w:p>
        </w:tc>
      </w:tr>
    </w:tbl>
    <w:p>
      <w:pPr>
        <w:widowControl/>
        <w:shd w:val="clear" w:color="auto" w:fill="FFFFFF"/>
        <w:spacing w:line="480" w:lineRule="atLeast"/>
        <w:rPr>
          <w:rFonts w:ascii="Calibri" w:hAnsi="Calibri" w:eastAsia="宋体" w:cs="宋体"/>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9A"/>
    <w:rsid w:val="000045D3"/>
    <w:rsid w:val="0001529A"/>
    <w:rsid w:val="00016545"/>
    <w:rsid w:val="00021AB5"/>
    <w:rsid w:val="0003496A"/>
    <w:rsid w:val="00134AA9"/>
    <w:rsid w:val="00394049"/>
    <w:rsid w:val="003F5499"/>
    <w:rsid w:val="00501AF2"/>
    <w:rsid w:val="006741BA"/>
    <w:rsid w:val="006A7703"/>
    <w:rsid w:val="007951B5"/>
    <w:rsid w:val="00871F3C"/>
    <w:rsid w:val="00906CFD"/>
    <w:rsid w:val="009A7F97"/>
    <w:rsid w:val="009B061F"/>
    <w:rsid w:val="00A01ADA"/>
    <w:rsid w:val="00A651A0"/>
    <w:rsid w:val="00A8282E"/>
    <w:rsid w:val="00A94875"/>
    <w:rsid w:val="00AA0CC0"/>
    <w:rsid w:val="00AC0E76"/>
    <w:rsid w:val="00AF4B63"/>
    <w:rsid w:val="00B0756B"/>
    <w:rsid w:val="00B54E7B"/>
    <w:rsid w:val="00B97446"/>
    <w:rsid w:val="00BB08CC"/>
    <w:rsid w:val="00CA79CC"/>
    <w:rsid w:val="00CB7DD0"/>
    <w:rsid w:val="00CC1866"/>
    <w:rsid w:val="00E103E0"/>
    <w:rsid w:val="00E474AD"/>
    <w:rsid w:val="00E75A69"/>
    <w:rsid w:val="00EB35D8"/>
    <w:rsid w:val="00EE1719"/>
    <w:rsid w:val="55EB6118"/>
    <w:rsid w:val="6CC6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285</Words>
  <Characters>1629</Characters>
  <Lines>13</Lines>
  <Paragraphs>3</Paragraphs>
  <TotalTime>116</TotalTime>
  <ScaleCrop>false</ScaleCrop>
  <LinksUpToDate>false</LinksUpToDate>
  <CharactersWithSpaces>1911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2024-04-07T03:49:00Z</dcterms:created>
  <dc:creator>王春平</dc:creator>
  <cp:lastModifiedBy>Administrator</cp:lastModifiedBy>
  <cp:lastPrinted>2024-04-10T02:26:00Z</cp:lastPrinted>
  <dcterms:modified xsi:type="dcterms:W3CDTF">2024-04-10T07:26:04Z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249D9DCB29CF4DCBAB48D0DA9BAE568F</vt:lpwstr>
  </property>
</Properties>
</file>