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rFonts w:ascii="Times New Roman" w:eastAsia="方正小标宋_GBK"/>
          <w:b w:val="0"/>
          <w:sz w:val="36"/>
          <w:szCs w:val="36"/>
        </w:rPr>
      </w:pPr>
      <w:r>
        <w:rPr>
          <w:rFonts w:ascii="Times New Roman" w:eastAsia="方正小标宋_GBK"/>
          <w:b w:val="0"/>
          <w:sz w:val="36"/>
          <w:szCs w:val="36"/>
        </w:rPr>
        <w:t>江川区中心城区、江城镇、九溪镇、前卫镇、雄关乡集镇规划区土地定级与基准地价更新测算成果的说明</w:t>
      </w:r>
    </w:p>
    <w:p>
      <w:pPr>
        <w:pStyle w:val="3"/>
        <w:rPr>
          <w:rFonts w:ascii="Times New Roman" w:hAnsi="Times New Roman" w:eastAsia="方正仿宋_GBK"/>
          <w:b w:val="0"/>
          <w:bCs w:val="0"/>
          <w:sz w:val="30"/>
          <w:szCs w:val="30"/>
        </w:rPr>
      </w:pPr>
      <w:bookmarkStart w:id="0" w:name="_Toc50624953"/>
      <w:r>
        <w:rPr>
          <w:rFonts w:ascii="Times New Roman" w:hAnsi="Times New Roman" w:eastAsia="方正仿宋_GBK"/>
          <w:b w:val="0"/>
          <w:bCs w:val="0"/>
          <w:sz w:val="30"/>
          <w:szCs w:val="30"/>
        </w:rPr>
        <w:t>1</w:t>
      </w:r>
      <w:r>
        <w:rPr>
          <w:rFonts w:ascii="Times New Roman" w:hAnsi="Times New Roman" w:eastAsia="方正仿宋_GBK"/>
          <w:b w:val="0"/>
          <w:bCs w:val="0"/>
          <w:sz w:val="30"/>
          <w:szCs w:val="30"/>
          <w:lang w:eastAsia="zh-CN"/>
        </w:rPr>
        <w:t>.</w:t>
      </w:r>
      <w:r>
        <w:rPr>
          <w:rFonts w:ascii="Times New Roman" w:hAnsi="Times New Roman" w:eastAsia="方正仿宋_GBK"/>
          <w:b w:val="0"/>
          <w:bCs w:val="0"/>
          <w:sz w:val="30"/>
          <w:szCs w:val="30"/>
        </w:rPr>
        <w:t>项目组织和开展情况</w:t>
      </w:r>
      <w:bookmarkEnd w:id="0"/>
    </w:p>
    <w:p>
      <w:pPr>
        <w:spacing w:line="360" w:lineRule="auto"/>
        <w:ind w:firstLine="510"/>
        <w:jc w:val="both"/>
        <w:rPr>
          <w:rFonts w:ascii="Times New Roman" w:eastAsia="方正仿宋_GBK"/>
          <w:spacing w:val="5"/>
          <w:sz w:val="24"/>
        </w:rPr>
      </w:pPr>
      <w:r>
        <w:rPr>
          <w:rFonts w:ascii="Times New Roman" w:eastAsia="方正仿宋_GBK"/>
          <w:spacing w:val="5"/>
          <w:sz w:val="24"/>
        </w:rPr>
        <w:t>根据自然资源部、省厅的要求，在江川区委、区政府的直接领导和有关部门的大力支持配合下，江川区自然资源局与云南优化房地产土地资产评估咨询有限公司于2020年8月开展了江川区</w:t>
      </w:r>
      <w:bookmarkStart w:id="10" w:name="_GoBack"/>
      <w:bookmarkEnd w:id="10"/>
      <w:r>
        <w:rPr>
          <w:rFonts w:ascii="Times New Roman" w:eastAsia="方正仿宋_GBK"/>
          <w:spacing w:val="5"/>
          <w:sz w:val="24"/>
        </w:rPr>
        <w:t>中心城区、</w:t>
      </w:r>
      <w:r>
        <w:rPr>
          <w:rFonts w:ascii="Times New Roman" w:eastAsia="方正仿宋_GBK"/>
          <w:bCs/>
          <w:spacing w:val="16"/>
          <w:kern w:val="2"/>
          <w:sz w:val="24"/>
          <w:szCs w:val="24"/>
        </w:rPr>
        <w:t>江城镇、九溪镇、前卫镇、雄关乡</w:t>
      </w:r>
      <w:r>
        <w:rPr>
          <w:rFonts w:ascii="Times New Roman" w:eastAsia="方正仿宋_GBK"/>
          <w:spacing w:val="5"/>
          <w:sz w:val="24"/>
        </w:rPr>
        <w:t>集镇规划区土地定级与基准地价更新测算工作。</w:t>
      </w:r>
    </w:p>
    <w:p>
      <w:pPr>
        <w:spacing w:line="360" w:lineRule="auto"/>
        <w:ind w:firstLine="500" w:firstLineChars="200"/>
        <w:jc w:val="both"/>
        <w:rPr>
          <w:rFonts w:ascii="Times New Roman" w:eastAsia="方正仿宋_GBK"/>
          <w:spacing w:val="5"/>
          <w:sz w:val="24"/>
        </w:rPr>
      </w:pPr>
      <w:r>
        <w:rPr>
          <w:rFonts w:ascii="Times New Roman" w:eastAsia="方正仿宋_GBK"/>
          <w:spacing w:val="5"/>
          <w:sz w:val="24"/>
        </w:rPr>
        <w:t>受江川区自然资源局委托,我公司于2020年8月开始，经过组织、技术准备、技术方案确定、资料收集、整理、测算、图件编制、报告撰写等工作，江川区中心城区、</w:t>
      </w:r>
      <w:r>
        <w:rPr>
          <w:rFonts w:ascii="Times New Roman" w:eastAsia="方正仿宋_GBK"/>
          <w:bCs/>
          <w:spacing w:val="16"/>
          <w:kern w:val="2"/>
          <w:sz w:val="24"/>
          <w:szCs w:val="24"/>
        </w:rPr>
        <w:t>江城镇、九溪镇、前卫镇、雄关乡</w:t>
      </w:r>
      <w:r>
        <w:rPr>
          <w:rFonts w:ascii="Times New Roman" w:eastAsia="方正仿宋_GBK"/>
          <w:spacing w:val="5"/>
          <w:sz w:val="24"/>
        </w:rPr>
        <w:t>集镇规划区土地定级与基地价更新测算初步成果于2020年9月提交贵局，敬请贵局及时给予反馈意见，以便我公司及时进行修改及提交最终成果。</w:t>
      </w:r>
    </w:p>
    <w:p>
      <w:pPr>
        <w:pStyle w:val="3"/>
        <w:rPr>
          <w:rFonts w:ascii="Times New Roman" w:hAnsi="Times New Roman" w:eastAsia="方正仿宋_GBK"/>
          <w:sz w:val="30"/>
          <w:szCs w:val="30"/>
        </w:rPr>
      </w:pPr>
      <w:bookmarkStart w:id="1" w:name="_Toc50624954"/>
      <w:r>
        <w:rPr>
          <w:rFonts w:ascii="Times New Roman" w:hAnsi="Times New Roman" w:eastAsia="方正仿宋_GBK"/>
          <w:b w:val="0"/>
          <w:bCs w:val="0"/>
          <w:sz w:val="30"/>
          <w:szCs w:val="30"/>
        </w:rPr>
        <w:t>2</w:t>
      </w:r>
      <w:r>
        <w:rPr>
          <w:rFonts w:ascii="Times New Roman" w:hAnsi="Times New Roman" w:eastAsia="方正仿宋_GBK"/>
          <w:b w:val="0"/>
          <w:bCs w:val="0"/>
          <w:sz w:val="30"/>
          <w:szCs w:val="30"/>
          <w:lang w:eastAsia="zh-CN"/>
        </w:rPr>
        <w:t>.</w:t>
      </w:r>
      <w:r>
        <w:rPr>
          <w:rFonts w:ascii="Times New Roman" w:hAnsi="Times New Roman" w:eastAsia="方正仿宋_GBK"/>
          <w:b w:val="0"/>
          <w:bCs w:val="0"/>
          <w:sz w:val="30"/>
          <w:szCs w:val="30"/>
        </w:rPr>
        <w:t>基准地价更新的技术路线</w:t>
      </w:r>
      <w:bookmarkEnd w:id="1"/>
    </w:p>
    <w:p>
      <w:pPr>
        <w:pStyle w:val="4"/>
        <w:rPr>
          <w:rFonts w:ascii="Times New Roman" w:eastAsia="方正仿宋_GBK"/>
          <w:spacing w:val="5"/>
          <w:sz w:val="24"/>
        </w:rPr>
      </w:pPr>
      <w:bookmarkStart w:id="2" w:name="_Toc50624955"/>
      <w:r>
        <w:rPr>
          <w:rFonts w:ascii="Times New Roman" w:eastAsia="方正仿宋_GBK"/>
          <w:b w:val="0"/>
          <w:sz w:val="24"/>
          <w:szCs w:val="24"/>
        </w:rPr>
        <w:t>(1)土地定级技术路线</w:t>
      </w:r>
      <w:bookmarkEnd w:id="2"/>
    </w:p>
    <w:p>
      <w:pPr>
        <w:spacing w:line="360" w:lineRule="auto"/>
        <w:ind w:firstLine="455" w:firstLineChars="182"/>
        <w:rPr>
          <w:rFonts w:ascii="Times New Roman" w:eastAsia="方正仿宋_GBK"/>
          <w:spacing w:val="5"/>
          <w:sz w:val="24"/>
        </w:rPr>
      </w:pPr>
      <w:r>
        <w:rPr>
          <w:rFonts w:ascii="Times New Roman" w:eastAsia="方正仿宋_GBK"/>
          <w:spacing w:val="5"/>
          <w:sz w:val="24"/>
        </w:rPr>
        <w:t>根据《城镇土地分等定级规程》的要求，我们确定在本次土地级别评定工作中，采用“因素分值和级差收益测算（市场价格定级方法）”的技术路线，其中定级单元划分、分值计算、土地级初步划分采用“坐标网点综合分值法”，运用地理信息系统技术在微机中完成；土地级差收益测算用线性模型或非线性模型在微机中完成。</w:t>
      </w:r>
    </w:p>
    <w:p>
      <w:pPr>
        <w:pStyle w:val="4"/>
        <w:spacing w:line="240" w:lineRule="exact"/>
        <w:rPr>
          <w:rFonts w:ascii="Times New Roman" w:eastAsia="方正仿宋_GBK"/>
          <w:b w:val="0"/>
          <w:sz w:val="24"/>
          <w:szCs w:val="24"/>
        </w:rPr>
      </w:pPr>
      <w:bookmarkStart w:id="3" w:name="_Toc50624956"/>
      <w:r>
        <w:rPr>
          <w:rFonts w:ascii="Times New Roman" w:eastAsia="方正仿宋_GBK"/>
          <w:b w:val="0"/>
          <w:sz w:val="24"/>
          <w:szCs w:val="24"/>
        </w:rPr>
        <w:t>(2)土地估价技术路线</w:t>
      </w:r>
      <w:bookmarkEnd w:id="3"/>
    </w:p>
    <w:p>
      <w:pPr>
        <w:spacing w:line="360" w:lineRule="auto"/>
        <w:ind w:firstLine="455" w:firstLineChars="182"/>
        <w:rPr>
          <w:rFonts w:ascii="Times New Roman" w:eastAsia="方正仿宋_GBK"/>
          <w:spacing w:val="5"/>
          <w:sz w:val="24"/>
        </w:rPr>
      </w:pPr>
      <w:r>
        <w:rPr>
          <w:rFonts w:ascii="Times New Roman" w:eastAsia="方正仿宋_GBK"/>
          <w:spacing w:val="5"/>
          <w:sz w:val="24"/>
        </w:rPr>
        <w:t>根据《城镇土地估价规程》要求，基准地价的评估和更新可采用三种技术途径：</w:t>
      </w:r>
    </w:p>
    <w:p>
      <w:pPr>
        <w:spacing w:line="360" w:lineRule="auto"/>
        <w:rPr>
          <w:rFonts w:ascii="Times New Roman" w:eastAsia="方正仿宋_GBK"/>
          <w:spacing w:val="5"/>
          <w:sz w:val="24"/>
        </w:rPr>
      </w:pPr>
      <w:r>
        <w:rPr>
          <w:rFonts w:ascii="Times New Roman" w:eastAsia="方正仿宋_GBK"/>
          <w:spacing w:val="5"/>
          <w:sz w:val="24"/>
        </w:rPr>
        <w:t>1、以土地定级为基础，土地收益为依据，市场交易资料为参考测算；</w:t>
      </w:r>
    </w:p>
    <w:p>
      <w:pPr>
        <w:spacing w:line="360" w:lineRule="auto"/>
        <w:rPr>
          <w:rFonts w:ascii="Times New Roman" w:eastAsia="方正仿宋_GBK"/>
          <w:spacing w:val="5"/>
          <w:sz w:val="24"/>
        </w:rPr>
      </w:pPr>
      <w:r>
        <w:rPr>
          <w:rFonts w:ascii="Times New Roman" w:eastAsia="方正仿宋_GBK"/>
          <w:spacing w:val="5"/>
          <w:sz w:val="24"/>
        </w:rPr>
        <w:t>2、以土地条件划分均质地域（或以土地定级为基础），以市场交易地价资料为依据测算。</w:t>
      </w:r>
    </w:p>
    <w:p>
      <w:pPr>
        <w:spacing w:line="360" w:lineRule="auto"/>
        <w:rPr>
          <w:rFonts w:ascii="Times New Roman" w:eastAsia="方正仿宋_GBK"/>
          <w:spacing w:val="5"/>
          <w:sz w:val="24"/>
        </w:rPr>
      </w:pPr>
      <w:r>
        <w:rPr>
          <w:rFonts w:ascii="Times New Roman" w:eastAsia="方正仿宋_GBK"/>
          <w:spacing w:val="5"/>
          <w:sz w:val="24"/>
        </w:rPr>
        <w:t>3、以土地定级或均质地域为基础，利用标准宗地价格（标定地价）或地价指数更新基准地价。</w:t>
      </w:r>
    </w:p>
    <w:p>
      <w:pPr>
        <w:spacing w:line="360" w:lineRule="auto"/>
        <w:ind w:firstLine="455" w:firstLineChars="182"/>
        <w:rPr>
          <w:rFonts w:ascii="Times New Roman" w:eastAsia="方正仿宋_GBK"/>
          <w:spacing w:val="5"/>
          <w:sz w:val="24"/>
        </w:rPr>
      </w:pPr>
      <w:r>
        <w:rPr>
          <w:rFonts w:ascii="Times New Roman" w:eastAsia="方正仿宋_GBK"/>
          <w:spacing w:val="5"/>
          <w:sz w:val="24"/>
        </w:rPr>
        <w:t>在土地定级的基础上，利用土地收益资料测算土地级基准地价；又利用不同类型的市场交易资料，测算各用地类型的基准地价。</w:t>
      </w:r>
    </w:p>
    <w:p>
      <w:pPr>
        <w:spacing w:line="360" w:lineRule="auto"/>
        <w:ind w:firstLine="455" w:firstLineChars="182"/>
        <w:rPr>
          <w:rFonts w:ascii="Times New Roman" w:eastAsia="方正仿宋_GBK"/>
          <w:spacing w:val="5"/>
          <w:sz w:val="24"/>
        </w:rPr>
      </w:pPr>
      <w:r>
        <w:rPr>
          <w:rFonts w:ascii="Times New Roman" w:eastAsia="方正仿宋_GBK"/>
          <w:spacing w:val="5"/>
          <w:sz w:val="24"/>
        </w:rPr>
        <w:t>在具体测算过程中尽量做到运算的规范化，并采用微机技术，应用自行编制的“CPR城镇土地定级估价信息系统”软件运算，为今后进一步运用提供条件。</w:t>
      </w:r>
    </w:p>
    <w:p>
      <w:pPr>
        <w:spacing w:line="360" w:lineRule="auto"/>
        <w:ind w:firstLine="455" w:firstLineChars="182"/>
        <w:jc w:val="center"/>
        <w:rPr>
          <w:rFonts w:ascii="Times New Roman" w:eastAsia="方正仿宋_GBK"/>
          <w:b/>
          <w:spacing w:val="5"/>
          <w:sz w:val="24"/>
        </w:rPr>
      </w:pPr>
      <w:r>
        <w:rPr>
          <w:rFonts w:ascii="Times New Roman" w:eastAsia="方正仿宋_GBK"/>
          <w:b/>
          <w:spacing w:val="5"/>
          <w:sz w:val="24"/>
        </w:rPr>
        <w:br w:type="page"/>
      </w:r>
      <w:r>
        <w:rPr>
          <w:rFonts w:ascii="Times New Roman" w:eastAsia="方正仿宋_GBK"/>
          <w:b/>
          <w:spacing w:val="5"/>
          <w:sz w:val="24"/>
        </w:rPr>
        <w:t>江川区中心城区基准地价更新工作程序框图</w:t>
      </w:r>
    </w:p>
    <w:p>
      <w:pPr>
        <w:spacing w:line="360" w:lineRule="auto"/>
        <w:ind w:firstLine="455" w:firstLineChars="182"/>
        <w:jc w:val="center"/>
        <w:rPr>
          <w:rFonts w:ascii="Times New Roman" w:eastAsia="方正仿宋_GBK"/>
          <w:b/>
          <w:spacing w:val="5"/>
          <w:sz w:val="24"/>
        </w:rPr>
      </w:pPr>
    </w:p>
    <w:tbl>
      <w:tblPr>
        <w:tblStyle w:val="17"/>
        <w:tblW w:w="6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
        <w:gridCol w:w="782"/>
        <w:gridCol w:w="1159"/>
        <w:gridCol w:w="99"/>
        <w:gridCol w:w="129"/>
        <w:gridCol w:w="41"/>
        <w:gridCol w:w="152"/>
        <w:gridCol w:w="43"/>
        <w:gridCol w:w="835"/>
        <w:gridCol w:w="280"/>
        <w:gridCol w:w="193"/>
        <w:gridCol w:w="193"/>
        <w:gridCol w:w="43"/>
        <w:gridCol w:w="343"/>
        <w:gridCol w:w="426"/>
        <w:gridCol w:w="369"/>
        <w:gridCol w:w="226"/>
        <w:gridCol w:w="10"/>
        <w:gridCol w:w="693"/>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7"/>
          <w:wAfter w:w="4474" w:type="dxa"/>
          <w:cantSplit/>
          <w:trHeight w:val="320" w:hRule="atLeast"/>
          <w:jc w:val="center"/>
        </w:trPr>
        <w:tc>
          <w:tcPr>
            <w:tcW w:w="2219" w:type="dxa"/>
            <w:gridSpan w:val="3"/>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划定工作范围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8"/>
          <w:wAfter w:w="5633" w:type="dxa"/>
          <w:cantSplit/>
          <w:trHeight w:val="320"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5"/>
          <w:wAfter w:w="4246" w:type="dxa"/>
          <w:cantSplit/>
          <w:trHeight w:val="320" w:hRule="atLeast"/>
          <w:jc w:val="center"/>
        </w:trPr>
        <w:tc>
          <w:tcPr>
            <w:tcW w:w="2447" w:type="dxa"/>
            <w:gridSpan w:val="5"/>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搜集基础资料、图件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8"/>
          <w:wAfter w:w="5633" w:type="dxa"/>
          <w:cantSplit/>
          <w:trHeight w:val="320"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6"/>
          <w:wAfter w:w="4375" w:type="dxa"/>
          <w:cantSplit/>
          <w:trHeight w:val="320" w:hRule="atLeast"/>
          <w:jc w:val="center"/>
        </w:trPr>
        <w:tc>
          <w:tcPr>
            <w:tcW w:w="2318" w:type="dxa"/>
            <w:gridSpan w:val="4"/>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编制工作底图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8"/>
          <w:wAfter w:w="5633" w:type="dxa"/>
          <w:cantSplit/>
          <w:trHeight w:val="320"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4"/>
          <w:wAfter w:w="4205" w:type="dxa"/>
          <w:cantSplit/>
          <w:trHeight w:val="320" w:hRule="atLeast"/>
          <w:jc w:val="center"/>
        </w:trPr>
        <w:tc>
          <w:tcPr>
            <w:tcW w:w="2488" w:type="dxa"/>
            <w:gridSpan w:val="6"/>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划分网格（定级单元）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8"/>
          <w:wAfter w:w="5633" w:type="dxa"/>
          <w:cantSplit/>
          <w:trHeight w:val="320"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5"/>
          <w:wAfter w:w="4246" w:type="dxa"/>
          <w:cantSplit/>
          <w:trHeight w:val="320" w:hRule="atLeast"/>
          <w:jc w:val="center"/>
        </w:trPr>
        <w:tc>
          <w:tcPr>
            <w:tcW w:w="2447" w:type="dxa"/>
            <w:gridSpan w:val="5"/>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选择定级因素、因子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8"/>
          <w:wAfter w:w="5633" w:type="dxa"/>
          <w:cantSplit/>
          <w:trHeight w:val="320"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447" w:type="dxa"/>
            <w:gridSpan w:val="5"/>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因素、因子量化</w:t>
            </w:r>
          </w:p>
        </w:tc>
        <w:tc>
          <w:tcPr>
            <w:tcW w:w="2123" w:type="dxa"/>
            <w:gridSpan w:val="9"/>
            <w:vMerge w:val="restart"/>
            <w:tcBorders>
              <w:top w:val="nil"/>
              <w:right w:val="nil"/>
            </w:tcBorders>
          </w:tcPr>
          <w:p>
            <w:pPr>
              <w:autoSpaceDE/>
              <w:autoSpaceDN/>
              <w:adjustRightInd/>
              <w:ind w:left="-108"/>
              <w:jc w:val="center"/>
              <w:rPr>
                <w:rFonts w:ascii="Times New Roman" w:eastAsia="方正仿宋_GBK"/>
                <w:kern w:val="2"/>
                <w:sz w:val="21"/>
                <w:szCs w:val="21"/>
              </w:rPr>
            </w:pPr>
          </w:p>
        </w:tc>
        <w:tc>
          <w:tcPr>
            <w:tcW w:w="2123" w:type="dxa"/>
            <w:gridSpan w:val="6"/>
            <w:tcBorders>
              <w:left w:val="single" w:color="auto" w:sz="4" w:space="0"/>
            </w:tcBorders>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分类调查地价地租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c>
          <w:tcPr>
            <w:tcW w:w="1387" w:type="dxa"/>
            <w:gridSpan w:val="3"/>
            <w:tcBorders>
              <w:right w:val="nil"/>
            </w:tcBorders>
          </w:tcPr>
          <w:p>
            <w:pPr>
              <w:autoSpaceDE/>
              <w:autoSpaceDN/>
              <w:adjustRightInd/>
              <w:ind w:left="-108"/>
              <w:jc w:val="center"/>
              <w:rPr>
                <w:rFonts w:ascii="Times New Roman" w:eastAsia="方正仿宋_GBK"/>
                <w:kern w:val="2"/>
                <w:sz w:val="21"/>
                <w:szCs w:val="21"/>
              </w:rPr>
            </w:pPr>
          </w:p>
        </w:tc>
        <w:tc>
          <w:tcPr>
            <w:tcW w:w="2123" w:type="dxa"/>
            <w:gridSpan w:val="9"/>
            <w:vMerge w:val="continue"/>
            <w:tcBorders>
              <w:top w:val="nil"/>
              <w:left w:val="nil"/>
              <w:right w:val="nil"/>
            </w:tcBorders>
          </w:tcPr>
          <w:p>
            <w:pPr>
              <w:autoSpaceDE/>
              <w:autoSpaceDN/>
              <w:adjustRightInd/>
              <w:ind w:left="-108"/>
              <w:jc w:val="center"/>
              <w:rPr>
                <w:rFonts w:ascii="Times New Roman" w:eastAsia="方正仿宋_GBK"/>
                <w:kern w:val="2"/>
                <w:sz w:val="21"/>
                <w:szCs w:val="21"/>
              </w:rPr>
            </w:pPr>
          </w:p>
        </w:tc>
        <w:tc>
          <w:tcPr>
            <w:tcW w:w="1021" w:type="dxa"/>
            <w:gridSpan w:val="3"/>
            <w:tcBorders>
              <w:left w:val="nil"/>
            </w:tcBorders>
          </w:tcPr>
          <w:p>
            <w:pPr>
              <w:autoSpaceDE/>
              <w:autoSpaceDN/>
              <w:adjustRightInd/>
              <w:ind w:left="-108"/>
              <w:jc w:val="center"/>
              <w:rPr>
                <w:rFonts w:ascii="Times New Roman" w:eastAsia="方正仿宋_GBK"/>
                <w:kern w:val="2"/>
                <w:sz w:val="21"/>
                <w:szCs w:val="21"/>
              </w:rPr>
            </w:pPr>
          </w:p>
        </w:tc>
        <w:tc>
          <w:tcPr>
            <w:tcW w:w="1102" w:type="dxa"/>
            <w:gridSpan w:val="3"/>
            <w:tcBorders>
              <w:righ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7" w:type="dxa"/>
            <w:gridSpan w:val="5"/>
            <w:vMerge w:val="restart"/>
            <w:vAlign w:val="center"/>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计算单元因素分值</w:t>
            </w:r>
          </w:p>
        </w:tc>
        <w:tc>
          <w:tcPr>
            <w:tcW w:w="2123" w:type="dxa"/>
            <w:gridSpan w:val="9"/>
            <w:vMerge w:val="continue"/>
            <w:tcBorders>
              <w:bottom w:val="nil"/>
              <w:right w:val="nil"/>
            </w:tcBorders>
          </w:tcPr>
          <w:p>
            <w:pPr>
              <w:autoSpaceDE/>
              <w:autoSpaceDN/>
              <w:adjustRightInd/>
              <w:ind w:left="-108"/>
              <w:jc w:val="center"/>
              <w:rPr>
                <w:rFonts w:ascii="Times New Roman" w:eastAsia="方正仿宋_GBK"/>
                <w:kern w:val="2"/>
                <w:sz w:val="21"/>
                <w:szCs w:val="21"/>
              </w:rPr>
            </w:pPr>
          </w:p>
        </w:tc>
        <w:tc>
          <w:tcPr>
            <w:tcW w:w="2123" w:type="dxa"/>
            <w:gridSpan w:val="6"/>
            <w:vMerge w:val="restart"/>
            <w:tcBorders>
              <w:left w:val="single" w:color="auto" w:sz="4" w:space="0"/>
            </w:tcBorders>
            <w:vAlign w:val="center"/>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确定调查样点分布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7" w:type="dxa"/>
            <w:gridSpan w:val="5"/>
            <w:vMerge w:val="continue"/>
          </w:tcPr>
          <w:p>
            <w:pPr>
              <w:autoSpaceDE/>
              <w:autoSpaceDN/>
              <w:adjustRightInd/>
              <w:ind w:left="-108"/>
              <w:jc w:val="center"/>
              <w:rPr>
                <w:rFonts w:ascii="Times New Roman" w:eastAsia="方正仿宋_GBK"/>
                <w:kern w:val="2"/>
                <w:sz w:val="21"/>
                <w:szCs w:val="21"/>
              </w:rPr>
            </w:pPr>
          </w:p>
        </w:tc>
        <w:tc>
          <w:tcPr>
            <w:tcW w:w="1071" w:type="dxa"/>
            <w:gridSpan w:val="4"/>
            <w:vMerge w:val="restart"/>
            <w:tcBorders>
              <w:top w:val="nil"/>
              <w:right w:val="nil"/>
            </w:tcBorders>
          </w:tcPr>
          <w:p>
            <w:pPr>
              <w:autoSpaceDE/>
              <w:autoSpaceDN/>
              <w:adjustRightInd/>
              <w:ind w:left="-108"/>
              <w:jc w:val="center"/>
              <w:rPr>
                <w:rFonts w:ascii="Times New Roman" w:eastAsia="方正仿宋_GBK"/>
                <w:kern w:val="2"/>
                <w:sz w:val="21"/>
                <w:szCs w:val="21"/>
              </w:rPr>
            </w:pPr>
          </w:p>
        </w:tc>
        <w:tc>
          <w:tcPr>
            <w:tcW w:w="1052" w:type="dxa"/>
            <w:gridSpan w:val="5"/>
            <w:vMerge w:val="restart"/>
            <w:tcBorders>
              <w:right w:val="nil"/>
            </w:tcBorders>
          </w:tcPr>
          <w:p>
            <w:pPr>
              <w:autoSpaceDE/>
              <w:autoSpaceDN/>
              <w:adjustRightInd/>
              <w:ind w:left="-108"/>
              <w:jc w:val="center"/>
              <w:rPr>
                <w:rFonts w:ascii="Times New Roman" w:eastAsia="方正仿宋_GBK"/>
                <w:kern w:val="2"/>
                <w:sz w:val="21"/>
                <w:szCs w:val="21"/>
              </w:rPr>
            </w:pPr>
          </w:p>
        </w:tc>
        <w:tc>
          <w:tcPr>
            <w:tcW w:w="2123" w:type="dxa"/>
            <w:gridSpan w:val="6"/>
            <w:vMerge w:val="continue"/>
            <w:tcBorders>
              <w:left w:val="single" w:color="auto" w:sz="4" w:space="0"/>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c>
          <w:tcPr>
            <w:tcW w:w="1387" w:type="dxa"/>
            <w:gridSpan w:val="3"/>
            <w:tcBorders>
              <w:right w:val="nil"/>
            </w:tcBorders>
          </w:tcPr>
          <w:p>
            <w:pPr>
              <w:autoSpaceDE/>
              <w:autoSpaceDN/>
              <w:adjustRightInd/>
              <w:ind w:left="-108"/>
              <w:jc w:val="center"/>
              <w:rPr>
                <w:rFonts w:ascii="Times New Roman" w:eastAsia="方正仿宋_GBK"/>
                <w:kern w:val="2"/>
                <w:sz w:val="21"/>
                <w:szCs w:val="21"/>
              </w:rPr>
            </w:pPr>
          </w:p>
        </w:tc>
        <w:tc>
          <w:tcPr>
            <w:tcW w:w="1071" w:type="dxa"/>
            <w:gridSpan w:val="4"/>
            <w:vMerge w:val="continue"/>
            <w:tcBorders>
              <w:top w:val="nil"/>
              <w:left w:val="nil"/>
              <w:bottom w:val="nil"/>
              <w:right w:val="single" w:color="auto" w:sz="4" w:space="0"/>
            </w:tcBorders>
          </w:tcPr>
          <w:p>
            <w:pPr>
              <w:autoSpaceDE/>
              <w:autoSpaceDN/>
              <w:adjustRightInd/>
              <w:ind w:left="-108"/>
              <w:jc w:val="center"/>
              <w:rPr>
                <w:rFonts w:ascii="Times New Roman" w:eastAsia="方正仿宋_GBK"/>
                <w:kern w:val="2"/>
                <w:sz w:val="21"/>
                <w:szCs w:val="21"/>
              </w:rPr>
            </w:pPr>
          </w:p>
        </w:tc>
        <w:tc>
          <w:tcPr>
            <w:tcW w:w="1052" w:type="dxa"/>
            <w:gridSpan w:val="5"/>
            <w:vMerge w:val="continue"/>
            <w:tcBorders>
              <w:left w:val="single" w:color="auto" w:sz="4" w:space="0"/>
              <w:bottom w:val="nil"/>
              <w:right w:val="nil"/>
            </w:tcBorders>
          </w:tcPr>
          <w:p>
            <w:pPr>
              <w:autoSpaceDE/>
              <w:autoSpaceDN/>
              <w:adjustRightInd/>
              <w:ind w:left="-108"/>
              <w:jc w:val="center"/>
              <w:rPr>
                <w:rFonts w:ascii="Times New Roman" w:eastAsia="方正仿宋_GBK"/>
                <w:kern w:val="2"/>
                <w:sz w:val="21"/>
                <w:szCs w:val="21"/>
              </w:rPr>
            </w:pPr>
          </w:p>
        </w:tc>
        <w:tc>
          <w:tcPr>
            <w:tcW w:w="426" w:type="dxa"/>
            <w:tcBorders>
              <w:left w:val="nil"/>
            </w:tcBorders>
          </w:tcPr>
          <w:p>
            <w:pPr>
              <w:autoSpaceDE/>
              <w:autoSpaceDN/>
              <w:adjustRightInd/>
              <w:ind w:left="-108"/>
              <w:jc w:val="center"/>
              <w:rPr>
                <w:rFonts w:ascii="Times New Roman" w:eastAsia="方正仿宋_GBK"/>
                <w:kern w:val="2"/>
                <w:sz w:val="21"/>
                <w:szCs w:val="21"/>
              </w:rPr>
            </w:pPr>
          </w:p>
        </w:tc>
        <w:tc>
          <w:tcPr>
            <w:tcW w:w="1298" w:type="dxa"/>
            <w:gridSpan w:val="4"/>
            <w:tcBorders>
              <w:left w:val="nil"/>
              <w:bottom w:val="nil"/>
            </w:tcBorders>
          </w:tcPr>
          <w:p>
            <w:pPr>
              <w:autoSpaceDE/>
              <w:autoSpaceDN/>
              <w:adjustRightInd/>
              <w:ind w:left="-108"/>
              <w:jc w:val="center"/>
              <w:rPr>
                <w:rFonts w:ascii="Times New Roman" w:eastAsia="方正仿宋_GBK"/>
                <w:kern w:val="2"/>
                <w:sz w:val="21"/>
                <w:szCs w:val="21"/>
              </w:rPr>
            </w:pPr>
          </w:p>
        </w:tc>
        <w:tc>
          <w:tcPr>
            <w:tcW w:w="399" w:type="dxa"/>
            <w:tcBorders>
              <w:righ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2447" w:type="dxa"/>
            <w:gridSpan w:val="5"/>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单元分值汇总</w:t>
            </w:r>
          </w:p>
        </w:tc>
        <w:tc>
          <w:tcPr>
            <w:tcW w:w="236" w:type="dxa"/>
            <w:gridSpan w:val="3"/>
            <w:tcBorders>
              <w:top w:val="nil"/>
              <w:bottom w:val="nil"/>
              <w:right w:val="nil"/>
            </w:tcBorders>
          </w:tcPr>
          <w:p>
            <w:pPr>
              <w:autoSpaceDE/>
              <w:autoSpaceDN/>
              <w:adjustRightInd/>
              <w:ind w:left="-108"/>
              <w:jc w:val="center"/>
              <w:rPr>
                <w:rFonts w:ascii="Times New Roman" w:eastAsia="方正仿宋_GBK"/>
                <w:kern w:val="2"/>
                <w:sz w:val="21"/>
                <w:szCs w:val="21"/>
              </w:rPr>
            </w:pPr>
          </w:p>
        </w:tc>
        <w:tc>
          <w:tcPr>
            <w:tcW w:w="1308" w:type="dxa"/>
            <w:gridSpan w:val="3"/>
            <w:tcBorders>
              <w:bottom w:val="single" w:color="auto" w:sz="4" w:space="0"/>
              <w:right w:val="nil"/>
            </w:tcBorders>
            <w:vAlign w:val="center"/>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实地调查</w:t>
            </w:r>
          </w:p>
        </w:tc>
        <w:tc>
          <w:tcPr>
            <w:tcW w:w="236" w:type="dxa"/>
            <w:gridSpan w:val="2"/>
            <w:tcBorders>
              <w:top w:val="nil"/>
              <w:bottom w:val="nil"/>
              <w:right w:val="nil"/>
            </w:tcBorders>
            <w:vAlign w:val="center"/>
          </w:tcPr>
          <w:p>
            <w:pPr>
              <w:autoSpaceDE/>
              <w:autoSpaceDN/>
              <w:adjustRightInd/>
              <w:ind w:left="-108"/>
              <w:jc w:val="center"/>
              <w:rPr>
                <w:rFonts w:ascii="Times New Roman" w:eastAsia="方正仿宋_GBK"/>
                <w:kern w:val="2"/>
                <w:sz w:val="21"/>
                <w:szCs w:val="21"/>
              </w:rPr>
            </w:pPr>
          </w:p>
        </w:tc>
        <w:tc>
          <w:tcPr>
            <w:tcW w:w="1138" w:type="dxa"/>
            <w:gridSpan w:val="3"/>
            <w:tcBorders>
              <w:top w:val="single" w:color="auto" w:sz="4" w:space="0"/>
              <w:bottom w:val="single" w:color="auto" w:sz="4" w:space="0"/>
            </w:tcBorders>
            <w:vAlign w:val="center"/>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交易调查</w:t>
            </w:r>
          </w:p>
        </w:tc>
        <w:tc>
          <w:tcPr>
            <w:tcW w:w="236" w:type="dxa"/>
            <w:gridSpan w:val="2"/>
            <w:tcBorders>
              <w:top w:val="nil"/>
              <w:left w:val="single" w:color="auto" w:sz="4" w:space="0"/>
              <w:bottom w:val="nil"/>
            </w:tcBorders>
            <w:vAlign w:val="center"/>
          </w:tcPr>
          <w:p>
            <w:pPr>
              <w:autoSpaceDE/>
              <w:autoSpaceDN/>
              <w:adjustRightInd/>
              <w:ind w:left="-108"/>
              <w:jc w:val="center"/>
              <w:rPr>
                <w:rFonts w:ascii="Times New Roman" w:eastAsia="方正仿宋_GBK"/>
                <w:kern w:val="2"/>
                <w:sz w:val="21"/>
                <w:szCs w:val="21"/>
              </w:rPr>
            </w:pPr>
          </w:p>
        </w:tc>
        <w:tc>
          <w:tcPr>
            <w:tcW w:w="1092" w:type="dxa"/>
            <w:gridSpan w:val="2"/>
            <w:tcBorders>
              <w:left w:val="single" w:color="auto" w:sz="4" w:space="0"/>
            </w:tcBorders>
            <w:vAlign w:val="center"/>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统计调查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c>
          <w:tcPr>
            <w:tcW w:w="1387" w:type="dxa"/>
            <w:gridSpan w:val="3"/>
            <w:tcBorders>
              <w:right w:val="nil"/>
            </w:tcBorders>
          </w:tcPr>
          <w:p>
            <w:pPr>
              <w:autoSpaceDE/>
              <w:autoSpaceDN/>
              <w:adjustRightInd/>
              <w:ind w:left="-108"/>
              <w:jc w:val="center"/>
              <w:rPr>
                <w:rFonts w:ascii="Times New Roman" w:eastAsia="方正仿宋_GBK"/>
                <w:kern w:val="2"/>
                <w:sz w:val="21"/>
                <w:szCs w:val="21"/>
              </w:rPr>
            </w:pPr>
          </w:p>
        </w:tc>
        <w:tc>
          <w:tcPr>
            <w:tcW w:w="1071" w:type="dxa"/>
            <w:gridSpan w:val="4"/>
            <w:vMerge w:val="restart"/>
            <w:tcBorders>
              <w:top w:val="nil"/>
              <w:left w:val="nil"/>
              <w:right w:val="single" w:color="auto" w:sz="4" w:space="0"/>
            </w:tcBorders>
            <w:vAlign w:val="center"/>
          </w:tcPr>
          <w:p>
            <w:pPr>
              <w:autoSpaceDE/>
              <w:autoSpaceDN/>
              <w:adjustRightInd/>
              <w:ind w:left="-108"/>
              <w:jc w:val="center"/>
              <w:rPr>
                <w:rFonts w:ascii="Times New Roman" w:eastAsia="方正仿宋_GBK"/>
                <w:kern w:val="2"/>
                <w:sz w:val="21"/>
                <w:szCs w:val="21"/>
              </w:rPr>
            </w:pPr>
          </w:p>
        </w:tc>
        <w:tc>
          <w:tcPr>
            <w:tcW w:w="666" w:type="dxa"/>
            <w:gridSpan w:val="3"/>
            <w:vMerge w:val="restart"/>
            <w:tcBorders>
              <w:top w:val="nil"/>
              <w:left w:val="nil"/>
              <w:right w:val="nil"/>
            </w:tcBorders>
            <w:vAlign w:val="center"/>
          </w:tcPr>
          <w:p>
            <w:pPr>
              <w:autoSpaceDE/>
              <w:autoSpaceDN/>
              <w:adjustRightInd/>
              <w:ind w:left="-108"/>
              <w:jc w:val="center"/>
              <w:rPr>
                <w:rFonts w:ascii="Times New Roman" w:eastAsia="方正仿宋_GBK"/>
                <w:kern w:val="2"/>
                <w:sz w:val="21"/>
                <w:szCs w:val="21"/>
              </w:rPr>
            </w:pPr>
          </w:p>
        </w:tc>
        <w:tc>
          <w:tcPr>
            <w:tcW w:w="1407" w:type="dxa"/>
            <w:gridSpan w:val="5"/>
            <w:tcBorders>
              <w:top w:val="nil"/>
              <w:left w:val="nil"/>
            </w:tcBorders>
            <w:vAlign w:val="center"/>
          </w:tcPr>
          <w:p>
            <w:pPr>
              <w:autoSpaceDE/>
              <w:autoSpaceDN/>
              <w:adjustRightInd/>
              <w:ind w:left="-108"/>
              <w:jc w:val="center"/>
              <w:rPr>
                <w:rFonts w:ascii="Times New Roman" w:eastAsia="方正仿宋_GBK"/>
                <w:kern w:val="2"/>
                <w:sz w:val="21"/>
                <w:szCs w:val="21"/>
              </w:rPr>
            </w:pPr>
          </w:p>
        </w:tc>
        <w:tc>
          <w:tcPr>
            <w:tcW w:w="1102" w:type="dxa"/>
            <w:gridSpan w:val="3"/>
            <w:tcBorders>
              <w:top w:val="nil"/>
              <w:right w:val="nil"/>
            </w:tcBorders>
            <w:vAlign w:val="center"/>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47" w:type="dxa"/>
            <w:gridSpan w:val="5"/>
            <w:vMerge w:val="restart"/>
            <w:vAlign w:val="center"/>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初步划分土地级别</w:t>
            </w:r>
          </w:p>
        </w:tc>
        <w:tc>
          <w:tcPr>
            <w:tcW w:w="1071" w:type="dxa"/>
            <w:gridSpan w:val="4"/>
            <w:vMerge w:val="continue"/>
            <w:tcBorders>
              <w:bottom w:val="nil"/>
              <w:right w:val="single" w:color="auto" w:sz="4" w:space="0"/>
            </w:tcBorders>
            <w:vAlign w:val="center"/>
          </w:tcPr>
          <w:p>
            <w:pPr>
              <w:autoSpaceDE/>
              <w:autoSpaceDN/>
              <w:adjustRightInd/>
              <w:ind w:left="-108"/>
              <w:jc w:val="center"/>
              <w:rPr>
                <w:rFonts w:ascii="Times New Roman" w:eastAsia="方正仿宋_GBK"/>
                <w:kern w:val="2"/>
                <w:sz w:val="21"/>
                <w:szCs w:val="21"/>
              </w:rPr>
            </w:pPr>
          </w:p>
        </w:tc>
        <w:tc>
          <w:tcPr>
            <w:tcW w:w="666" w:type="dxa"/>
            <w:gridSpan w:val="3"/>
            <w:vMerge w:val="continue"/>
            <w:tcBorders>
              <w:left w:val="nil"/>
            </w:tcBorders>
            <w:vAlign w:val="center"/>
          </w:tcPr>
          <w:p>
            <w:pPr>
              <w:autoSpaceDE/>
              <w:autoSpaceDN/>
              <w:adjustRightInd/>
              <w:ind w:left="-108"/>
              <w:jc w:val="center"/>
              <w:rPr>
                <w:rFonts w:ascii="Times New Roman" w:eastAsia="方正仿宋_GBK"/>
                <w:kern w:val="2"/>
                <w:sz w:val="21"/>
                <w:szCs w:val="21"/>
              </w:rPr>
            </w:pPr>
          </w:p>
        </w:tc>
        <w:tc>
          <w:tcPr>
            <w:tcW w:w="2509" w:type="dxa"/>
            <w:gridSpan w:val="8"/>
            <w:vMerge w:val="restart"/>
            <w:vAlign w:val="center"/>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调查数据标准化处理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2447" w:type="dxa"/>
            <w:gridSpan w:val="5"/>
            <w:vMerge w:val="continue"/>
          </w:tcPr>
          <w:p>
            <w:pPr>
              <w:autoSpaceDE/>
              <w:autoSpaceDN/>
              <w:adjustRightInd/>
              <w:ind w:left="-108"/>
              <w:jc w:val="center"/>
              <w:rPr>
                <w:rFonts w:ascii="Times New Roman" w:eastAsia="方正仿宋_GBK"/>
                <w:kern w:val="2"/>
                <w:sz w:val="21"/>
                <w:szCs w:val="21"/>
              </w:rPr>
            </w:pPr>
          </w:p>
        </w:tc>
        <w:tc>
          <w:tcPr>
            <w:tcW w:w="1737" w:type="dxa"/>
            <w:gridSpan w:val="7"/>
            <w:tcBorders>
              <w:top w:val="nil"/>
              <w:bottom w:val="nil"/>
              <w:right w:val="single" w:color="auto" w:sz="4" w:space="0"/>
            </w:tcBorders>
            <w:vAlign w:val="center"/>
          </w:tcPr>
          <w:p>
            <w:pPr>
              <w:autoSpaceDE/>
              <w:autoSpaceDN/>
              <w:adjustRightInd/>
              <w:ind w:left="-108"/>
              <w:jc w:val="center"/>
              <w:rPr>
                <w:rFonts w:ascii="Times New Roman" w:eastAsia="方正仿宋_GBK"/>
                <w:kern w:val="2"/>
                <w:sz w:val="21"/>
                <w:szCs w:val="21"/>
              </w:rPr>
            </w:pPr>
          </w:p>
        </w:tc>
        <w:tc>
          <w:tcPr>
            <w:tcW w:w="2509" w:type="dxa"/>
            <w:gridSpan w:val="8"/>
            <w:vMerge w:val="continue"/>
            <w:tcBorders>
              <w:left w:val="nil"/>
            </w:tcBorders>
            <w:vAlign w:val="center"/>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c>
          <w:tcPr>
            <w:tcW w:w="4531" w:type="dxa"/>
            <w:gridSpan w:val="15"/>
            <w:tcBorders>
              <w:top w:val="nil"/>
              <w:bottom w:val="nil"/>
            </w:tcBorders>
            <w:vAlign w:val="center"/>
          </w:tcPr>
          <w:p>
            <w:pPr>
              <w:autoSpaceDE/>
              <w:autoSpaceDN/>
              <w:adjustRightInd/>
              <w:ind w:left="-108"/>
              <w:jc w:val="center"/>
              <w:rPr>
                <w:rFonts w:ascii="Times New Roman" w:eastAsia="方正仿宋_GBK"/>
                <w:kern w:val="2"/>
                <w:sz w:val="21"/>
                <w:szCs w:val="21"/>
              </w:rPr>
            </w:pPr>
          </w:p>
        </w:tc>
        <w:tc>
          <w:tcPr>
            <w:tcW w:w="1102" w:type="dxa"/>
            <w:gridSpan w:val="3"/>
            <w:tcBorders>
              <w:right w:val="nil"/>
            </w:tcBorders>
            <w:vAlign w:val="center"/>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2640" w:type="dxa"/>
            <w:gridSpan w:val="7"/>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统计调查、市场调查</w:t>
            </w:r>
          </w:p>
        </w:tc>
        <w:tc>
          <w:tcPr>
            <w:tcW w:w="1544" w:type="dxa"/>
            <w:gridSpan w:val="5"/>
            <w:tcBorders>
              <w:top w:val="nil"/>
              <w:bottom w:val="nil"/>
              <w:right w:val="single" w:color="auto" w:sz="4" w:space="0"/>
            </w:tcBorders>
            <w:vAlign w:val="center"/>
          </w:tcPr>
          <w:p>
            <w:pPr>
              <w:autoSpaceDE/>
              <w:autoSpaceDN/>
              <w:adjustRightInd/>
              <w:ind w:left="-108"/>
              <w:jc w:val="center"/>
              <w:rPr>
                <w:rFonts w:ascii="Times New Roman" w:eastAsia="方正仿宋_GBK"/>
                <w:kern w:val="2"/>
                <w:sz w:val="21"/>
                <w:szCs w:val="21"/>
              </w:rPr>
            </w:pPr>
          </w:p>
        </w:tc>
        <w:tc>
          <w:tcPr>
            <w:tcW w:w="2509" w:type="dxa"/>
            <w:gridSpan w:val="8"/>
            <w:tcBorders>
              <w:left w:val="nil"/>
            </w:tcBorders>
            <w:vAlign w:val="center"/>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分级分类地价确定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c>
          <w:tcPr>
            <w:tcW w:w="1580" w:type="dxa"/>
            <w:gridSpan w:val="5"/>
            <w:tcBorders>
              <w:right w:val="nil"/>
            </w:tcBorders>
          </w:tcPr>
          <w:p>
            <w:pPr>
              <w:autoSpaceDE/>
              <w:autoSpaceDN/>
              <w:adjustRightInd/>
              <w:ind w:left="-108"/>
              <w:jc w:val="center"/>
              <w:rPr>
                <w:rFonts w:ascii="Times New Roman" w:eastAsia="方正仿宋_GBK"/>
                <w:kern w:val="2"/>
                <w:sz w:val="21"/>
                <w:szCs w:val="21"/>
              </w:rPr>
            </w:pPr>
          </w:p>
        </w:tc>
        <w:tc>
          <w:tcPr>
            <w:tcW w:w="2951" w:type="dxa"/>
            <w:gridSpan w:val="10"/>
            <w:tcBorders>
              <w:top w:val="nil"/>
              <w:left w:val="nil"/>
              <w:bottom w:val="nil"/>
            </w:tcBorders>
          </w:tcPr>
          <w:p>
            <w:pPr>
              <w:autoSpaceDE/>
              <w:autoSpaceDN/>
              <w:adjustRightInd/>
              <w:ind w:left="-108"/>
              <w:jc w:val="center"/>
              <w:rPr>
                <w:rFonts w:ascii="Times New Roman" w:eastAsia="方正仿宋_GBK"/>
                <w:kern w:val="2"/>
                <w:sz w:val="21"/>
                <w:szCs w:val="21"/>
              </w:rPr>
            </w:pPr>
          </w:p>
        </w:tc>
        <w:tc>
          <w:tcPr>
            <w:tcW w:w="1102" w:type="dxa"/>
            <w:gridSpan w:val="3"/>
            <w:tcBorders>
              <w:righ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2640" w:type="dxa"/>
            <w:gridSpan w:val="7"/>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分类测算土地级差收益</w:t>
            </w:r>
          </w:p>
        </w:tc>
        <w:tc>
          <w:tcPr>
            <w:tcW w:w="1158" w:type="dxa"/>
            <w:gridSpan w:val="3"/>
            <w:vMerge w:val="restart"/>
            <w:tcBorders>
              <w:top w:val="nil"/>
              <w:right w:val="nil"/>
            </w:tcBorders>
          </w:tcPr>
          <w:p>
            <w:pPr>
              <w:autoSpaceDE/>
              <w:autoSpaceDN/>
              <w:adjustRightInd/>
              <w:ind w:left="-108"/>
              <w:jc w:val="center"/>
              <w:rPr>
                <w:rFonts w:ascii="Times New Roman" w:eastAsia="方正仿宋_GBK"/>
                <w:kern w:val="2"/>
                <w:sz w:val="21"/>
                <w:szCs w:val="21"/>
              </w:rPr>
            </w:pPr>
          </w:p>
        </w:tc>
        <w:tc>
          <w:tcPr>
            <w:tcW w:w="2895" w:type="dxa"/>
            <w:gridSpan w:val="10"/>
            <w:tcBorders>
              <w:left w:val="single" w:color="auto" w:sz="4" w:space="0"/>
            </w:tcBorders>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制作基准地价图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c>
          <w:tcPr>
            <w:tcW w:w="1580" w:type="dxa"/>
            <w:gridSpan w:val="5"/>
            <w:tcBorders>
              <w:right w:val="nil"/>
            </w:tcBorders>
          </w:tcPr>
          <w:p>
            <w:pPr>
              <w:autoSpaceDE/>
              <w:autoSpaceDN/>
              <w:adjustRightInd/>
              <w:ind w:left="-108"/>
              <w:jc w:val="center"/>
              <w:rPr>
                <w:rFonts w:ascii="Times New Roman" w:eastAsia="方正仿宋_GBK"/>
                <w:kern w:val="2"/>
                <w:sz w:val="21"/>
                <w:szCs w:val="21"/>
              </w:rPr>
            </w:pPr>
          </w:p>
        </w:tc>
        <w:tc>
          <w:tcPr>
            <w:tcW w:w="1158" w:type="dxa"/>
            <w:gridSpan w:val="3"/>
            <w:vMerge w:val="continue"/>
            <w:tcBorders>
              <w:left w:val="nil"/>
              <w:right w:val="nil"/>
            </w:tcBorders>
          </w:tcPr>
          <w:p>
            <w:pPr>
              <w:autoSpaceDE/>
              <w:autoSpaceDN/>
              <w:adjustRightInd/>
              <w:ind w:left="-108"/>
              <w:jc w:val="center"/>
              <w:rPr>
                <w:rFonts w:ascii="Times New Roman" w:eastAsia="方正仿宋_GBK"/>
                <w:kern w:val="2"/>
                <w:sz w:val="21"/>
                <w:szCs w:val="21"/>
              </w:rPr>
            </w:pPr>
          </w:p>
        </w:tc>
        <w:tc>
          <w:tcPr>
            <w:tcW w:w="1793" w:type="dxa"/>
            <w:gridSpan w:val="7"/>
            <w:tcBorders>
              <w:left w:val="nil"/>
            </w:tcBorders>
          </w:tcPr>
          <w:p>
            <w:pPr>
              <w:autoSpaceDE/>
              <w:autoSpaceDN/>
              <w:adjustRightInd/>
              <w:ind w:left="-108"/>
              <w:jc w:val="center"/>
              <w:rPr>
                <w:rFonts w:ascii="Times New Roman" w:eastAsia="方正仿宋_GBK"/>
                <w:kern w:val="2"/>
                <w:sz w:val="21"/>
                <w:szCs w:val="21"/>
              </w:rPr>
            </w:pPr>
          </w:p>
        </w:tc>
        <w:tc>
          <w:tcPr>
            <w:tcW w:w="1102" w:type="dxa"/>
            <w:gridSpan w:val="3"/>
            <w:tcBorders>
              <w:righ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2640" w:type="dxa"/>
            <w:gridSpan w:val="7"/>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土地级别界线调整、确定</w:t>
            </w:r>
          </w:p>
        </w:tc>
        <w:tc>
          <w:tcPr>
            <w:tcW w:w="1158" w:type="dxa"/>
            <w:gridSpan w:val="3"/>
            <w:vMerge w:val="continue"/>
            <w:tcBorders>
              <w:bottom w:val="nil"/>
            </w:tcBorders>
          </w:tcPr>
          <w:p>
            <w:pPr>
              <w:autoSpaceDE/>
              <w:autoSpaceDN/>
              <w:adjustRightInd/>
              <w:ind w:left="-108"/>
              <w:jc w:val="center"/>
              <w:rPr>
                <w:rFonts w:ascii="Times New Roman" w:eastAsia="方正仿宋_GBK"/>
                <w:kern w:val="2"/>
                <w:sz w:val="21"/>
                <w:szCs w:val="21"/>
              </w:rPr>
            </w:pPr>
          </w:p>
        </w:tc>
        <w:tc>
          <w:tcPr>
            <w:tcW w:w="2895" w:type="dxa"/>
            <w:gridSpan w:val="10"/>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编制基准地价修正系数表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60" w:type="dxa"/>
            <w:gridSpan w:val="2"/>
            <w:tcBorders>
              <w:left w:val="nil"/>
            </w:tcBorders>
          </w:tcPr>
          <w:p>
            <w:pPr>
              <w:autoSpaceDE/>
              <w:autoSpaceDN/>
              <w:adjustRightInd/>
              <w:ind w:left="-108"/>
              <w:jc w:val="center"/>
              <w:rPr>
                <w:rFonts w:ascii="Times New Roman" w:eastAsia="方正仿宋_GBK"/>
                <w:kern w:val="2"/>
                <w:sz w:val="21"/>
                <w:szCs w:val="21"/>
              </w:rPr>
            </w:pPr>
          </w:p>
        </w:tc>
        <w:tc>
          <w:tcPr>
            <w:tcW w:w="4531" w:type="dxa"/>
            <w:gridSpan w:val="15"/>
            <w:tcBorders>
              <w:top w:val="nil"/>
              <w:bottom w:val="nil"/>
            </w:tcBorders>
          </w:tcPr>
          <w:p>
            <w:pPr>
              <w:autoSpaceDE/>
              <w:autoSpaceDN/>
              <w:adjustRightInd/>
              <w:ind w:left="-108"/>
              <w:jc w:val="center"/>
              <w:rPr>
                <w:rFonts w:ascii="Times New Roman" w:eastAsia="方正仿宋_GBK"/>
                <w:kern w:val="2"/>
                <w:sz w:val="21"/>
                <w:szCs w:val="21"/>
              </w:rPr>
            </w:pPr>
          </w:p>
        </w:tc>
        <w:tc>
          <w:tcPr>
            <w:tcW w:w="1102" w:type="dxa"/>
            <w:gridSpan w:val="3"/>
            <w:tcBorders>
              <w:righ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2447" w:type="dxa"/>
            <w:gridSpan w:val="5"/>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编绘土地级别图</w:t>
            </w:r>
          </w:p>
        </w:tc>
        <w:tc>
          <w:tcPr>
            <w:tcW w:w="1737" w:type="dxa"/>
            <w:gridSpan w:val="7"/>
            <w:tcBorders>
              <w:top w:val="nil"/>
              <w:bottom w:val="nil"/>
            </w:tcBorders>
          </w:tcPr>
          <w:p>
            <w:pPr>
              <w:autoSpaceDE/>
              <w:autoSpaceDN/>
              <w:adjustRightInd/>
              <w:ind w:left="-108"/>
              <w:jc w:val="center"/>
              <w:rPr>
                <w:rFonts w:ascii="Times New Roman" w:eastAsia="方正仿宋_GBK"/>
                <w:kern w:val="2"/>
                <w:sz w:val="21"/>
                <w:szCs w:val="21"/>
              </w:rPr>
            </w:pPr>
          </w:p>
        </w:tc>
        <w:tc>
          <w:tcPr>
            <w:tcW w:w="2509" w:type="dxa"/>
            <w:gridSpan w:val="8"/>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建立基准地价体系表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060" w:type="dxa"/>
            <w:gridSpan w:val="2"/>
            <w:tcBorders>
              <w:left w:val="nil"/>
              <w:bottom w:val="nil"/>
            </w:tcBorders>
          </w:tcPr>
          <w:p>
            <w:pPr>
              <w:autoSpaceDE/>
              <w:autoSpaceDN/>
              <w:adjustRightInd/>
              <w:ind w:left="-108"/>
              <w:jc w:val="center"/>
              <w:rPr>
                <w:rFonts w:ascii="Times New Roman" w:eastAsia="方正仿宋_GBK"/>
                <w:kern w:val="2"/>
                <w:sz w:val="21"/>
                <w:szCs w:val="21"/>
              </w:rPr>
            </w:pPr>
          </w:p>
        </w:tc>
        <w:tc>
          <w:tcPr>
            <w:tcW w:w="4531" w:type="dxa"/>
            <w:gridSpan w:val="15"/>
            <w:tcBorders>
              <w:top w:val="nil"/>
              <w:bottom w:val="nil"/>
            </w:tcBorders>
          </w:tcPr>
          <w:p>
            <w:pPr>
              <w:autoSpaceDE/>
              <w:autoSpaceDN/>
              <w:adjustRightInd/>
              <w:ind w:left="-108"/>
              <w:jc w:val="center"/>
              <w:rPr>
                <w:rFonts w:ascii="Times New Roman" w:eastAsia="方正仿宋_GBK"/>
                <w:kern w:val="2"/>
                <w:sz w:val="21"/>
                <w:szCs w:val="21"/>
              </w:rPr>
            </w:pPr>
          </w:p>
        </w:tc>
        <w:tc>
          <w:tcPr>
            <w:tcW w:w="1102" w:type="dxa"/>
            <w:gridSpan w:val="3"/>
            <w:tcBorders>
              <w:bottom w:val="nil"/>
              <w:right w:val="nil"/>
            </w:tcBorders>
          </w:tcPr>
          <w:p>
            <w:pPr>
              <w:autoSpaceDE/>
              <w:autoSpaceDN/>
              <w:adjustRightInd/>
              <w:ind w:left="-108"/>
              <w:jc w:val="center"/>
              <w:rPr>
                <w:rFonts w:ascii="Times New Roman" w:eastAsia="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78" w:type="dxa"/>
          <w:cantSplit/>
          <w:trHeight w:val="230" w:hRule="atLeast"/>
          <w:jc w:val="center"/>
        </w:trPr>
        <w:tc>
          <w:tcPr>
            <w:tcW w:w="6415" w:type="dxa"/>
            <w:gridSpan w:val="19"/>
            <w:tcBorders>
              <w:top w:val="single" w:color="auto" w:sz="4" w:space="0"/>
              <w:right w:val="single" w:color="auto" w:sz="4" w:space="0"/>
            </w:tcBorders>
          </w:tcPr>
          <w:p>
            <w:pPr>
              <w:autoSpaceDE/>
              <w:autoSpaceDN/>
              <w:adjustRightInd/>
              <w:ind w:left="-108"/>
              <w:jc w:val="center"/>
              <w:rPr>
                <w:rFonts w:ascii="Times New Roman" w:eastAsia="方正仿宋_GBK"/>
                <w:kern w:val="2"/>
                <w:sz w:val="21"/>
                <w:szCs w:val="21"/>
              </w:rPr>
            </w:pPr>
            <w:r>
              <w:rPr>
                <w:rFonts w:ascii="Times New Roman" w:eastAsia="方正仿宋_GBK"/>
                <w:kern w:val="2"/>
                <w:sz w:val="21"/>
                <w:szCs w:val="21"/>
              </w:rPr>
              <w:t>编写土地定级和基准地价更新报告</w:t>
            </w:r>
          </w:p>
        </w:tc>
      </w:tr>
    </w:tbl>
    <w:p>
      <w:pPr>
        <w:autoSpaceDE/>
        <w:autoSpaceDN/>
        <w:adjustRightInd/>
        <w:spacing w:line="360" w:lineRule="auto"/>
        <w:ind w:left="-108"/>
        <w:jc w:val="center"/>
        <w:rPr>
          <w:rFonts w:ascii="Times New Roman" w:eastAsia="方正仿宋_GBK"/>
          <w:kern w:val="2"/>
          <w:sz w:val="21"/>
          <w:szCs w:val="21"/>
        </w:rPr>
      </w:pPr>
    </w:p>
    <w:p>
      <w:pPr>
        <w:autoSpaceDE/>
        <w:autoSpaceDN/>
        <w:adjustRightInd/>
        <w:spacing w:line="360" w:lineRule="auto"/>
        <w:rPr>
          <w:rFonts w:ascii="Times New Roman" w:eastAsia="方正仿宋_GBK"/>
          <w:kern w:val="2"/>
          <w:sz w:val="21"/>
          <w:szCs w:val="21"/>
        </w:rPr>
      </w:pPr>
    </w:p>
    <w:p>
      <w:pPr>
        <w:autoSpaceDE/>
        <w:autoSpaceDN/>
        <w:adjustRightInd/>
        <w:spacing w:line="360" w:lineRule="auto"/>
        <w:rPr>
          <w:rFonts w:ascii="Times New Roman" w:eastAsia="方正仿宋_GBK"/>
          <w:kern w:val="2"/>
          <w:sz w:val="21"/>
          <w:szCs w:val="21"/>
        </w:rPr>
      </w:pPr>
    </w:p>
    <w:p>
      <w:pPr>
        <w:autoSpaceDE/>
        <w:autoSpaceDN/>
        <w:adjustRightInd/>
        <w:spacing w:line="360" w:lineRule="auto"/>
        <w:rPr>
          <w:rFonts w:ascii="Times New Roman" w:eastAsia="方正仿宋_GBK"/>
          <w:kern w:val="2"/>
          <w:sz w:val="10"/>
          <w:szCs w:val="10"/>
        </w:rPr>
      </w:pPr>
    </w:p>
    <w:p>
      <w:pPr>
        <w:pStyle w:val="3"/>
        <w:spacing w:line="320" w:lineRule="exact"/>
        <w:rPr>
          <w:rFonts w:ascii="Times New Roman" w:hAnsi="Times New Roman" w:eastAsia="方正仿宋_GBK"/>
          <w:sz w:val="30"/>
          <w:szCs w:val="30"/>
        </w:rPr>
      </w:pPr>
      <w:bookmarkStart w:id="4" w:name="_Toc50624957"/>
      <w:r>
        <w:rPr>
          <w:rFonts w:ascii="Times New Roman" w:hAnsi="Times New Roman" w:eastAsia="方正仿宋_GBK"/>
          <w:sz w:val="30"/>
          <w:szCs w:val="30"/>
        </w:rPr>
        <w:t>3</w:t>
      </w:r>
      <w:r>
        <w:rPr>
          <w:rFonts w:hint="eastAsia" w:ascii="Times New Roman" w:hAnsi="Times New Roman" w:eastAsia="方正仿宋_GBK"/>
          <w:sz w:val="30"/>
          <w:szCs w:val="30"/>
          <w:lang w:eastAsia="zh-CN"/>
        </w:rPr>
        <w:t>.</w:t>
      </w:r>
      <w:r>
        <w:rPr>
          <w:rFonts w:ascii="Times New Roman" w:hAnsi="Times New Roman" w:eastAsia="方正仿宋_GBK"/>
          <w:sz w:val="30"/>
          <w:szCs w:val="30"/>
        </w:rPr>
        <w:t>基准地价更新外业调查介绍</w:t>
      </w:r>
      <w:bookmarkEnd w:id="4"/>
    </w:p>
    <w:p>
      <w:pPr>
        <w:spacing w:line="360" w:lineRule="auto"/>
        <w:ind w:firstLine="500" w:firstLineChars="200"/>
        <w:rPr>
          <w:rFonts w:ascii="Times New Roman" w:eastAsia="方正仿宋_GBK"/>
          <w:spacing w:val="5"/>
          <w:sz w:val="24"/>
          <w:lang w:val="en-GB"/>
        </w:rPr>
      </w:pPr>
      <w:r>
        <w:rPr>
          <w:rFonts w:ascii="Times New Roman" w:eastAsia="方正仿宋_GBK"/>
          <w:spacing w:val="5"/>
          <w:sz w:val="24"/>
          <w:lang w:val="en-GB"/>
        </w:rPr>
        <w:t>本次基准地价更新外业调查土地定级部分收集了自然资源局、教育体育局、统计局、卫生健康局、文化和旅游局等14个部门相关资料；土地估价部分收集了评价江川区内商服企业、工业企业最近三年的用地效益资料(包括利润、固定资产、流动资金、工资总额、生产面积或营业面积等)以及江川区的铺面出租资料(包括租金、房屋结构、成新度、使用面积、上交税费、房屋重置价、楼层数等)。</w:t>
      </w:r>
    </w:p>
    <w:p>
      <w:pPr>
        <w:pStyle w:val="3"/>
        <w:spacing w:line="320" w:lineRule="exact"/>
        <w:rPr>
          <w:rFonts w:ascii="Times New Roman" w:hAnsi="Times New Roman" w:eastAsia="方正仿宋_GBK"/>
          <w:sz w:val="30"/>
          <w:szCs w:val="30"/>
          <w:lang w:eastAsia="zh-CN"/>
        </w:rPr>
      </w:pPr>
      <w:bookmarkStart w:id="5" w:name="_Toc50624958"/>
      <w:r>
        <w:rPr>
          <w:rFonts w:ascii="Times New Roman" w:hAnsi="Times New Roman" w:eastAsia="方正仿宋_GBK"/>
          <w:sz w:val="30"/>
          <w:szCs w:val="30"/>
        </w:rPr>
        <w:t>4</w:t>
      </w:r>
      <w:r>
        <w:rPr>
          <w:rFonts w:hint="eastAsia" w:ascii="Times New Roman" w:hAnsi="Times New Roman" w:eastAsia="方正仿宋_GBK"/>
          <w:sz w:val="30"/>
          <w:szCs w:val="30"/>
          <w:lang w:eastAsia="zh-CN"/>
        </w:rPr>
        <w:t>.</w:t>
      </w:r>
      <w:r>
        <w:rPr>
          <w:rFonts w:ascii="Times New Roman" w:hAnsi="Times New Roman" w:eastAsia="方正仿宋_GBK"/>
          <w:sz w:val="30"/>
          <w:szCs w:val="30"/>
        </w:rPr>
        <w:t>基准地价更新内业测算流程</w:t>
      </w:r>
      <w:bookmarkEnd w:id="5"/>
    </w:p>
    <w:p>
      <w:pPr>
        <w:rPr>
          <w:rFonts w:ascii="Times New Roman" w:eastAsia="方正仿宋_GBK"/>
        </w:rPr>
      </w:pPr>
    </w:p>
    <w:p>
      <w:pPr>
        <w:pStyle w:val="4"/>
        <w:spacing w:line="240" w:lineRule="exact"/>
        <w:rPr>
          <w:rFonts w:ascii="Times New Roman" w:eastAsia="方正仿宋_GBK"/>
          <w:b w:val="0"/>
          <w:sz w:val="24"/>
          <w:szCs w:val="24"/>
        </w:rPr>
      </w:pPr>
      <w:bookmarkStart w:id="6" w:name="_Toc50624959"/>
      <w:r>
        <w:rPr>
          <w:rFonts w:ascii="Times New Roman" w:eastAsia="方正仿宋_GBK"/>
          <w:b w:val="0"/>
          <w:sz w:val="24"/>
          <w:szCs w:val="24"/>
        </w:rPr>
        <w:t>(1)工作底图及定级范围的确定</w:t>
      </w:r>
      <w:bookmarkEnd w:id="6"/>
    </w:p>
    <w:p>
      <w:pPr>
        <w:spacing w:line="360" w:lineRule="auto"/>
        <w:ind w:firstLine="500" w:firstLineChars="200"/>
        <w:rPr>
          <w:rFonts w:ascii="Times New Roman" w:eastAsia="方正仿宋_GBK"/>
          <w:spacing w:val="5"/>
          <w:sz w:val="24"/>
          <w:lang w:val="en-GB"/>
        </w:rPr>
      </w:pPr>
      <w:r>
        <w:rPr>
          <w:rFonts w:ascii="Times New Roman" w:eastAsia="方正仿宋_GBK"/>
          <w:spacing w:val="5"/>
          <w:sz w:val="24"/>
          <w:lang w:val="en-GB"/>
        </w:rPr>
        <w:t>本次江川区中心城区和</w:t>
      </w:r>
      <w:r>
        <w:rPr>
          <w:rFonts w:ascii="Times New Roman" w:eastAsia="方正仿宋_GBK"/>
          <w:bCs/>
          <w:spacing w:val="16"/>
          <w:kern w:val="2"/>
          <w:sz w:val="24"/>
          <w:szCs w:val="24"/>
        </w:rPr>
        <w:t>江城镇、九溪镇、前卫镇、雄关乡</w:t>
      </w:r>
      <w:r>
        <w:rPr>
          <w:rFonts w:ascii="Times New Roman" w:eastAsia="方正仿宋_GBK"/>
          <w:spacing w:val="5"/>
          <w:sz w:val="24"/>
          <w:lang w:val="en-GB"/>
        </w:rPr>
        <w:t>集镇规划区以卫星影像图作为本次更新测算的工作底图，以总体规划确定的规划范围为基础确定的定级范围。</w:t>
      </w:r>
    </w:p>
    <w:p>
      <w:pPr>
        <w:pStyle w:val="4"/>
        <w:spacing w:line="240" w:lineRule="exact"/>
        <w:rPr>
          <w:rFonts w:ascii="Times New Roman" w:eastAsia="方正仿宋_GBK"/>
          <w:b w:val="0"/>
          <w:sz w:val="24"/>
          <w:szCs w:val="24"/>
        </w:rPr>
      </w:pPr>
      <w:bookmarkStart w:id="7" w:name="_Toc50624960"/>
      <w:r>
        <w:rPr>
          <w:rFonts w:ascii="Times New Roman" w:eastAsia="方正仿宋_GBK"/>
          <w:b w:val="0"/>
          <w:sz w:val="24"/>
          <w:szCs w:val="24"/>
        </w:rPr>
        <w:t>(2)地价定义</w:t>
      </w:r>
      <w:bookmarkEnd w:id="7"/>
    </w:p>
    <w:p>
      <w:pPr>
        <w:pStyle w:val="9"/>
        <w:spacing w:line="360" w:lineRule="auto"/>
        <w:rPr>
          <w:rFonts w:ascii="Times New Roman" w:hAnsi="Times New Roman" w:eastAsia="方正仿宋_GBK" w:cs="Times New Roman"/>
          <w:spacing w:val="5"/>
          <w:sz w:val="24"/>
          <w:szCs w:val="24"/>
        </w:rPr>
      </w:pPr>
      <w:r>
        <w:rPr>
          <w:rFonts w:ascii="Times New Roman" w:hAnsi="Times New Roman" w:eastAsia="方正仿宋_GBK" w:cs="Times New Roman"/>
          <w:spacing w:val="5"/>
          <w:sz w:val="24"/>
          <w:szCs w:val="24"/>
        </w:rPr>
        <w:fldChar w:fldCharType="begin"/>
      </w:r>
      <w:r>
        <w:rPr>
          <w:rFonts w:ascii="Times New Roman" w:hAnsi="Times New Roman" w:eastAsia="方正仿宋_GBK" w:cs="Times New Roman"/>
          <w:spacing w:val="5"/>
          <w:sz w:val="24"/>
          <w:szCs w:val="24"/>
        </w:rPr>
        <w:instrText xml:space="preserve"> = 1 \* GB3 </w:instrText>
      </w:r>
      <w:r>
        <w:rPr>
          <w:rFonts w:ascii="Times New Roman" w:hAnsi="Times New Roman" w:eastAsia="方正仿宋_GBK" w:cs="Times New Roman"/>
          <w:spacing w:val="5"/>
          <w:sz w:val="24"/>
          <w:szCs w:val="24"/>
        </w:rPr>
        <w:fldChar w:fldCharType="separate"/>
      </w:r>
      <w:r>
        <w:rPr>
          <w:rFonts w:ascii="Times New Roman" w:hAnsi="Times New Roman" w:eastAsia="方正仿宋_GBK" w:cs="Times New Roman"/>
          <w:spacing w:val="5"/>
          <w:sz w:val="24"/>
          <w:szCs w:val="24"/>
          <w:lang w:val="en-US" w:eastAsia="zh-CN"/>
        </w:rPr>
        <w:t>①</w:t>
      </w:r>
      <w:r>
        <w:rPr>
          <w:rFonts w:ascii="Times New Roman" w:hAnsi="Times New Roman" w:eastAsia="方正仿宋_GBK" w:cs="Times New Roman"/>
          <w:spacing w:val="5"/>
          <w:sz w:val="24"/>
          <w:szCs w:val="24"/>
        </w:rPr>
        <w:fldChar w:fldCharType="end"/>
      </w:r>
      <w:r>
        <w:rPr>
          <w:rFonts w:ascii="Times New Roman" w:hAnsi="Times New Roman" w:eastAsia="方正仿宋_GBK" w:cs="Times New Roman"/>
          <w:spacing w:val="5"/>
          <w:sz w:val="24"/>
          <w:szCs w:val="24"/>
        </w:rPr>
        <w:t>估价基准日</w:t>
      </w:r>
      <w:r>
        <w:rPr>
          <w:rFonts w:ascii="Times New Roman" w:hAnsi="Times New Roman" w:eastAsia="方正仿宋_GBK" w:cs="Times New Roman"/>
          <w:spacing w:val="5"/>
          <w:sz w:val="24"/>
          <w:szCs w:val="24"/>
          <w:lang w:val="en-US"/>
        </w:rPr>
        <w:t>：</w:t>
      </w:r>
      <w:r>
        <w:rPr>
          <w:rFonts w:ascii="Times New Roman" w:hAnsi="Times New Roman" w:eastAsia="方正仿宋_GBK" w:cs="Times New Roman"/>
          <w:spacing w:val="5"/>
          <w:sz w:val="24"/>
          <w:szCs w:val="24"/>
        </w:rPr>
        <w:t>2020年6月30日</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 = 2 \* GB3 </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lang w:val="en-US" w:eastAsia="zh-CN"/>
        </w:rPr>
        <w:t>②</w:t>
      </w:r>
      <w:r>
        <w:rPr>
          <w:rFonts w:ascii="Times New Roman" w:hAnsi="Times New Roman" w:eastAsia="方正仿宋_GBK" w:cs="Times New Roman"/>
          <w:sz w:val="24"/>
          <w:szCs w:val="24"/>
        </w:rPr>
        <w:fldChar w:fldCharType="end"/>
      </w:r>
      <w:r>
        <w:rPr>
          <w:rFonts w:ascii="Times New Roman" w:hAnsi="Times New Roman" w:eastAsia="方正仿宋_GBK" w:cs="Times New Roman"/>
          <w:sz w:val="24"/>
          <w:szCs w:val="24"/>
        </w:rPr>
        <w:t>还原利率</w:t>
      </w:r>
    </w:p>
    <w:p>
      <w:pPr>
        <w:pStyle w:val="9"/>
        <w:spacing w:line="360" w:lineRule="auto"/>
        <w:rPr>
          <w:rFonts w:ascii="Times New Roman" w:hAnsi="Times New Roman" w:eastAsia="方正仿宋_GBK" w:cs="Times New Roman"/>
          <w:bCs/>
          <w:spacing w:val="16"/>
          <w:sz w:val="24"/>
          <w:szCs w:val="24"/>
          <w:lang w:val="en-US"/>
        </w:rPr>
      </w:pPr>
      <w:r>
        <w:rPr>
          <w:rFonts w:ascii="Times New Roman" w:hAnsi="Times New Roman" w:eastAsia="方正仿宋_GBK" w:cs="Times New Roman"/>
          <w:bCs/>
          <w:spacing w:val="16"/>
          <w:sz w:val="24"/>
          <w:szCs w:val="24"/>
          <w:lang w:val="en-US"/>
        </w:rPr>
        <w:t>江川区中心城区：</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商服用地：0.065</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住宅用地：0.065</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医疗卫生用地、文化设施用地、体育用地、机关团体用地、新闻出版用地、教育用地、科研用地、社会福利用地为：0.065</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公用设施用地、公园与绿地为：0.045</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工矿仓储用地：0.045</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bCs/>
          <w:spacing w:val="16"/>
          <w:sz w:val="24"/>
          <w:szCs w:val="24"/>
          <w:lang w:val="en-US"/>
        </w:rPr>
        <w:t>江川工业园区（玉溪市高新区龙泉片区）</w:t>
      </w:r>
      <w:r>
        <w:rPr>
          <w:rFonts w:ascii="Times New Roman" w:hAnsi="Times New Roman" w:eastAsia="方正仿宋_GBK" w:cs="Times New Roman"/>
          <w:sz w:val="24"/>
          <w:szCs w:val="24"/>
        </w:rPr>
        <w:t>：</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商服用地：0.052</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住宅用地：0.052</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公共管理与公共服务用地：0.0435</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工矿仓储用地：0.0435</w:t>
      </w:r>
    </w:p>
    <w:p>
      <w:pPr>
        <w:pStyle w:val="9"/>
        <w:spacing w:line="360" w:lineRule="auto"/>
        <w:rPr>
          <w:rFonts w:ascii="Times New Roman" w:hAnsi="Times New Roman" w:eastAsia="方正仿宋_GBK" w:cs="Times New Roman"/>
          <w:bCs/>
          <w:spacing w:val="16"/>
          <w:sz w:val="24"/>
          <w:szCs w:val="24"/>
          <w:lang w:val="en-US"/>
        </w:rPr>
      </w:pPr>
      <w:r>
        <w:rPr>
          <w:rFonts w:ascii="Times New Roman" w:hAnsi="Times New Roman" w:eastAsia="方正仿宋_GBK" w:cs="Times New Roman"/>
          <w:bCs/>
          <w:spacing w:val="16"/>
          <w:sz w:val="24"/>
          <w:szCs w:val="24"/>
          <w:lang w:val="en-US"/>
        </w:rPr>
        <w:t>江城镇、九溪镇、前卫镇、雄关乡：</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商服用地：0.050</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住宅用地：0.050</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公共管理与公共服务用地：0.0435</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工矿仓储用地：0.0435</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 = 3 \* GB3 </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lang w:val="en-US" w:eastAsia="zh-CN"/>
        </w:rPr>
        <w:t>③</w:t>
      </w:r>
      <w:r>
        <w:rPr>
          <w:rFonts w:ascii="Times New Roman" w:hAnsi="Times New Roman" w:eastAsia="方正仿宋_GBK" w:cs="Times New Roman"/>
          <w:sz w:val="24"/>
          <w:szCs w:val="24"/>
        </w:rPr>
        <w:fldChar w:fldCharType="end"/>
      </w:r>
      <w:r>
        <w:rPr>
          <w:rFonts w:ascii="Times New Roman" w:hAnsi="Times New Roman" w:eastAsia="方正仿宋_GBK" w:cs="Times New Roman"/>
          <w:spacing w:val="5"/>
          <w:sz w:val="24"/>
        </w:rPr>
        <w:t>江川区中心城区和江城镇等四个乡镇集镇规划区</w:t>
      </w:r>
      <w:r>
        <w:rPr>
          <w:rFonts w:ascii="Times New Roman" w:hAnsi="Times New Roman" w:eastAsia="方正仿宋_GBK" w:cs="Times New Roman"/>
          <w:sz w:val="24"/>
          <w:szCs w:val="24"/>
        </w:rPr>
        <w:t>土地法定最高使用年期</w:t>
      </w:r>
    </w:p>
    <w:p>
      <w:pPr>
        <w:pStyle w:val="9"/>
        <w:spacing w:line="360" w:lineRule="auto"/>
        <w:ind w:firstLine="375" w:firstLineChars="150"/>
        <w:rPr>
          <w:rFonts w:ascii="Times New Roman" w:hAnsi="Times New Roman" w:eastAsia="方正仿宋_GBK" w:cs="Times New Roman"/>
          <w:sz w:val="24"/>
          <w:szCs w:val="24"/>
        </w:rPr>
      </w:pPr>
      <w:r>
        <w:rPr>
          <w:rFonts w:ascii="Times New Roman" w:hAnsi="Times New Roman" w:eastAsia="方正仿宋_GBK" w:cs="Times New Roman"/>
          <w:spacing w:val="5"/>
          <w:sz w:val="24"/>
        </w:rPr>
        <w:t>根据1990年5月19日国务院发布实施《中华人民共和国城镇国有土地使用权出让</w:t>
      </w:r>
      <w:r>
        <w:rPr>
          <w:rFonts w:hint="eastAsia" w:ascii="Times New Roman" w:hAnsi="Times New Roman" w:eastAsia="方正仿宋_GBK" w:cs="Times New Roman"/>
          <w:spacing w:val="5"/>
          <w:sz w:val="24"/>
          <w:lang w:eastAsia="zh-CN"/>
        </w:rPr>
        <w:t>和</w:t>
      </w:r>
      <w:r>
        <w:rPr>
          <w:rFonts w:ascii="Times New Roman" w:hAnsi="Times New Roman" w:eastAsia="方正仿宋_GBK" w:cs="Times New Roman"/>
          <w:spacing w:val="5"/>
          <w:sz w:val="24"/>
        </w:rPr>
        <w:t>转让暂行条例》（即国务院55号令）第12条规定，土地使用权出让的最高年限按用途分别为：</w:t>
      </w:r>
    </w:p>
    <w:p>
      <w:pPr>
        <w:pStyle w:val="9"/>
        <w:spacing w:line="360"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商服用地使用权最高出让年期：40年</w:t>
      </w:r>
    </w:p>
    <w:p>
      <w:pPr>
        <w:pStyle w:val="9"/>
        <w:spacing w:line="360" w:lineRule="auto"/>
        <w:ind w:firstLine="480" w:firstLineChars="200"/>
        <w:rPr>
          <w:rFonts w:ascii="Times New Roman" w:hAnsi="Times New Roman" w:eastAsia="方正仿宋_GBK" w:cs="Times New Roman"/>
          <w:sz w:val="10"/>
          <w:szCs w:val="10"/>
        </w:rPr>
      </w:pPr>
      <w:r>
        <w:rPr>
          <w:rFonts w:ascii="Times New Roman" w:hAnsi="Times New Roman" w:eastAsia="方正仿宋_GBK" w:cs="Times New Roman"/>
          <w:sz w:val="24"/>
          <w:szCs w:val="24"/>
        </w:rPr>
        <w:t>住宅用地使用权最高出让年期：70年</w:t>
      </w:r>
    </w:p>
    <w:p>
      <w:pPr>
        <w:pStyle w:val="9"/>
        <w:spacing w:line="360"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工矿仓储用地使用权最高出让年期：50年</w:t>
      </w:r>
    </w:p>
    <w:p>
      <w:pPr>
        <w:pStyle w:val="9"/>
        <w:spacing w:line="360"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公共管理与公共服务用地使用权最高出让年期：50年</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 = 4 \* GB3 </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lang w:val="en-US" w:eastAsia="zh-CN"/>
        </w:rPr>
        <w:t>④</w:t>
      </w:r>
      <w:r>
        <w:rPr>
          <w:rFonts w:ascii="Times New Roman" w:hAnsi="Times New Roman" w:eastAsia="方正仿宋_GBK" w:cs="Times New Roman"/>
          <w:sz w:val="24"/>
          <w:szCs w:val="24"/>
        </w:rPr>
        <w:fldChar w:fldCharType="end"/>
      </w:r>
      <w:r>
        <w:rPr>
          <w:rFonts w:ascii="Times New Roman" w:hAnsi="Times New Roman" w:eastAsia="方正仿宋_GBK" w:cs="Times New Roman"/>
          <w:sz w:val="24"/>
          <w:szCs w:val="24"/>
        </w:rPr>
        <w:t>土地开发程度</w:t>
      </w:r>
    </w:p>
    <w:p>
      <w:pPr>
        <w:pStyle w:val="9"/>
        <w:spacing w:line="360" w:lineRule="auto"/>
        <w:rPr>
          <w:rFonts w:ascii="Times New Roman" w:hAnsi="Times New Roman" w:eastAsia="方正仿宋_GBK" w:cs="Times New Roman"/>
          <w:spacing w:val="5"/>
          <w:sz w:val="24"/>
        </w:rPr>
      </w:pPr>
      <w:r>
        <w:rPr>
          <w:rFonts w:ascii="Times New Roman" w:hAnsi="Times New Roman" w:eastAsia="方正仿宋_GBK" w:cs="Times New Roman"/>
          <w:spacing w:val="5"/>
          <w:sz w:val="24"/>
        </w:rPr>
        <w:t>江川区中心城区：</w:t>
      </w:r>
    </w:p>
    <w:p>
      <w:pPr>
        <w:pStyle w:val="9"/>
        <w:spacing w:line="360" w:lineRule="auto"/>
        <w:ind w:firstLine="250" w:firstLineChars="100"/>
        <w:rPr>
          <w:rFonts w:ascii="Times New Roman" w:hAnsi="Times New Roman" w:eastAsia="方正仿宋_GBK" w:cs="Times New Roman"/>
          <w:spacing w:val="5"/>
          <w:sz w:val="24"/>
        </w:rPr>
      </w:pPr>
      <w:r>
        <w:rPr>
          <w:rFonts w:ascii="Times New Roman" w:hAnsi="Times New Roman" w:eastAsia="方正仿宋_GBK" w:cs="Times New Roman"/>
          <w:spacing w:val="5"/>
          <w:sz w:val="24"/>
        </w:rPr>
        <w:t xml:space="preserve"> 商服、住宅、公共管理与公共服务用地：Ⅰ级区域“五通一平”（通供水，通排水，通电，通讯，通路，宗地内场平）；Ⅱ级区域“五通一平”（通供水，通排水，通电，通讯，通路，宗地内场平）；Ⅲ级区域“四通一平”（通供水，通电，通讯，通路，宗地内场平）；Ⅳ级区域“三通”（通电，通讯，通路）。</w:t>
      </w:r>
    </w:p>
    <w:p>
      <w:pPr>
        <w:pStyle w:val="9"/>
        <w:spacing w:line="360" w:lineRule="auto"/>
        <w:ind w:firstLine="250" w:firstLineChars="100"/>
        <w:rPr>
          <w:rFonts w:ascii="Times New Roman" w:hAnsi="Times New Roman" w:eastAsia="方正仿宋_GBK" w:cs="Times New Roman"/>
          <w:spacing w:val="5"/>
          <w:sz w:val="24"/>
        </w:rPr>
      </w:pPr>
      <w:r>
        <w:rPr>
          <w:rFonts w:ascii="Times New Roman" w:hAnsi="Times New Roman" w:eastAsia="方正仿宋_GBK" w:cs="Times New Roman"/>
          <w:spacing w:val="5"/>
          <w:sz w:val="24"/>
        </w:rPr>
        <w:t xml:space="preserve"> 工矿仓储用地：规划限制区“五通一平”（通供水，通排水，通电，通讯，通路，宗地内场平）；Ⅰ级区域“五通一平”（通供水，通排水，通电，通讯，通路，宗地内场平）；Ⅱ级区域“四通一平”（通供水，通电，通讯，通路，宗地内场平）；Ⅲ级区域“三通”（通电，通讯，通路）。</w:t>
      </w:r>
    </w:p>
    <w:p>
      <w:pPr>
        <w:pStyle w:val="9"/>
        <w:spacing w:line="360" w:lineRule="auto"/>
        <w:rPr>
          <w:rFonts w:ascii="Times New Roman" w:hAnsi="Times New Roman" w:eastAsia="方正仿宋_GBK" w:cs="Times New Roman"/>
          <w:spacing w:val="5"/>
          <w:sz w:val="24"/>
        </w:rPr>
      </w:pPr>
      <w:r>
        <w:rPr>
          <w:rFonts w:ascii="Times New Roman" w:hAnsi="Times New Roman" w:eastAsia="方正仿宋_GBK" w:cs="Times New Roman"/>
          <w:bCs/>
          <w:spacing w:val="16"/>
          <w:sz w:val="24"/>
          <w:szCs w:val="24"/>
          <w:lang w:val="en-US"/>
        </w:rPr>
        <w:t>江川工业园区（玉溪市高新区龙泉片区）</w:t>
      </w:r>
      <w:r>
        <w:rPr>
          <w:rFonts w:ascii="Times New Roman" w:hAnsi="Times New Roman" w:eastAsia="方正仿宋_GBK" w:cs="Times New Roman"/>
          <w:spacing w:val="5"/>
          <w:sz w:val="24"/>
        </w:rPr>
        <w:t>：Ⅰ级区域“三通一平”（通电，通讯，通路，宗地内场平）；Ⅱ级区域“二通”（通电，通讯）。</w:t>
      </w:r>
    </w:p>
    <w:p>
      <w:pPr>
        <w:pStyle w:val="9"/>
        <w:spacing w:line="360" w:lineRule="auto"/>
        <w:rPr>
          <w:rFonts w:ascii="Times New Roman" w:hAnsi="Times New Roman" w:eastAsia="方正仿宋_GBK" w:cs="Times New Roman"/>
          <w:spacing w:val="5"/>
          <w:sz w:val="24"/>
        </w:rPr>
      </w:pPr>
      <w:r>
        <w:rPr>
          <w:rFonts w:ascii="Times New Roman" w:hAnsi="Times New Roman" w:eastAsia="方正仿宋_GBK" w:cs="Times New Roman"/>
          <w:bCs/>
          <w:spacing w:val="16"/>
          <w:sz w:val="24"/>
          <w:szCs w:val="24"/>
          <w:lang w:val="en-US"/>
        </w:rPr>
        <w:t xml:space="preserve">   江城镇、九溪镇、前卫镇：</w:t>
      </w:r>
      <w:r>
        <w:rPr>
          <w:rFonts w:ascii="Times New Roman" w:hAnsi="Times New Roman" w:eastAsia="方正仿宋_GBK" w:cs="Times New Roman"/>
          <w:spacing w:val="5"/>
          <w:sz w:val="24"/>
        </w:rPr>
        <w:t>Ⅰ级区域“五通一平”（通供水，通排水，通电，通讯，通路，宗地内场平）；Ⅱ级区域“三通一平”（通电，通讯，通路，宗地内场平）；Ⅲ级区域“三通”（通电，通讯，通路）。</w:t>
      </w:r>
    </w:p>
    <w:p>
      <w:pPr>
        <w:pStyle w:val="9"/>
        <w:spacing w:line="360" w:lineRule="auto"/>
        <w:rPr>
          <w:rFonts w:ascii="Times New Roman" w:hAnsi="Times New Roman" w:eastAsia="方正仿宋_GBK" w:cs="Times New Roman"/>
          <w:b/>
          <w:bCs/>
          <w:spacing w:val="16"/>
          <w:sz w:val="24"/>
          <w:szCs w:val="24"/>
          <w:lang w:val="en-US"/>
        </w:rPr>
      </w:pPr>
      <w:r>
        <w:rPr>
          <w:rFonts w:ascii="Times New Roman" w:hAnsi="Times New Roman" w:eastAsia="方正仿宋_GBK" w:cs="Times New Roman"/>
          <w:bCs/>
          <w:spacing w:val="16"/>
          <w:sz w:val="24"/>
          <w:szCs w:val="24"/>
          <w:lang w:val="en-US"/>
        </w:rPr>
        <w:t xml:space="preserve">   雄关乡：</w:t>
      </w:r>
      <w:r>
        <w:rPr>
          <w:rFonts w:ascii="Times New Roman" w:hAnsi="Times New Roman" w:eastAsia="方正仿宋_GBK" w:cs="Times New Roman"/>
          <w:spacing w:val="5"/>
          <w:sz w:val="24"/>
        </w:rPr>
        <w:t>Ⅰ级区域“五通一平”（通供水，通排水，通电，通讯，通路，宗地内场平）；Ⅱ级区域“三通”（通电，通讯，通路）。</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 = 5 \* GB3 </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lang w:val="en-US" w:eastAsia="zh-CN"/>
        </w:rPr>
        <w:t>⑤</w:t>
      </w:r>
      <w:r>
        <w:rPr>
          <w:rFonts w:ascii="Times New Roman" w:hAnsi="Times New Roman" w:eastAsia="方正仿宋_GBK" w:cs="Times New Roman"/>
          <w:sz w:val="24"/>
          <w:szCs w:val="24"/>
        </w:rPr>
        <w:fldChar w:fldCharType="end"/>
      </w:r>
      <w:r>
        <w:rPr>
          <w:rFonts w:ascii="Times New Roman" w:hAnsi="Times New Roman" w:eastAsia="方正仿宋_GBK" w:cs="Times New Roman"/>
          <w:sz w:val="24"/>
          <w:szCs w:val="24"/>
        </w:rPr>
        <w:t>容积率</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rPr>
        <w:t>江川区中心城区</w:t>
      </w:r>
      <w:r>
        <w:rPr>
          <w:rFonts w:ascii="Times New Roman" w:hAnsi="Times New Roman" w:eastAsia="方正仿宋_GBK" w:cs="Times New Roman"/>
          <w:spacing w:val="5"/>
          <w:sz w:val="24"/>
          <w:lang w:val="en-US"/>
        </w:rPr>
        <w:t>：</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lang w:val="en-US"/>
        </w:rPr>
        <w:t>商服用地平均容积率：1.8</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lang w:val="en-US"/>
        </w:rPr>
        <w:t>住宅用地平均容积率：2.0</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lang w:val="en-US"/>
        </w:rPr>
        <w:t>工矿仓储用地平均容积率：1.0</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lang w:val="en-US"/>
        </w:rPr>
        <w:t>公共管理与公共服务用地平均容积率：1.8</w:t>
      </w:r>
    </w:p>
    <w:p>
      <w:pPr>
        <w:pStyle w:val="9"/>
        <w:spacing w:line="360" w:lineRule="auto"/>
        <w:rPr>
          <w:rFonts w:ascii="Times New Roman" w:hAnsi="Times New Roman" w:eastAsia="方正仿宋_GBK" w:cs="Times New Roman"/>
          <w:bCs/>
          <w:spacing w:val="16"/>
          <w:sz w:val="24"/>
          <w:szCs w:val="24"/>
          <w:lang w:val="en-US"/>
        </w:rPr>
      </w:pPr>
      <w:r>
        <w:rPr>
          <w:rFonts w:ascii="Times New Roman" w:hAnsi="Times New Roman" w:eastAsia="方正仿宋_GBK" w:cs="Times New Roman"/>
          <w:bCs/>
          <w:spacing w:val="16"/>
          <w:sz w:val="24"/>
          <w:szCs w:val="24"/>
          <w:lang w:val="en-US"/>
        </w:rPr>
        <w:t>江川工业园区（玉溪市高新区龙泉片区）、江城镇、九溪镇、前卫镇、雄关乡集镇规划区：</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lang w:val="en-US"/>
        </w:rPr>
        <w:t>商服用地平均容积率：1.4</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lang w:val="en-US"/>
        </w:rPr>
        <w:t>住宅用地平均容积率：1.2</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lang w:val="en-US"/>
        </w:rPr>
        <w:t>工矿仓储用地平均容积率：1.0</w:t>
      </w:r>
    </w:p>
    <w:p>
      <w:pPr>
        <w:pStyle w:val="9"/>
        <w:spacing w:line="360" w:lineRule="auto"/>
        <w:ind w:firstLine="250" w:firstLineChars="100"/>
        <w:rPr>
          <w:rFonts w:ascii="Times New Roman" w:hAnsi="Times New Roman" w:eastAsia="方正仿宋_GBK" w:cs="Times New Roman"/>
          <w:spacing w:val="5"/>
          <w:sz w:val="24"/>
          <w:lang w:val="en-US"/>
        </w:rPr>
      </w:pPr>
      <w:r>
        <w:rPr>
          <w:rFonts w:ascii="Times New Roman" w:hAnsi="Times New Roman" w:eastAsia="方正仿宋_GBK" w:cs="Times New Roman"/>
          <w:spacing w:val="5"/>
          <w:sz w:val="24"/>
          <w:lang w:val="en-US"/>
        </w:rPr>
        <w:t>公共管理与公共服务用地平均容积率：1.2</w:t>
      </w:r>
    </w:p>
    <w:p>
      <w:pPr>
        <w:pStyle w:val="9"/>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fldChar w:fldCharType="begin"/>
      </w:r>
      <w:r>
        <w:rPr>
          <w:rFonts w:ascii="Times New Roman" w:hAnsi="Times New Roman" w:eastAsia="方正仿宋_GBK" w:cs="Times New Roman"/>
          <w:sz w:val="24"/>
          <w:szCs w:val="24"/>
        </w:rPr>
        <w:instrText xml:space="preserve"> = 6 \* GB3 </w:instrText>
      </w:r>
      <w:r>
        <w:rPr>
          <w:rFonts w:ascii="Times New Roman" w:hAnsi="Times New Roman" w:eastAsia="方正仿宋_GBK" w:cs="Times New Roman"/>
          <w:sz w:val="24"/>
          <w:szCs w:val="24"/>
        </w:rPr>
        <w:fldChar w:fldCharType="separate"/>
      </w:r>
      <w:r>
        <w:rPr>
          <w:rFonts w:ascii="Times New Roman" w:hAnsi="Times New Roman" w:eastAsia="方正仿宋_GBK" w:cs="Times New Roman"/>
          <w:sz w:val="24"/>
          <w:szCs w:val="24"/>
          <w:lang w:val="en-US" w:eastAsia="zh-CN"/>
        </w:rPr>
        <w:t>⑥</w:t>
      </w:r>
      <w:r>
        <w:rPr>
          <w:rFonts w:ascii="Times New Roman" w:hAnsi="Times New Roman" w:eastAsia="方正仿宋_GBK" w:cs="Times New Roman"/>
          <w:sz w:val="24"/>
          <w:szCs w:val="24"/>
        </w:rPr>
        <w:fldChar w:fldCharType="end"/>
      </w:r>
      <w:r>
        <w:rPr>
          <w:rFonts w:ascii="Times New Roman" w:hAnsi="Times New Roman" w:eastAsia="方正仿宋_GBK" w:cs="Times New Roman"/>
          <w:sz w:val="24"/>
          <w:szCs w:val="24"/>
        </w:rPr>
        <w:t>土地利用状况</w:t>
      </w:r>
    </w:p>
    <w:p>
      <w:pPr>
        <w:pStyle w:val="9"/>
        <w:ind w:firstLine="500" w:firstLineChars="200"/>
        <w:rPr>
          <w:rFonts w:ascii="Times New Roman" w:hAnsi="Times New Roman" w:eastAsia="方正仿宋_GBK" w:cs="Times New Roman"/>
          <w:spacing w:val="5"/>
          <w:sz w:val="24"/>
          <w:szCs w:val="24"/>
        </w:rPr>
      </w:pPr>
      <w:r>
        <w:rPr>
          <w:rFonts w:ascii="Times New Roman" w:hAnsi="Times New Roman" w:eastAsia="方正仿宋_GBK" w:cs="Times New Roman"/>
          <w:spacing w:val="5"/>
          <w:sz w:val="24"/>
          <w:szCs w:val="24"/>
        </w:rPr>
        <w:t>有偿使用（出让，租赁，作价入股），无他项权利限制下的土地使用权价格。</w:t>
      </w:r>
    </w:p>
    <w:p>
      <w:pPr>
        <w:pStyle w:val="4"/>
        <w:spacing w:line="240" w:lineRule="auto"/>
        <w:rPr>
          <w:rFonts w:ascii="Times New Roman" w:eastAsia="方正仿宋_GBK"/>
          <w:b w:val="0"/>
          <w:sz w:val="24"/>
          <w:szCs w:val="24"/>
        </w:rPr>
      </w:pPr>
      <w:bookmarkStart w:id="8" w:name="_Toc50624961"/>
      <w:r>
        <w:rPr>
          <w:rFonts w:ascii="Times New Roman" w:eastAsia="方正仿宋_GBK"/>
          <w:b w:val="0"/>
          <w:sz w:val="24"/>
          <w:szCs w:val="24"/>
        </w:rPr>
        <w:t>(3)土地定级</w:t>
      </w:r>
      <w:bookmarkEnd w:id="8"/>
    </w:p>
    <w:p>
      <w:pPr>
        <w:pStyle w:val="9"/>
        <w:tabs>
          <w:tab w:val="center" w:pos="4352"/>
        </w:tabs>
        <w:spacing w:line="360" w:lineRule="auto"/>
        <w:ind w:firstLine="595" w:firstLineChars="248"/>
        <w:jc w:val="both"/>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fldChar w:fldCharType="begin"/>
      </w:r>
      <w:r>
        <w:rPr>
          <w:rFonts w:ascii="Times New Roman" w:hAnsi="Times New Roman" w:eastAsia="方正仿宋_GBK" w:cs="Times New Roman"/>
          <w:bCs/>
          <w:sz w:val="24"/>
          <w:szCs w:val="24"/>
        </w:rPr>
        <w:instrText xml:space="preserve"> = 1 \* GB3 </w:instrText>
      </w:r>
      <w:r>
        <w:rPr>
          <w:rFonts w:ascii="Times New Roman" w:hAnsi="Times New Roman" w:eastAsia="方正仿宋_GBK" w:cs="Times New Roman"/>
          <w:bCs/>
          <w:sz w:val="24"/>
          <w:szCs w:val="24"/>
        </w:rPr>
        <w:fldChar w:fldCharType="separate"/>
      </w:r>
      <w:r>
        <w:rPr>
          <w:rFonts w:ascii="Times New Roman" w:hAnsi="Times New Roman" w:eastAsia="方正仿宋_GBK" w:cs="Times New Roman"/>
          <w:bCs/>
          <w:sz w:val="24"/>
          <w:szCs w:val="24"/>
          <w:lang w:val="en-US" w:eastAsia="zh-CN"/>
        </w:rPr>
        <w:t>①</w:t>
      </w:r>
      <w:r>
        <w:rPr>
          <w:rFonts w:ascii="Times New Roman" w:hAnsi="Times New Roman" w:eastAsia="方正仿宋_GBK" w:cs="Times New Roman"/>
          <w:bCs/>
          <w:sz w:val="24"/>
          <w:szCs w:val="24"/>
        </w:rPr>
        <w:fldChar w:fldCharType="end"/>
      </w:r>
      <w:r>
        <w:rPr>
          <w:rFonts w:ascii="Times New Roman" w:hAnsi="Times New Roman" w:eastAsia="方正仿宋_GBK" w:cs="Times New Roman"/>
          <w:bCs/>
          <w:sz w:val="24"/>
          <w:szCs w:val="24"/>
        </w:rPr>
        <w:t>土地定级因素选择及各因素权重的确定</w:t>
      </w:r>
    </w:p>
    <w:p>
      <w:pPr>
        <w:spacing w:line="360" w:lineRule="auto"/>
        <w:ind w:firstLine="480" w:firstLineChars="200"/>
        <w:rPr>
          <w:rFonts w:ascii="Times New Roman" w:eastAsia="方正仿宋_GBK"/>
          <w:sz w:val="24"/>
        </w:rPr>
      </w:pPr>
      <w:r>
        <w:rPr>
          <w:rFonts w:ascii="Times New Roman" w:eastAsia="方正仿宋_GBK"/>
          <w:sz w:val="24"/>
        </w:rPr>
        <w:t>根据《城镇土地分等定级规程》规定，“城镇土地定级有综合定级和分类定级两种类型。综合定级指对影响城镇土地质量的各种经济、社会、自然因素进行综合分析，按综合评价值的差异划分土地级。分类定级指分别对影响城镇某类型用地质量的各种经济、社会、自然因素进行分析，按分类评价值的差异划分土地级；分类定级包括商服用地定级、住宅用地定级、工矿仓储用地定级等”。“城县非农业人口五十万以上的大城市，宜进行综合定级和分类定级，其它城镇宜进行综合定级，必要时可同时进行分类定级”。根据江川区中心城区实际情况及有关部门要求，在此次更新中，我们对江川区中心城区商服、住宅、公共管理与公共服务用地进行综合定级，对江川区中心城区工矿仓储用地进行分类定级。</w:t>
      </w:r>
      <w:r>
        <w:rPr>
          <w:rFonts w:ascii="Times New Roman" w:eastAsia="方正仿宋_GBK"/>
          <w:bCs/>
          <w:spacing w:val="16"/>
          <w:kern w:val="2"/>
          <w:sz w:val="24"/>
          <w:szCs w:val="24"/>
        </w:rPr>
        <w:t>江川工业园区（玉溪市高新区龙泉片区）、江城镇、九溪镇、前卫镇、雄关乡</w:t>
      </w:r>
      <w:r>
        <w:rPr>
          <w:rFonts w:ascii="Times New Roman" w:eastAsia="方正仿宋_GBK"/>
          <w:spacing w:val="5"/>
          <w:sz w:val="24"/>
        </w:rPr>
        <w:t>集镇规划区进行综合定级。</w:t>
      </w:r>
    </w:p>
    <w:p>
      <w:pPr>
        <w:spacing w:line="360" w:lineRule="auto"/>
        <w:ind w:firstLine="480" w:firstLineChars="200"/>
        <w:rPr>
          <w:rFonts w:ascii="Times New Roman" w:eastAsia="方正仿宋_GBK"/>
          <w:sz w:val="24"/>
        </w:rPr>
      </w:pPr>
      <w:r>
        <w:rPr>
          <w:rFonts w:ascii="Times New Roman" w:eastAsia="方正仿宋_GBK"/>
          <w:sz w:val="24"/>
        </w:rPr>
        <w:t>权重的确定方法主要有德尔菲测定法、因素成对比较法和层次分析法。我们确定采用德尔菲测定法来确定江川区中心城区、</w:t>
      </w:r>
      <w:r>
        <w:rPr>
          <w:rFonts w:ascii="Times New Roman" w:eastAsia="方正仿宋_GBK"/>
          <w:bCs/>
          <w:spacing w:val="16"/>
          <w:kern w:val="2"/>
          <w:sz w:val="24"/>
          <w:szCs w:val="24"/>
        </w:rPr>
        <w:t>江川工业园区（玉溪市高新区龙泉片区）、江城镇、九溪镇、前卫镇、雄关乡</w:t>
      </w:r>
      <w:r>
        <w:rPr>
          <w:rFonts w:ascii="Times New Roman" w:eastAsia="方正仿宋_GBK"/>
          <w:sz w:val="24"/>
        </w:rPr>
        <w:t>土地定级因素的权重。</w:t>
      </w:r>
    </w:p>
    <w:p>
      <w:pPr>
        <w:pStyle w:val="4"/>
        <w:spacing w:line="240" w:lineRule="auto"/>
        <w:rPr>
          <w:rFonts w:ascii="Times New Roman" w:eastAsia="方正仿宋_GBK"/>
          <w:b w:val="0"/>
          <w:sz w:val="24"/>
          <w:szCs w:val="24"/>
        </w:rPr>
      </w:pPr>
      <w:bookmarkStart w:id="9" w:name="_Toc50624962"/>
      <w:r>
        <w:rPr>
          <w:rFonts w:ascii="Times New Roman" w:eastAsia="方正仿宋_GBK"/>
          <w:b w:val="0"/>
          <w:sz w:val="24"/>
          <w:szCs w:val="24"/>
        </w:rPr>
        <w:t>(4)土地估价</w:t>
      </w:r>
      <w:bookmarkEnd w:id="9"/>
    </w:p>
    <w:p>
      <w:pPr>
        <w:pStyle w:val="9"/>
        <w:tabs>
          <w:tab w:val="center" w:pos="4352"/>
        </w:tabs>
        <w:spacing w:line="360" w:lineRule="auto"/>
        <w:ind w:firstLine="470" w:firstLineChars="196"/>
        <w:jc w:val="both"/>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fldChar w:fldCharType="begin"/>
      </w:r>
      <w:r>
        <w:rPr>
          <w:rFonts w:ascii="Times New Roman" w:hAnsi="Times New Roman" w:eastAsia="方正仿宋_GBK" w:cs="Times New Roman"/>
          <w:bCs/>
          <w:sz w:val="24"/>
          <w:szCs w:val="24"/>
        </w:rPr>
        <w:instrText xml:space="preserve"> = 1 \* GB3 </w:instrText>
      </w:r>
      <w:r>
        <w:rPr>
          <w:rFonts w:ascii="Times New Roman" w:hAnsi="Times New Roman" w:eastAsia="方正仿宋_GBK" w:cs="Times New Roman"/>
          <w:bCs/>
          <w:sz w:val="24"/>
          <w:szCs w:val="24"/>
        </w:rPr>
        <w:fldChar w:fldCharType="separate"/>
      </w:r>
      <w:r>
        <w:rPr>
          <w:rFonts w:ascii="Times New Roman" w:hAnsi="Times New Roman" w:eastAsia="方正仿宋_GBK" w:cs="Times New Roman"/>
          <w:bCs/>
          <w:sz w:val="24"/>
          <w:szCs w:val="24"/>
          <w:lang w:val="en-US" w:eastAsia="zh-CN"/>
        </w:rPr>
        <w:t>①</w:t>
      </w:r>
      <w:r>
        <w:rPr>
          <w:rFonts w:ascii="Times New Roman" w:hAnsi="Times New Roman" w:eastAsia="方正仿宋_GBK" w:cs="Times New Roman"/>
          <w:bCs/>
          <w:sz w:val="24"/>
          <w:szCs w:val="24"/>
        </w:rPr>
        <w:fldChar w:fldCharType="end"/>
      </w:r>
      <w:r>
        <w:rPr>
          <w:rFonts w:ascii="Times New Roman" w:hAnsi="Times New Roman" w:eastAsia="方正仿宋_GBK" w:cs="Times New Roman"/>
          <w:bCs/>
          <w:sz w:val="24"/>
          <w:szCs w:val="24"/>
        </w:rPr>
        <w:t>江川区中心城区、</w:t>
      </w:r>
      <w:r>
        <w:rPr>
          <w:rFonts w:ascii="Times New Roman" w:hAnsi="Times New Roman" w:eastAsia="方正仿宋_GBK" w:cs="Times New Roman"/>
          <w:bCs/>
          <w:spacing w:val="16"/>
          <w:sz w:val="24"/>
          <w:szCs w:val="24"/>
          <w:lang w:val="en-US"/>
        </w:rPr>
        <w:t>江城镇、九溪镇、前卫镇、雄关乡</w:t>
      </w:r>
      <w:r>
        <w:rPr>
          <w:rFonts w:ascii="Times New Roman" w:hAnsi="Times New Roman" w:eastAsia="方正仿宋_GBK" w:cs="Times New Roman"/>
          <w:sz w:val="24"/>
        </w:rPr>
        <w:t>集镇规划区</w:t>
      </w:r>
      <w:r>
        <w:rPr>
          <w:rFonts w:ascii="Times New Roman" w:hAnsi="Times New Roman" w:eastAsia="方正仿宋_GBK" w:cs="Times New Roman"/>
          <w:bCs/>
          <w:sz w:val="24"/>
          <w:szCs w:val="24"/>
        </w:rPr>
        <w:t>商服用地基准地价的测算</w:t>
      </w:r>
    </w:p>
    <w:p>
      <w:pPr>
        <w:spacing w:line="360" w:lineRule="auto"/>
        <w:ind w:firstLine="480" w:firstLineChars="200"/>
        <w:rPr>
          <w:rFonts w:ascii="Times New Roman" w:eastAsia="方正仿宋_GBK"/>
          <w:sz w:val="24"/>
        </w:rPr>
      </w:pPr>
      <w:r>
        <w:rPr>
          <w:rFonts w:ascii="Times New Roman" w:eastAsia="方正仿宋_GBK"/>
          <w:sz w:val="24"/>
        </w:rPr>
        <w:t>针对江川区中心城区、</w:t>
      </w:r>
      <w:r>
        <w:rPr>
          <w:rFonts w:ascii="Times New Roman" w:eastAsia="方正仿宋_GBK"/>
          <w:bCs/>
          <w:spacing w:val="16"/>
          <w:kern w:val="2"/>
          <w:sz w:val="24"/>
          <w:szCs w:val="24"/>
        </w:rPr>
        <w:t>江城镇、九溪镇、前卫镇、雄关乡</w:t>
      </w:r>
      <w:r>
        <w:rPr>
          <w:rFonts w:ascii="Times New Roman" w:eastAsia="方正仿宋_GBK"/>
          <w:sz w:val="24"/>
        </w:rPr>
        <w:t>铺面出租资料，会同有关部门进行了认真的校核、整理、分析、综合，剔除了数据不全的、存在问题的异常样本。</w:t>
      </w:r>
    </w:p>
    <w:p>
      <w:pPr>
        <w:spacing w:line="360" w:lineRule="auto"/>
        <w:ind w:firstLine="480" w:firstLineChars="200"/>
        <w:rPr>
          <w:rFonts w:ascii="Times New Roman" w:eastAsia="方正仿宋_GBK"/>
          <w:sz w:val="24"/>
        </w:rPr>
      </w:pPr>
      <w:r>
        <w:rPr>
          <w:rFonts w:ascii="Times New Roman" w:eastAsia="方正仿宋_GBK"/>
          <w:sz w:val="24"/>
        </w:rPr>
        <w:t xml:space="preserve"> 利用出租样点测算江川区中心城区Ⅰ-Ⅱ级商服用地基准地价以及</w:t>
      </w:r>
      <w:r>
        <w:rPr>
          <w:rFonts w:ascii="Times New Roman" w:eastAsia="方正仿宋_GBK"/>
          <w:bCs/>
          <w:spacing w:val="16"/>
          <w:kern w:val="2"/>
          <w:sz w:val="24"/>
          <w:szCs w:val="24"/>
        </w:rPr>
        <w:t>江城镇、九溪镇、前卫镇、雄关乡</w:t>
      </w:r>
      <w:r>
        <w:rPr>
          <w:rFonts w:ascii="Times New Roman" w:eastAsia="方正仿宋_GBK"/>
          <w:sz w:val="24"/>
        </w:rPr>
        <w:t>集镇规划区Ⅰ级商服用地基准地价。</w:t>
      </w:r>
    </w:p>
    <w:p>
      <w:pPr>
        <w:pStyle w:val="9"/>
        <w:spacing w:line="360" w:lineRule="auto"/>
        <w:ind w:firstLine="482"/>
        <w:jc w:val="both"/>
        <w:rPr>
          <w:rFonts w:ascii="Times New Roman" w:hAnsi="Times New Roman" w:eastAsia="方正仿宋_GBK" w:cs="Times New Roman"/>
          <w:spacing w:val="5"/>
          <w:sz w:val="24"/>
        </w:rPr>
      </w:pPr>
      <w:r>
        <w:rPr>
          <w:rFonts w:ascii="Times New Roman" w:hAnsi="Times New Roman" w:eastAsia="方正仿宋_GBK" w:cs="Times New Roman"/>
          <w:spacing w:val="5"/>
          <w:sz w:val="24"/>
        </w:rPr>
        <w:t>利用指数模型来测算其他土地级和土地区段的商服用地基准地价。这种模型测算地价的步骤是：</w:t>
      </w:r>
    </w:p>
    <w:p>
      <w:pPr>
        <w:pStyle w:val="9"/>
        <w:spacing w:line="360" w:lineRule="auto"/>
        <w:ind w:firstLine="482"/>
        <w:jc w:val="both"/>
        <w:rPr>
          <w:rFonts w:ascii="Times New Roman" w:hAnsi="Times New Roman" w:eastAsia="方正仿宋_GBK" w:cs="Times New Roman"/>
          <w:spacing w:val="5"/>
          <w:sz w:val="24"/>
        </w:rPr>
      </w:pPr>
      <w:r>
        <w:rPr>
          <w:rFonts w:ascii="Times New Roman" w:hAnsi="Times New Roman" w:eastAsia="方正仿宋_GBK" w:cs="Times New Roman"/>
          <w:spacing w:val="5"/>
          <w:sz w:val="24"/>
        </w:rPr>
        <w:t>第一步：根据土地定级和租赁样点土地收益测算的成果，确定各土地级、土地区段的平均单元总分值、样点平均土地收益、土地质量指数；</w:t>
      </w:r>
    </w:p>
    <w:p>
      <w:pPr>
        <w:pStyle w:val="9"/>
        <w:spacing w:line="360" w:lineRule="auto"/>
        <w:ind w:firstLine="482"/>
        <w:jc w:val="both"/>
        <w:rPr>
          <w:rFonts w:ascii="Times New Roman" w:hAnsi="Times New Roman" w:eastAsia="方正仿宋_GBK" w:cs="Times New Roman"/>
          <w:spacing w:val="5"/>
          <w:sz w:val="24"/>
        </w:rPr>
      </w:pPr>
      <w:r>
        <w:rPr>
          <w:rFonts w:ascii="Times New Roman" w:hAnsi="Times New Roman" w:eastAsia="方正仿宋_GBK" w:cs="Times New Roman"/>
          <w:spacing w:val="5"/>
          <w:sz w:val="24"/>
        </w:rPr>
        <w:t>第二步：将土地级、土地区段的样点平均土地收益(Y</w:t>
      </w:r>
      <w:r>
        <w:rPr>
          <w:rFonts w:ascii="Times New Roman" w:hAnsi="Times New Roman" w:eastAsia="方正仿宋_GBK" w:cs="Times New Roman"/>
          <w:spacing w:val="5"/>
          <w:sz w:val="24"/>
          <w:vertAlign w:val="subscript"/>
        </w:rPr>
        <w:t>ｎ</w:t>
      </w:r>
      <w:r>
        <w:rPr>
          <w:rFonts w:ascii="Times New Roman" w:hAnsi="Times New Roman" w:eastAsia="方正仿宋_GBK" w:cs="Times New Roman"/>
          <w:spacing w:val="5"/>
          <w:sz w:val="24"/>
        </w:rPr>
        <w:t>)和土地质量指数(X</w:t>
      </w:r>
      <w:r>
        <w:rPr>
          <w:rFonts w:ascii="Times New Roman" w:hAnsi="Times New Roman" w:eastAsia="方正仿宋_GBK" w:cs="Times New Roman"/>
          <w:spacing w:val="5"/>
          <w:sz w:val="24"/>
          <w:vertAlign w:val="subscript"/>
        </w:rPr>
        <w:t>iｎ</w:t>
      </w:r>
      <w:r>
        <w:rPr>
          <w:rFonts w:ascii="Times New Roman" w:hAnsi="Times New Roman" w:eastAsia="方正仿宋_GBK" w:cs="Times New Roman"/>
          <w:spacing w:val="5"/>
          <w:sz w:val="24"/>
        </w:rPr>
        <w:t>)，代入指数模型，利用回归方法，求解出常数Ａ和土地收益级差系数(ｒ)；</w:t>
      </w:r>
    </w:p>
    <w:p>
      <w:pPr>
        <w:pStyle w:val="9"/>
        <w:spacing w:line="360" w:lineRule="auto"/>
        <w:ind w:firstLine="482"/>
        <w:jc w:val="both"/>
        <w:rPr>
          <w:rFonts w:ascii="Times New Roman" w:hAnsi="Times New Roman" w:eastAsia="方正仿宋_GBK" w:cs="Times New Roman"/>
          <w:spacing w:val="5"/>
          <w:sz w:val="24"/>
        </w:rPr>
      </w:pPr>
      <w:r>
        <w:rPr>
          <w:rFonts w:ascii="Times New Roman" w:hAnsi="Times New Roman" w:eastAsia="方正仿宋_GBK" w:cs="Times New Roman"/>
          <w:spacing w:val="5"/>
          <w:sz w:val="24"/>
        </w:rPr>
        <w:t>第三步：对求解出的参数值(Ａ、ｒ)进行经济意义和相关性检验；</w:t>
      </w:r>
    </w:p>
    <w:p>
      <w:pPr>
        <w:pStyle w:val="9"/>
        <w:spacing w:line="360" w:lineRule="auto"/>
        <w:ind w:firstLine="482"/>
        <w:jc w:val="both"/>
        <w:rPr>
          <w:rFonts w:ascii="Times New Roman" w:hAnsi="Times New Roman" w:eastAsia="方正仿宋_GBK" w:cs="Times New Roman"/>
          <w:spacing w:val="5"/>
          <w:sz w:val="24"/>
        </w:rPr>
      </w:pPr>
      <w:r>
        <w:rPr>
          <w:rFonts w:ascii="Times New Roman" w:hAnsi="Times New Roman" w:eastAsia="方正仿宋_GBK" w:cs="Times New Roman"/>
          <w:spacing w:val="5"/>
          <w:sz w:val="24"/>
        </w:rPr>
        <w:t>第四步：利用经检验合格的参数(Ａ、ｒ)写出测算收益的回归方程，将各土地级、土地区段的土地质量指数代入模型，计算出各土地级、土地区段的土地收益预测值；</w:t>
      </w:r>
    </w:p>
    <w:p>
      <w:pPr>
        <w:pStyle w:val="9"/>
        <w:spacing w:line="360" w:lineRule="auto"/>
        <w:ind w:firstLine="482"/>
        <w:jc w:val="both"/>
        <w:rPr>
          <w:rFonts w:ascii="Times New Roman" w:hAnsi="Times New Roman" w:eastAsia="方正仿宋_GBK" w:cs="Times New Roman"/>
          <w:spacing w:val="5"/>
          <w:sz w:val="24"/>
        </w:rPr>
      </w:pPr>
      <w:r>
        <w:rPr>
          <w:rFonts w:ascii="Times New Roman" w:hAnsi="Times New Roman" w:eastAsia="方正仿宋_GBK" w:cs="Times New Roman"/>
          <w:spacing w:val="5"/>
          <w:sz w:val="24"/>
        </w:rPr>
        <w:t>第五步：根据土地还原率和最高出让年限，计算出各土地级、土地区段的商服用地所有权地价和最高年期使用权出让地价。</w:t>
      </w:r>
    </w:p>
    <w:p>
      <w:pPr>
        <w:spacing w:line="360" w:lineRule="auto"/>
        <w:ind w:firstLine="500" w:firstLineChars="200"/>
        <w:rPr>
          <w:rFonts w:ascii="Times New Roman" w:eastAsia="方正仿宋_GBK"/>
          <w:sz w:val="24"/>
        </w:rPr>
      </w:pPr>
      <w:r>
        <w:rPr>
          <w:rFonts w:ascii="Times New Roman" w:eastAsia="方正仿宋_GBK"/>
          <w:spacing w:val="5"/>
          <w:sz w:val="24"/>
          <w:lang w:val="en-GB"/>
        </w:rPr>
        <w:t>②江川区中心城区、</w:t>
      </w:r>
      <w:r>
        <w:rPr>
          <w:rFonts w:ascii="Times New Roman" w:eastAsia="方正仿宋_GBK"/>
          <w:bCs/>
          <w:spacing w:val="16"/>
          <w:kern w:val="2"/>
          <w:sz w:val="24"/>
          <w:szCs w:val="24"/>
        </w:rPr>
        <w:t>江城镇、九溪镇、前卫镇、雄关乡</w:t>
      </w:r>
      <w:r>
        <w:rPr>
          <w:rFonts w:ascii="Times New Roman" w:eastAsia="方正仿宋_GBK"/>
          <w:sz w:val="24"/>
        </w:rPr>
        <w:t>集镇规划区住宅用地基准地价的测算</w:t>
      </w:r>
    </w:p>
    <w:p>
      <w:pPr>
        <w:spacing w:line="360" w:lineRule="auto"/>
        <w:ind w:firstLine="480" w:firstLineChars="200"/>
        <w:rPr>
          <w:rFonts w:ascii="Times New Roman" w:eastAsia="方正仿宋_GBK"/>
          <w:sz w:val="24"/>
        </w:rPr>
      </w:pPr>
      <w:r>
        <w:rPr>
          <w:rFonts w:ascii="Times New Roman" w:eastAsia="方正仿宋_GBK"/>
          <w:sz w:val="24"/>
        </w:rPr>
        <w:t>（1）Ⅰ-Ⅱ住宅用地基准地价可利用房屋买卖、商品房出售、土地使用权出让、转让等土地交易资料进行测算。从江川区中心城区外业资料收集的实际情况来看，主要有土地使用权出让资料。将所有的样点资料分别进行编号，在工作底图上标注其位置，在“CPR城镇土地定级估价信息系统”软件中，自动检索样本所在的土地级。利用样点地价平均法测算住宅用地基准地价。</w:t>
      </w:r>
    </w:p>
    <w:p>
      <w:pPr>
        <w:spacing w:line="360" w:lineRule="auto"/>
        <w:ind w:firstLine="480" w:firstLineChars="200"/>
        <w:rPr>
          <w:rFonts w:ascii="Times New Roman" w:eastAsia="方正仿宋_GBK"/>
          <w:sz w:val="24"/>
        </w:rPr>
      </w:pPr>
      <w:r>
        <w:rPr>
          <w:rFonts w:ascii="Times New Roman" w:eastAsia="方正仿宋_GBK"/>
          <w:sz w:val="24"/>
        </w:rPr>
        <w:t>而Ⅲ-Ⅳ级由于分布在城市近郊区，没有相关的交易案例，但定级单元格分值反映了土地质量的差异，单元格分值与地价存在某种规律。样点地价与所在定级单元作用分存在一定的关系，将样点所在定级单元的地价与分值进行匹配，进行单元综合分值与单元内样点地价平均值进行回归分析。</w:t>
      </w:r>
    </w:p>
    <w:p>
      <w:pPr>
        <w:spacing w:line="360" w:lineRule="auto"/>
        <w:ind w:firstLine="480" w:firstLineChars="200"/>
        <w:rPr>
          <w:rFonts w:ascii="Times New Roman" w:eastAsia="方正仿宋_GBK"/>
          <w:sz w:val="24"/>
        </w:rPr>
      </w:pPr>
      <w:r>
        <w:rPr>
          <w:rFonts w:ascii="Times New Roman" w:eastAsia="方正仿宋_GBK"/>
          <w:sz w:val="24"/>
        </w:rPr>
        <w:t xml:space="preserve">《城镇土地估价规程》推荐指数模型、多元线性模型、生产函数模型、分级回归模型、算术平均模型进行地价与土地条件的关系予以确定。在这五个模型之中，指数模型主要适用于地价或土地收益和土地级别已知的情况下测算基准地价。 </w:t>
      </w:r>
    </w:p>
    <w:p>
      <w:pPr>
        <w:spacing w:line="360" w:lineRule="auto"/>
        <w:ind w:firstLine="480" w:firstLineChars="200"/>
        <w:rPr>
          <w:rFonts w:ascii="Times New Roman" w:eastAsia="方正仿宋_GBK"/>
          <w:sz w:val="24"/>
        </w:rPr>
      </w:pPr>
      <w:r>
        <w:rPr>
          <w:rFonts w:ascii="Times New Roman" w:eastAsia="方正仿宋_GBK"/>
          <w:sz w:val="24"/>
        </w:rPr>
        <w:t>通过反复试算，采用多种模型拟合，由此建立样点地价与单元格分值的公式。测算其它级别基准地价。</w:t>
      </w:r>
    </w:p>
    <w:p>
      <w:pPr>
        <w:spacing w:line="360" w:lineRule="auto"/>
        <w:ind w:firstLine="480" w:firstLineChars="200"/>
        <w:rPr>
          <w:rFonts w:ascii="Times New Roman" w:eastAsia="方正仿宋_GBK"/>
          <w:sz w:val="24"/>
        </w:rPr>
      </w:pPr>
      <w:r>
        <w:rPr>
          <w:rFonts w:ascii="Times New Roman" w:eastAsia="方正仿宋_GBK"/>
          <w:sz w:val="24"/>
        </w:rPr>
        <w:t>2）江城镇、九溪镇、前卫镇、雄关乡住宅用地基准地价的测算：</w:t>
      </w:r>
    </w:p>
    <w:p>
      <w:pPr>
        <w:spacing w:line="360" w:lineRule="auto"/>
        <w:ind w:firstLine="480" w:firstLineChars="200"/>
        <w:rPr>
          <w:rFonts w:ascii="Times New Roman" w:eastAsia="方正仿宋_GBK"/>
          <w:sz w:val="24"/>
        </w:rPr>
      </w:pPr>
      <w:r>
        <w:rPr>
          <w:rFonts w:ascii="Times New Roman" w:eastAsia="方正仿宋_GBK"/>
          <w:sz w:val="24"/>
        </w:rPr>
        <w:t>住宅用地基准地价可利用房屋买卖、土地使用权出让等土地交易资料进行测算。从江城镇、九溪镇、前卫镇、雄关乡外业资料收集的实际情况来看上述资料较少。</w:t>
      </w:r>
    </w:p>
    <w:p>
      <w:pPr>
        <w:pStyle w:val="9"/>
        <w:spacing w:line="360" w:lineRule="auto"/>
        <w:ind w:firstLine="360" w:firstLineChars="150"/>
        <w:rPr>
          <w:rFonts w:ascii="Times New Roman" w:hAnsi="Times New Roman" w:eastAsia="方正仿宋_GBK" w:cs="Times New Roman"/>
          <w:sz w:val="24"/>
        </w:rPr>
      </w:pPr>
      <w:r>
        <w:rPr>
          <w:rFonts w:ascii="Times New Roman" w:hAnsi="Times New Roman" w:eastAsia="方正仿宋_GBK" w:cs="Times New Roman"/>
          <w:sz w:val="24"/>
        </w:rPr>
        <w:t>根据《城镇土地估价规程》4.5.4.1中第二条：没有交易价资料或交易价格资料较少、达不到估价规程测算要求的区域或级别的基准地价评估。</w:t>
      </w:r>
    </w:p>
    <w:p>
      <w:pPr>
        <w:spacing w:line="360" w:lineRule="auto"/>
        <w:ind w:firstLine="570"/>
        <w:rPr>
          <w:rFonts w:ascii="Times New Roman" w:eastAsia="方正仿宋_GBK"/>
          <w:sz w:val="24"/>
        </w:rPr>
      </w:pPr>
      <w:r>
        <w:rPr>
          <w:rFonts w:ascii="Times New Roman" w:eastAsia="方正仿宋_GBK"/>
          <w:sz w:val="24"/>
        </w:rPr>
        <w:t>缺乏交易资料的区域或级别，基准地价评估采用比较法、比例系数法或系数修正法进行。评估程序为：</w:t>
      </w:r>
    </w:p>
    <w:p>
      <w:pPr>
        <w:spacing w:line="360" w:lineRule="auto"/>
        <w:rPr>
          <w:rFonts w:ascii="Times New Roman" w:eastAsia="方正仿宋_GBK"/>
          <w:sz w:val="24"/>
        </w:rPr>
      </w:pPr>
      <w:r>
        <w:rPr>
          <w:rFonts w:ascii="Times New Roman" w:eastAsia="方正仿宋_GBK"/>
          <w:sz w:val="24"/>
        </w:rPr>
        <w:t xml:space="preserve">    A. 对已评估出基准地价的区域或级别，建立地价与影响价格的土地条件对照表；</w:t>
      </w:r>
    </w:p>
    <w:p>
      <w:pPr>
        <w:spacing w:line="360" w:lineRule="auto"/>
        <w:rPr>
          <w:rFonts w:ascii="Times New Roman" w:eastAsia="方正仿宋_GBK"/>
          <w:sz w:val="24"/>
        </w:rPr>
      </w:pPr>
      <w:r>
        <w:rPr>
          <w:rFonts w:ascii="Times New Roman" w:eastAsia="方正仿宋_GBK"/>
          <w:sz w:val="24"/>
        </w:rPr>
        <w:t xml:space="preserve">    B. 将没有交易资料或数量不足的区域或级别，进行土地条件调查和量化；</w:t>
      </w:r>
    </w:p>
    <w:p>
      <w:pPr>
        <w:spacing w:line="360" w:lineRule="auto"/>
        <w:rPr>
          <w:rFonts w:ascii="Times New Roman" w:eastAsia="方正仿宋_GBK"/>
          <w:sz w:val="24"/>
        </w:rPr>
      </w:pPr>
      <w:r>
        <w:rPr>
          <w:rFonts w:ascii="Times New Roman" w:eastAsia="方正仿宋_GBK"/>
          <w:sz w:val="24"/>
        </w:rPr>
        <w:t xml:space="preserve">    C. 比较待估价区域或级别同有地价区域或级别的接近程度，估算其基准地价；</w:t>
      </w:r>
    </w:p>
    <w:p>
      <w:pPr>
        <w:spacing w:line="360" w:lineRule="auto"/>
        <w:rPr>
          <w:rFonts w:ascii="Times New Roman" w:eastAsia="方正仿宋_GBK"/>
          <w:sz w:val="24"/>
        </w:rPr>
      </w:pPr>
      <w:r>
        <w:rPr>
          <w:rFonts w:ascii="Times New Roman" w:eastAsia="方正仿宋_GBK"/>
          <w:sz w:val="24"/>
        </w:rPr>
        <w:t xml:space="preserve">    D. 因素差异大的区域，在比较基础上，采用系数修订法估算区域基准地价；</w:t>
      </w:r>
    </w:p>
    <w:p>
      <w:pPr>
        <w:spacing w:line="360" w:lineRule="auto"/>
        <w:ind w:firstLine="480" w:firstLineChars="200"/>
        <w:rPr>
          <w:rFonts w:ascii="Times New Roman" w:eastAsia="方正仿宋_GBK"/>
          <w:sz w:val="24"/>
        </w:rPr>
      </w:pPr>
      <w:r>
        <w:rPr>
          <w:rFonts w:ascii="Times New Roman" w:eastAsia="方正仿宋_GBK"/>
          <w:sz w:val="24"/>
        </w:rPr>
        <w:t>E. 通过确定各种用途基准地价在不同区域或级别内的比例关系，估算出其它用途的基准地价。</w:t>
      </w:r>
    </w:p>
    <w:p>
      <w:pPr>
        <w:spacing w:line="360" w:lineRule="auto"/>
        <w:ind w:firstLine="480" w:firstLineChars="200"/>
        <w:rPr>
          <w:rFonts w:ascii="Times New Roman" w:eastAsia="方正仿宋_GBK"/>
          <w:sz w:val="24"/>
        </w:rPr>
      </w:pPr>
      <w:r>
        <w:rPr>
          <w:rFonts w:ascii="Times New Roman" w:eastAsia="方正仿宋_GBK"/>
          <w:sz w:val="24"/>
        </w:rPr>
        <w:t>样点少的区域以级别分值为依据评估基准地价。土地价格是土地使用价值的货币表现，而土地使用价值是土地各种条件的具体体现。土地条件好，土地使用价值高，土地价格相应高。在正常和完善的土地市场条件下，土地价格与土地使用价值保持相一致。所以，我们可以根据土地条件差异，采用比较法、系数修正法评估基准地价。对已评估出基准地价的级别，建立地价与影响地价的土地条件对照表；将没有交易资料或数量不足的级别，进行土地条件调查和量化；比较待估价级别同有地价级别的接近程度，采用系数修正法评估基准地价。</w:t>
      </w:r>
    </w:p>
    <w:p>
      <w:pPr>
        <w:spacing w:line="360" w:lineRule="auto"/>
        <w:ind w:firstLine="480" w:firstLineChars="200"/>
        <w:rPr>
          <w:rFonts w:ascii="Times New Roman" w:eastAsia="方正仿宋_GBK"/>
          <w:sz w:val="24"/>
        </w:rPr>
      </w:pPr>
      <w:r>
        <w:rPr>
          <w:rFonts w:ascii="Times New Roman" w:eastAsia="方正仿宋_GBK"/>
          <w:sz w:val="24"/>
        </w:rPr>
        <w:t>由于小城镇或集镇基准地价评估一般是先定级后估价，所以每一级别的平均分值即土地条件的差异情况，比较级别分值确定修正系数，从而评估出未知级别的基准地价。</w:t>
      </w:r>
    </w:p>
    <w:p>
      <w:pPr>
        <w:spacing w:line="360" w:lineRule="auto"/>
        <w:ind w:firstLine="480" w:firstLineChars="200"/>
        <w:rPr>
          <w:rFonts w:ascii="Times New Roman" w:eastAsia="方正仿宋_GBK"/>
          <w:sz w:val="24"/>
        </w:rPr>
      </w:pPr>
      <w:r>
        <w:rPr>
          <w:rFonts w:ascii="Times New Roman" w:eastAsia="方正仿宋_GBK"/>
          <w:sz w:val="24"/>
        </w:rPr>
        <w:t>江城镇、九溪镇、前卫镇、雄关乡集镇规划区采用成本法测算末级住宅用地基准地价。</w:t>
      </w:r>
    </w:p>
    <w:p>
      <w:pPr>
        <w:spacing w:line="360" w:lineRule="auto"/>
        <w:ind w:firstLine="480" w:firstLineChars="200"/>
        <w:rPr>
          <w:rFonts w:ascii="Times New Roman" w:eastAsia="方正仿宋_GBK"/>
          <w:sz w:val="24"/>
        </w:rPr>
      </w:pPr>
      <w:r>
        <w:rPr>
          <w:rFonts w:ascii="Times New Roman" w:eastAsia="方正仿宋_GBK"/>
          <w:sz w:val="24"/>
        </w:rPr>
        <w:t>成本逼近法所应用的基本原理是生产费用价值论及等量资本应获取等量收益的投资原理。</w:t>
      </w:r>
    </w:p>
    <w:p>
      <w:pPr>
        <w:spacing w:line="360" w:lineRule="auto"/>
        <w:ind w:firstLine="480" w:firstLineChars="200"/>
        <w:rPr>
          <w:rFonts w:ascii="Times New Roman" w:eastAsia="方正仿宋_GBK"/>
          <w:sz w:val="24"/>
        </w:rPr>
      </w:pPr>
      <w:r>
        <w:rPr>
          <w:rFonts w:ascii="Times New Roman" w:eastAsia="方正仿宋_GBK"/>
          <w:sz w:val="24"/>
        </w:rPr>
        <w:t>成本逼近法的计算公式</w:t>
      </w:r>
    </w:p>
    <w:p>
      <w:pPr>
        <w:pStyle w:val="9"/>
        <w:tabs>
          <w:tab w:val="center" w:pos="4352"/>
        </w:tabs>
        <w:spacing w:line="360" w:lineRule="auto"/>
        <w:ind w:firstLine="420" w:firstLineChars="200"/>
        <w:jc w:val="both"/>
        <w:rPr>
          <w:rFonts w:ascii="Times New Roman" w:hAnsi="Times New Roman" w:eastAsia="方正仿宋_GBK" w:cs="Times New Roman"/>
          <w:sz w:val="24"/>
        </w:rPr>
      </w:pPr>
      <w:r>
        <w:fldChar w:fldCharType="begin"/>
      </w:r>
      <w:r>
        <w:instrText xml:space="preserve"> HYPERLINK "http://baike.baidu.com/view/36566.htm" \t "_blank" </w:instrText>
      </w:r>
      <w:r>
        <w:fldChar w:fldCharType="separate"/>
      </w:r>
      <w:r>
        <w:rPr>
          <w:rFonts w:ascii="Times New Roman" w:hAnsi="Times New Roman" w:eastAsia="方正仿宋_GBK" w:cs="Times New Roman"/>
          <w:sz w:val="24"/>
        </w:rPr>
        <w:t>土地价格</w:t>
      </w:r>
      <w:r>
        <w:rPr>
          <w:rFonts w:ascii="Times New Roman" w:hAnsi="Times New Roman" w:eastAsia="方正仿宋_GBK" w:cs="Times New Roman"/>
          <w:sz w:val="24"/>
        </w:rPr>
        <w:fldChar w:fldCharType="end"/>
      </w:r>
      <w:r>
        <w:rPr>
          <w:rFonts w:ascii="Times New Roman" w:hAnsi="Times New Roman" w:eastAsia="方正仿宋_GBK" w:cs="Times New Roman"/>
          <w:sz w:val="24"/>
        </w:rPr>
        <w:t>=(土地取得费+</w:t>
      </w:r>
      <w:r>
        <w:fldChar w:fldCharType="begin"/>
      </w:r>
      <w:r>
        <w:instrText xml:space="preserve"> HYPERLINK "http://baike.baidu.com/view/36308.htm" \t "_blank" </w:instrText>
      </w:r>
      <w:r>
        <w:fldChar w:fldCharType="separate"/>
      </w:r>
      <w:r>
        <w:rPr>
          <w:rFonts w:ascii="Times New Roman" w:hAnsi="Times New Roman" w:eastAsia="方正仿宋_GBK" w:cs="Times New Roman"/>
          <w:sz w:val="24"/>
        </w:rPr>
        <w:t>土地开发</w:t>
      </w:r>
      <w:r>
        <w:rPr>
          <w:rFonts w:ascii="Times New Roman" w:hAnsi="Times New Roman" w:eastAsia="方正仿宋_GBK" w:cs="Times New Roman"/>
          <w:sz w:val="24"/>
        </w:rPr>
        <w:fldChar w:fldCharType="end"/>
      </w:r>
      <w:r>
        <w:rPr>
          <w:rFonts w:ascii="Times New Roman" w:hAnsi="Times New Roman" w:eastAsia="方正仿宋_GBK" w:cs="Times New Roman"/>
          <w:sz w:val="24"/>
        </w:rPr>
        <w:t>费+税费+</w:t>
      </w:r>
      <w:r>
        <w:fldChar w:fldCharType="begin"/>
      </w:r>
      <w:r>
        <w:instrText xml:space="preserve"> HYPERLINK "http://baike.baidu.com/view/3657.htm" \t "_blank" </w:instrText>
      </w:r>
      <w:r>
        <w:fldChar w:fldCharType="separate"/>
      </w:r>
      <w:r>
        <w:rPr>
          <w:rFonts w:ascii="Times New Roman" w:hAnsi="Times New Roman" w:eastAsia="方正仿宋_GBK" w:cs="Times New Roman"/>
          <w:sz w:val="24"/>
        </w:rPr>
        <w:t>利息</w:t>
      </w:r>
      <w:r>
        <w:rPr>
          <w:rFonts w:ascii="Times New Roman" w:hAnsi="Times New Roman" w:eastAsia="方正仿宋_GBK" w:cs="Times New Roman"/>
          <w:sz w:val="24"/>
        </w:rPr>
        <w:fldChar w:fldCharType="end"/>
      </w:r>
      <w:r>
        <w:rPr>
          <w:rFonts w:ascii="Times New Roman" w:hAnsi="Times New Roman" w:eastAsia="方正仿宋_GBK" w:cs="Times New Roman"/>
          <w:sz w:val="24"/>
        </w:rPr>
        <w:t>+</w:t>
      </w:r>
      <w:r>
        <w:fldChar w:fldCharType="begin"/>
      </w:r>
      <w:r>
        <w:instrText xml:space="preserve"> HYPERLINK "http://baike.baidu.com/view/150325.htm" \t "_blank" </w:instrText>
      </w:r>
      <w:r>
        <w:fldChar w:fldCharType="separate"/>
      </w:r>
      <w:r>
        <w:rPr>
          <w:rFonts w:ascii="Times New Roman" w:hAnsi="Times New Roman" w:eastAsia="方正仿宋_GBK" w:cs="Times New Roman"/>
          <w:sz w:val="24"/>
        </w:rPr>
        <w:t>利润</w:t>
      </w:r>
      <w:r>
        <w:rPr>
          <w:rFonts w:ascii="Times New Roman" w:hAnsi="Times New Roman" w:eastAsia="方正仿宋_GBK" w:cs="Times New Roman"/>
          <w:sz w:val="24"/>
        </w:rPr>
        <w:fldChar w:fldCharType="end"/>
      </w:r>
      <w:r>
        <w:rPr>
          <w:rFonts w:ascii="Times New Roman" w:hAnsi="Times New Roman" w:eastAsia="方正仿宋_GBK" w:cs="Times New Roman"/>
          <w:sz w:val="24"/>
        </w:rPr>
        <w:t>+</w:t>
      </w:r>
      <w:r>
        <w:fldChar w:fldCharType="begin"/>
      </w:r>
      <w:r>
        <w:instrText xml:space="preserve"> HYPERLINK "http://baike.baidu.com/view/2620770.htm" \t "_blank" </w:instrText>
      </w:r>
      <w:r>
        <w:fldChar w:fldCharType="separate"/>
      </w:r>
      <w:r>
        <w:rPr>
          <w:rFonts w:ascii="Times New Roman" w:hAnsi="Times New Roman" w:eastAsia="方正仿宋_GBK" w:cs="Times New Roman"/>
          <w:sz w:val="24"/>
        </w:rPr>
        <w:t>土地增值收益</w:t>
      </w:r>
      <w:r>
        <w:rPr>
          <w:rFonts w:ascii="Times New Roman" w:hAnsi="Times New Roman" w:eastAsia="方正仿宋_GBK" w:cs="Times New Roman"/>
          <w:sz w:val="24"/>
        </w:rPr>
        <w:fldChar w:fldCharType="end"/>
      </w:r>
      <w:r>
        <w:rPr>
          <w:rFonts w:ascii="Times New Roman" w:hAnsi="Times New Roman" w:eastAsia="方正仿宋_GBK" w:cs="Times New Roman"/>
          <w:sz w:val="24"/>
        </w:rPr>
        <w:t>) ×（1±区位修正系数）×年期修正系数</w:t>
      </w:r>
    </w:p>
    <w:p>
      <w:pPr>
        <w:spacing w:line="360" w:lineRule="auto"/>
        <w:ind w:firstLine="480" w:firstLineChars="200"/>
        <w:rPr>
          <w:rFonts w:ascii="Times New Roman" w:eastAsia="方正仿宋_GBK"/>
          <w:sz w:val="24"/>
        </w:rPr>
      </w:pPr>
      <w:r>
        <w:rPr>
          <w:rFonts w:ascii="Times New Roman" w:eastAsia="方正仿宋_GBK"/>
          <w:sz w:val="24"/>
        </w:rPr>
        <w:t>江城镇、九溪镇、前卫镇、雄关乡根据测算出的住宅用地末级级地价，利用每一级别的平均分值即土地条件的差异情况，比较级别平均单元分值确定修正系数，评估出Ⅰ-Ⅱ级的基准地价。</w:t>
      </w:r>
    </w:p>
    <w:p>
      <w:pPr>
        <w:spacing w:line="360" w:lineRule="auto"/>
        <w:ind w:firstLine="480" w:firstLineChars="200"/>
        <w:rPr>
          <w:rFonts w:ascii="Times New Roman" w:eastAsia="方正仿宋_GBK"/>
          <w:bCs/>
          <w:sz w:val="24"/>
        </w:rPr>
      </w:pPr>
      <w:r>
        <w:rPr>
          <w:rFonts w:ascii="Times New Roman" w:eastAsia="方正仿宋_GBK"/>
          <w:bCs/>
          <w:kern w:val="2"/>
          <w:sz w:val="24"/>
          <w:szCs w:val="24"/>
        </w:rPr>
        <w:fldChar w:fldCharType="begin"/>
      </w:r>
      <w:r>
        <w:rPr>
          <w:rFonts w:ascii="Times New Roman" w:eastAsia="方正仿宋_GBK"/>
          <w:bCs/>
          <w:kern w:val="2"/>
          <w:sz w:val="24"/>
          <w:szCs w:val="24"/>
        </w:rPr>
        <w:instrText xml:space="preserve"> = 3 \* GB3 </w:instrText>
      </w:r>
      <w:r>
        <w:rPr>
          <w:rFonts w:ascii="Times New Roman" w:eastAsia="方正仿宋_GBK"/>
          <w:bCs/>
          <w:kern w:val="2"/>
          <w:sz w:val="24"/>
          <w:szCs w:val="24"/>
        </w:rPr>
        <w:fldChar w:fldCharType="separate"/>
      </w:r>
      <w:r>
        <w:rPr>
          <w:rFonts w:ascii="Times New Roman" w:eastAsia="方正仿宋_GBK"/>
          <w:bCs/>
          <w:kern w:val="2"/>
          <w:sz w:val="24"/>
          <w:szCs w:val="24"/>
          <w:lang w:val="en-US" w:eastAsia="zh-CN"/>
        </w:rPr>
        <w:t>③</w:t>
      </w:r>
      <w:r>
        <w:rPr>
          <w:rFonts w:ascii="Times New Roman" w:eastAsia="方正仿宋_GBK"/>
          <w:bCs/>
          <w:kern w:val="2"/>
          <w:sz w:val="24"/>
          <w:szCs w:val="24"/>
        </w:rPr>
        <w:fldChar w:fldCharType="end"/>
      </w:r>
      <w:r>
        <w:rPr>
          <w:rFonts w:ascii="Times New Roman" w:eastAsia="方正仿宋_GBK"/>
          <w:bCs/>
          <w:sz w:val="24"/>
        </w:rPr>
        <w:t>工矿仓储用地基准地价的测算</w:t>
      </w:r>
    </w:p>
    <w:p>
      <w:pPr>
        <w:spacing w:line="360" w:lineRule="auto"/>
        <w:ind w:firstLine="500" w:firstLineChars="200"/>
        <w:rPr>
          <w:rFonts w:ascii="Times New Roman" w:eastAsia="方正仿宋_GBK"/>
          <w:sz w:val="24"/>
        </w:rPr>
      </w:pPr>
      <w:r>
        <w:rPr>
          <w:rFonts w:ascii="Times New Roman" w:eastAsia="方正仿宋_GBK"/>
          <w:spacing w:val="5"/>
          <w:sz w:val="24"/>
          <w:lang w:val="en-GB"/>
        </w:rPr>
        <w:t>江川区中心城区、</w:t>
      </w:r>
      <w:r>
        <w:rPr>
          <w:rFonts w:ascii="Times New Roman" w:eastAsia="方正仿宋_GBK"/>
          <w:sz w:val="24"/>
        </w:rPr>
        <w:t>江城镇、九溪镇、前卫镇、雄关乡工矿仓储用地缺乏经营用地资料、或经济效益资料少于近期连续两年的，或数据明显失真，或亏损、或其它数据不齐全，或有利润但每平方米土地上的利润额很少，最后得到的有效样本极少，因此不能用级差收益测算公式从工业企业用地效益样点中正常剥离出工矿仓储用地地价。</w:t>
      </w:r>
    </w:p>
    <w:p>
      <w:pPr>
        <w:spacing w:line="360" w:lineRule="auto"/>
        <w:ind w:firstLine="480" w:firstLineChars="200"/>
        <w:rPr>
          <w:rFonts w:ascii="Times New Roman" w:eastAsia="方正仿宋_GBK"/>
          <w:sz w:val="24"/>
        </w:rPr>
      </w:pPr>
      <w:r>
        <w:rPr>
          <w:rFonts w:ascii="Times New Roman" w:eastAsia="方正仿宋_GBK"/>
          <w:sz w:val="24"/>
        </w:rPr>
        <w:t>根据</w:t>
      </w:r>
      <w:r>
        <w:rPr>
          <w:rFonts w:ascii="Times New Roman" w:eastAsia="方正仿宋_GBK"/>
          <w:spacing w:val="5"/>
          <w:sz w:val="24"/>
          <w:lang w:val="en-GB"/>
        </w:rPr>
        <w:t>江川区中心城区、</w:t>
      </w:r>
      <w:r>
        <w:rPr>
          <w:rFonts w:ascii="Times New Roman" w:eastAsia="方正仿宋_GBK"/>
          <w:sz w:val="24"/>
        </w:rPr>
        <w:t>江城镇、九溪镇、前卫镇、雄关乡土地定级成果，及当地相关文件可确定取得土地的各项成本，可以采用成本逼近法测算工矿仓储用地基准地价。</w:t>
      </w:r>
    </w:p>
    <w:p>
      <w:pPr>
        <w:spacing w:line="360" w:lineRule="auto"/>
        <w:ind w:firstLine="480" w:firstLineChars="200"/>
        <w:rPr>
          <w:rFonts w:ascii="Times New Roman" w:eastAsia="方正仿宋_GBK"/>
          <w:sz w:val="24"/>
        </w:rPr>
      </w:pPr>
      <w:r>
        <w:rPr>
          <w:rFonts w:ascii="Times New Roman" w:eastAsia="方正仿宋_GBK"/>
          <w:sz w:val="24"/>
        </w:rPr>
        <w:t>（4）公共管理与公共服务用地基准地价的测算</w:t>
      </w:r>
    </w:p>
    <w:p>
      <w:pPr>
        <w:spacing w:line="360" w:lineRule="auto"/>
        <w:ind w:firstLine="480" w:firstLineChars="200"/>
        <w:rPr>
          <w:rFonts w:ascii="Times New Roman" w:eastAsia="方正仿宋_GBK"/>
          <w:sz w:val="24"/>
          <w:szCs w:val="24"/>
        </w:rPr>
      </w:pPr>
      <w:r>
        <w:rPr>
          <w:rFonts w:ascii="Times New Roman" w:eastAsia="方正仿宋_GBK"/>
          <w:sz w:val="24"/>
          <w:szCs w:val="24"/>
        </w:rPr>
        <w:t>用于公共服务的土地一般由政府所有，也有通过出租或者是授权委托给非政府机构经营和管理的，多以划拨方式取得土地使用权形式，以有偿方式出让取得的土地面积极少。土地市场欠发育，市场上土地出让、转让、出租、抵押等交易案例很少。</w:t>
      </w:r>
    </w:p>
    <w:p>
      <w:pPr>
        <w:spacing w:line="360" w:lineRule="auto"/>
        <w:ind w:firstLine="480" w:firstLineChars="200"/>
        <w:rPr>
          <w:rFonts w:ascii="Times New Roman" w:eastAsia="方正仿宋_GBK"/>
          <w:sz w:val="24"/>
          <w:szCs w:val="24"/>
        </w:rPr>
      </w:pPr>
      <w:r>
        <w:rPr>
          <w:rFonts w:ascii="Times New Roman" w:eastAsia="方正仿宋_GBK"/>
          <w:sz w:val="24"/>
          <w:szCs w:val="24"/>
        </w:rPr>
        <w:t>由于利用方式的不同，其价值与分布规律相差较大，因此通过分析公共管理与公共服务用地中各类土地的利用特点，做好与其他用途的对比衔接。通过征询相关专家的意见，将公共管理与公共服务用地基准地价进行内涵分类，可以归纳简化为三个大类，并以大类确定基准地价，大类宜粗不宜细，按照功能相似的原则，在《土地利用现状分类》（GB/T21010-2017）的基础上进行归类，并对三种大类进行用途趋同性分析，结果见表3。</w:t>
      </w:r>
    </w:p>
    <w:p>
      <w:pPr>
        <w:pStyle w:val="57"/>
        <w:rPr>
          <w:rFonts w:ascii="Times New Roman" w:hAnsi="Times New Roman" w:eastAsia="仿宋"/>
          <w:color w:val="auto"/>
        </w:rPr>
      </w:pPr>
      <w:r>
        <w:rPr>
          <w:rFonts w:ascii="Times New Roman" w:hAnsi="仿宋" w:eastAsia="仿宋"/>
          <w:color w:val="auto"/>
        </w:rPr>
        <w:t>表</w:t>
      </w:r>
      <w:r>
        <w:rPr>
          <w:rFonts w:ascii="Times New Roman" w:hAnsi="Times New Roman" w:eastAsia="仿宋"/>
          <w:color w:val="auto"/>
        </w:rPr>
        <w:t xml:space="preserve">8 </w:t>
      </w:r>
      <w:r>
        <w:rPr>
          <w:rFonts w:ascii="Times New Roman" w:hAnsi="仿宋" w:eastAsia="仿宋"/>
          <w:color w:val="auto"/>
        </w:rPr>
        <w:t>公共管理与公共服务用地社会经济效益趋同性分析表</w:t>
      </w:r>
    </w:p>
    <w:tbl>
      <w:tblPr>
        <w:tblStyle w:val="17"/>
        <w:tblW w:w="889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2268"/>
        <w:gridCol w:w="2551"/>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rPr>
                <w:rFonts w:ascii="Times New Roman" w:hAnsi="Times New Roman" w:eastAsia="仿宋" w:cs="Times New Roman"/>
                <w:color w:val="auto"/>
                <w:kern w:val="0"/>
                <w:szCs w:val="21"/>
              </w:rPr>
            </w:pPr>
            <w:r>
              <w:rPr>
                <w:rFonts w:ascii="Times New Roman" w:hAnsi="仿宋" w:eastAsia="仿宋" w:cs="Times New Roman"/>
                <w:color w:val="auto"/>
                <w:kern w:val="0"/>
                <w:szCs w:val="21"/>
              </w:rPr>
              <w:t>公共管理与公共服务用地分类</w:t>
            </w:r>
          </w:p>
        </w:tc>
        <w:tc>
          <w:tcPr>
            <w:tcW w:w="2268" w:type="dxa"/>
            <w:tcBorders>
              <w:top w:val="single" w:color="auto" w:sz="4" w:space="0"/>
              <w:left w:val="nil"/>
              <w:bottom w:val="single" w:color="auto" w:sz="4" w:space="0"/>
              <w:right w:val="single" w:color="auto" w:sz="4" w:space="0"/>
            </w:tcBorders>
            <w:vAlign w:val="center"/>
          </w:tcPr>
          <w:p>
            <w:pPr>
              <w:jc w:val="center"/>
              <w:rPr>
                <w:rFonts w:ascii="Times New Roman" w:eastAsia="仿宋"/>
                <w:sz w:val="21"/>
                <w:szCs w:val="21"/>
              </w:rPr>
            </w:pPr>
            <w:r>
              <w:rPr>
                <w:rFonts w:ascii="Times New Roman" w:hAnsi="仿宋" w:eastAsia="仿宋"/>
                <w:sz w:val="21"/>
                <w:szCs w:val="21"/>
              </w:rPr>
              <w:t>医疗卫生用地、文化设施用地、体育用地</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eastAsia="仿宋"/>
                <w:sz w:val="21"/>
                <w:szCs w:val="21"/>
              </w:rPr>
            </w:pPr>
            <w:r>
              <w:rPr>
                <w:rFonts w:ascii="Times New Roman" w:hAnsi="仿宋" w:eastAsia="仿宋"/>
                <w:sz w:val="21"/>
                <w:szCs w:val="21"/>
              </w:rPr>
              <w:t>机关团体用地、新闻出版用地、教育用地、科研用地、社会福利用地</w:t>
            </w:r>
          </w:p>
        </w:tc>
        <w:tc>
          <w:tcPr>
            <w:tcW w:w="2110" w:type="dxa"/>
            <w:tcBorders>
              <w:top w:val="single" w:color="auto" w:sz="4" w:space="0"/>
              <w:left w:val="nil"/>
              <w:bottom w:val="single" w:color="auto" w:sz="4" w:space="0"/>
              <w:right w:val="single" w:color="auto" w:sz="4" w:space="0"/>
            </w:tcBorders>
            <w:vAlign w:val="center"/>
          </w:tcPr>
          <w:p>
            <w:pPr>
              <w:jc w:val="center"/>
              <w:rPr>
                <w:rFonts w:ascii="Times New Roman" w:eastAsia="仿宋"/>
                <w:sz w:val="21"/>
                <w:szCs w:val="21"/>
              </w:rPr>
            </w:pPr>
            <w:r>
              <w:rPr>
                <w:rFonts w:ascii="Times New Roman" w:hAnsi="仿宋" w:eastAsia="仿宋"/>
                <w:sz w:val="21"/>
                <w:szCs w:val="21"/>
              </w:rPr>
              <w:t>公用设施用地、公园与绿地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96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rPr>
                <w:rFonts w:ascii="Times New Roman" w:hAnsi="Times New Roman" w:eastAsia="仿宋" w:cs="Times New Roman"/>
                <w:color w:val="auto"/>
                <w:kern w:val="0"/>
                <w:szCs w:val="21"/>
              </w:rPr>
            </w:pPr>
            <w:r>
              <w:rPr>
                <w:rFonts w:ascii="Times New Roman" w:hAnsi="仿宋" w:eastAsia="仿宋" w:cs="Times New Roman"/>
                <w:color w:val="auto"/>
                <w:kern w:val="0"/>
                <w:szCs w:val="21"/>
              </w:rPr>
              <w:t>趋同</w:t>
            </w:r>
          </w:p>
          <w:p>
            <w:pPr>
              <w:pStyle w:val="31"/>
              <w:spacing w:line="340" w:lineRule="exact"/>
              <w:rPr>
                <w:rFonts w:ascii="Times New Roman" w:hAnsi="Times New Roman" w:eastAsia="仿宋" w:cs="Times New Roman"/>
                <w:color w:val="auto"/>
                <w:kern w:val="0"/>
                <w:szCs w:val="21"/>
              </w:rPr>
            </w:pPr>
            <w:r>
              <w:rPr>
                <w:rFonts w:ascii="Times New Roman" w:hAnsi="仿宋" w:eastAsia="仿宋" w:cs="Times New Roman"/>
                <w:color w:val="auto"/>
                <w:kern w:val="0"/>
                <w:szCs w:val="21"/>
              </w:rPr>
              <w:t>用途</w:t>
            </w:r>
          </w:p>
        </w:tc>
        <w:tc>
          <w:tcPr>
            <w:tcW w:w="2268" w:type="dxa"/>
            <w:tcBorders>
              <w:top w:val="single" w:color="auto" w:sz="4" w:space="0"/>
              <w:left w:val="nil"/>
              <w:bottom w:val="single" w:color="auto" w:sz="4" w:space="0"/>
              <w:right w:val="single" w:color="auto" w:sz="4" w:space="0"/>
            </w:tcBorders>
            <w:vAlign w:val="center"/>
          </w:tcPr>
          <w:p>
            <w:pPr>
              <w:pStyle w:val="31"/>
              <w:spacing w:line="340" w:lineRule="exact"/>
              <w:rPr>
                <w:rFonts w:ascii="Times New Roman" w:hAnsi="Times New Roman" w:eastAsia="仿宋" w:cs="Times New Roman"/>
                <w:color w:val="auto"/>
                <w:kern w:val="0"/>
                <w:szCs w:val="21"/>
              </w:rPr>
            </w:pPr>
            <w:r>
              <w:rPr>
                <w:rFonts w:ascii="Times New Roman" w:hAnsi="仿宋" w:eastAsia="仿宋" w:cs="Times New Roman"/>
                <w:color w:val="auto"/>
                <w:kern w:val="0"/>
                <w:szCs w:val="21"/>
              </w:rPr>
              <w:t>商服用途</w:t>
            </w:r>
          </w:p>
        </w:tc>
        <w:tc>
          <w:tcPr>
            <w:tcW w:w="2551" w:type="dxa"/>
            <w:tcBorders>
              <w:top w:val="single" w:color="auto" w:sz="4" w:space="0"/>
              <w:left w:val="nil"/>
              <w:bottom w:val="single" w:color="auto" w:sz="4" w:space="0"/>
              <w:right w:val="single" w:color="auto" w:sz="4" w:space="0"/>
            </w:tcBorders>
            <w:vAlign w:val="center"/>
          </w:tcPr>
          <w:p>
            <w:pPr>
              <w:pStyle w:val="31"/>
              <w:spacing w:line="340" w:lineRule="exact"/>
              <w:rPr>
                <w:rFonts w:ascii="Times New Roman" w:hAnsi="Times New Roman" w:eastAsia="仿宋" w:cs="Times New Roman"/>
                <w:color w:val="auto"/>
                <w:kern w:val="0"/>
                <w:szCs w:val="21"/>
              </w:rPr>
            </w:pPr>
            <w:r>
              <w:rPr>
                <w:rFonts w:ascii="Times New Roman" w:hAnsi="仿宋" w:eastAsia="仿宋" w:cs="Times New Roman"/>
                <w:color w:val="auto"/>
                <w:kern w:val="0"/>
                <w:szCs w:val="21"/>
              </w:rPr>
              <w:t>住宅用途</w:t>
            </w:r>
          </w:p>
        </w:tc>
        <w:tc>
          <w:tcPr>
            <w:tcW w:w="2110" w:type="dxa"/>
            <w:tcBorders>
              <w:top w:val="single" w:color="auto" w:sz="4" w:space="0"/>
              <w:left w:val="nil"/>
              <w:bottom w:val="single" w:color="auto" w:sz="4" w:space="0"/>
              <w:right w:val="single" w:color="auto" w:sz="4" w:space="0"/>
            </w:tcBorders>
            <w:vAlign w:val="center"/>
          </w:tcPr>
          <w:p>
            <w:pPr>
              <w:pStyle w:val="31"/>
              <w:spacing w:line="340" w:lineRule="exact"/>
              <w:rPr>
                <w:rFonts w:ascii="Times New Roman" w:hAnsi="Times New Roman" w:eastAsia="仿宋" w:cs="Times New Roman"/>
                <w:color w:val="auto"/>
                <w:kern w:val="0"/>
                <w:szCs w:val="21"/>
              </w:rPr>
            </w:pPr>
            <w:r>
              <w:rPr>
                <w:rFonts w:ascii="Times New Roman" w:hAnsi="仿宋" w:eastAsia="仿宋" w:cs="Times New Roman"/>
                <w:color w:val="auto"/>
                <w:kern w:val="0"/>
                <w:szCs w:val="21"/>
              </w:rPr>
              <w:t>工业用途</w:t>
            </w:r>
          </w:p>
        </w:tc>
      </w:tr>
    </w:tbl>
    <w:p>
      <w:pPr>
        <w:spacing w:line="360" w:lineRule="auto"/>
        <w:ind w:firstLine="480" w:firstLineChars="200"/>
        <w:rPr>
          <w:rFonts w:ascii="Times New Roman" w:eastAsia="仿宋"/>
          <w:sz w:val="24"/>
        </w:rPr>
      </w:pPr>
      <w:r>
        <w:rPr>
          <w:rFonts w:ascii="Times New Roman" w:hAnsi="仿宋" w:eastAsia="仿宋"/>
          <w:sz w:val="24"/>
          <w:szCs w:val="24"/>
        </w:rPr>
        <w:t>通过成本逼近法测算公用设施用地、公园与绿地各级别的基准地价，根据特尔菲法进行意见征询，确定医疗卫生用地、文化设施用地、体育用地、机关团体用地、新闻出版用地、教育用地、科研用地、社会福利用地与公用设施用地、公园与绿地地价的比例系数，可得出医疗卫生用地、文化设施用地、体育用地、机关团体用地、新闻出版用地、教育用地、科研用地、社会福利用地各级别的基准地价。</w:t>
      </w:r>
      <w:r>
        <w:rPr>
          <w:rFonts w:ascii="Times New Roman" w:eastAsia="仿宋"/>
          <w:sz w:val="24"/>
        </w:rPr>
        <w:t xml:space="preserve">   </w:t>
      </w:r>
    </w:p>
    <w:p>
      <w:pPr>
        <w:spacing w:line="360" w:lineRule="auto"/>
        <w:ind w:firstLine="480" w:firstLineChars="200"/>
        <w:rPr>
          <w:rFonts w:ascii="Times New Roman" w:eastAsia="仿宋"/>
          <w:sz w:val="24"/>
        </w:rPr>
      </w:pPr>
      <w:r>
        <w:rPr>
          <w:rFonts w:ascii="Times New Roman" w:hAnsi="仿宋" w:eastAsia="仿宋"/>
          <w:sz w:val="24"/>
        </w:rPr>
        <w:t>（</w:t>
      </w:r>
      <w:r>
        <w:rPr>
          <w:rFonts w:ascii="Times New Roman" w:eastAsia="仿宋"/>
          <w:sz w:val="24"/>
        </w:rPr>
        <w:t>5</w:t>
      </w:r>
      <w:r>
        <w:rPr>
          <w:rFonts w:ascii="Times New Roman" w:hAnsi="仿宋" w:eastAsia="仿宋"/>
          <w:sz w:val="24"/>
        </w:rPr>
        <w:t>）</w:t>
      </w:r>
      <w:r>
        <w:rPr>
          <w:rFonts w:ascii="Times New Roman" w:hAnsi="仿宋" w:eastAsia="仿宋"/>
          <w:bCs/>
          <w:spacing w:val="16"/>
          <w:kern w:val="2"/>
          <w:sz w:val="24"/>
          <w:szCs w:val="24"/>
        </w:rPr>
        <w:t>江川工业园区（玉溪市高新区龙泉片区）</w:t>
      </w:r>
      <w:r>
        <w:rPr>
          <w:rFonts w:ascii="Times New Roman" w:hAnsi="仿宋" w:eastAsia="仿宋"/>
          <w:sz w:val="24"/>
        </w:rPr>
        <w:t>基准地价的测算</w:t>
      </w:r>
    </w:p>
    <w:p>
      <w:pPr>
        <w:spacing w:line="360" w:lineRule="auto"/>
        <w:ind w:firstLine="480" w:firstLineChars="200"/>
        <w:rPr>
          <w:rFonts w:ascii="Times New Roman" w:eastAsia="仿宋"/>
          <w:sz w:val="24"/>
          <w:szCs w:val="24"/>
        </w:rPr>
      </w:pPr>
      <w:r>
        <w:rPr>
          <w:rFonts w:ascii="Times New Roman" w:hAnsi="仿宋" w:eastAsia="仿宋"/>
          <w:sz w:val="24"/>
          <w:szCs w:val="24"/>
        </w:rPr>
        <w:t>由于江川工业园区（玉溪市高新区龙泉片区）的土地交易案例较少，无法采取样点测算地价，所以采用成本逼近法测算基准地价。</w:t>
      </w:r>
    </w:p>
    <w:p>
      <w:pPr>
        <w:spacing w:line="360" w:lineRule="auto"/>
        <w:ind w:firstLine="480" w:firstLineChars="200"/>
        <w:rPr>
          <w:rFonts w:ascii="Times New Roman" w:eastAsia="仿宋"/>
          <w:sz w:val="24"/>
        </w:rPr>
      </w:pPr>
    </w:p>
    <w:p>
      <w:pPr>
        <w:spacing w:line="360" w:lineRule="auto"/>
        <w:ind w:firstLine="480" w:firstLineChars="200"/>
        <w:rPr>
          <w:rFonts w:ascii="Times New Roman" w:eastAsia="仿宋"/>
          <w:sz w:val="24"/>
        </w:rPr>
      </w:pPr>
    </w:p>
    <w:p>
      <w:pPr>
        <w:spacing w:line="360" w:lineRule="auto"/>
        <w:ind w:firstLine="480" w:firstLineChars="200"/>
        <w:rPr>
          <w:rFonts w:ascii="Times New Roman" w:eastAsia="仿宋"/>
          <w:sz w:val="30"/>
          <w:szCs w:val="30"/>
        </w:rPr>
      </w:pPr>
      <w:r>
        <w:rPr>
          <w:rFonts w:ascii="Times New Roman" w:eastAsia="仿宋"/>
          <w:sz w:val="24"/>
        </w:rPr>
        <w:t xml:space="preserve"> </w:t>
      </w:r>
      <w:r>
        <w:rPr>
          <w:rFonts w:ascii="Times New Roman" w:eastAsia="仿宋"/>
          <w:sz w:val="30"/>
          <w:szCs w:val="30"/>
        </w:rPr>
        <w:t>5</w:t>
      </w:r>
      <w:r>
        <w:rPr>
          <w:rFonts w:hint="eastAsia" w:ascii="Times New Roman" w:hAnsi="仿宋" w:eastAsia="仿宋"/>
          <w:sz w:val="30"/>
          <w:szCs w:val="30"/>
        </w:rPr>
        <w:t>.</w:t>
      </w:r>
      <w:r>
        <w:rPr>
          <w:rFonts w:ascii="Times New Roman" w:hAnsi="仿宋" w:eastAsia="仿宋"/>
          <w:sz w:val="30"/>
          <w:szCs w:val="30"/>
        </w:rPr>
        <w:t>基准地价更新成果及变化比较</w:t>
      </w:r>
    </w:p>
    <w:p>
      <w:pPr>
        <w:spacing w:line="360" w:lineRule="auto"/>
        <w:ind w:firstLine="480" w:firstLineChars="200"/>
        <w:rPr>
          <w:rFonts w:ascii="Times New Roman" w:eastAsia="仿宋"/>
          <w:sz w:val="24"/>
        </w:rPr>
      </w:pPr>
      <w:r>
        <w:rPr>
          <w:rFonts w:ascii="Times New Roman" w:hAnsi="仿宋" w:eastAsia="仿宋"/>
          <w:sz w:val="24"/>
        </w:rPr>
        <w:t>江川区中心城区</w:t>
      </w:r>
      <w:r>
        <w:rPr>
          <w:rFonts w:ascii="Times New Roman" w:hAnsi="仿宋" w:eastAsia="仿宋"/>
          <w:spacing w:val="5"/>
          <w:sz w:val="24"/>
          <w:lang w:val="en-GB"/>
        </w:rPr>
        <w:t>、</w:t>
      </w:r>
      <w:r>
        <w:rPr>
          <w:rFonts w:ascii="Times New Roman" w:hAnsi="仿宋" w:eastAsia="仿宋"/>
          <w:sz w:val="24"/>
        </w:rPr>
        <w:t>江城镇、九溪镇、前卫镇上一轮城镇土地定级与基准地价更新测算工作是在</w:t>
      </w:r>
      <w:r>
        <w:rPr>
          <w:rFonts w:ascii="Times New Roman" w:eastAsia="仿宋"/>
          <w:sz w:val="24"/>
        </w:rPr>
        <w:t>2014</w:t>
      </w:r>
      <w:r>
        <w:rPr>
          <w:rFonts w:ascii="Times New Roman" w:hAnsi="仿宋" w:eastAsia="仿宋"/>
          <w:sz w:val="24"/>
        </w:rPr>
        <w:t>年完成的，基准日为</w:t>
      </w:r>
      <w:r>
        <w:rPr>
          <w:rFonts w:ascii="Times New Roman" w:eastAsia="仿宋"/>
          <w:sz w:val="24"/>
        </w:rPr>
        <w:t>2014</w:t>
      </w:r>
      <w:r>
        <w:rPr>
          <w:rFonts w:ascii="Times New Roman" w:hAnsi="仿宋" w:eastAsia="仿宋"/>
          <w:sz w:val="24"/>
        </w:rPr>
        <w:t>年</w:t>
      </w:r>
      <w:r>
        <w:rPr>
          <w:rFonts w:ascii="Times New Roman" w:eastAsia="仿宋"/>
          <w:sz w:val="24"/>
        </w:rPr>
        <w:t>8</w:t>
      </w:r>
      <w:r>
        <w:rPr>
          <w:rFonts w:ascii="Times New Roman" w:hAnsi="仿宋" w:eastAsia="仿宋"/>
          <w:sz w:val="24"/>
        </w:rPr>
        <w:t>月</w:t>
      </w:r>
      <w:r>
        <w:rPr>
          <w:rFonts w:ascii="Times New Roman" w:eastAsia="仿宋"/>
          <w:sz w:val="24"/>
        </w:rPr>
        <w:t>30</w:t>
      </w:r>
      <w:r>
        <w:rPr>
          <w:rFonts w:ascii="Times New Roman" w:hAnsi="仿宋" w:eastAsia="仿宋"/>
          <w:sz w:val="24"/>
        </w:rPr>
        <w:t>日，江川区中心城区工矿仓储用地划分了工业规划限制区和</w:t>
      </w:r>
      <w:r>
        <w:rPr>
          <w:rFonts w:ascii="Times New Roman" w:eastAsia="仿宋"/>
          <w:sz w:val="24"/>
        </w:rPr>
        <w:t>3</w:t>
      </w:r>
      <w:r>
        <w:rPr>
          <w:rFonts w:ascii="Times New Roman" w:hAnsi="仿宋" w:eastAsia="仿宋"/>
          <w:sz w:val="24"/>
        </w:rPr>
        <w:t>个土地级别，商服、住宅用地一共划分了</w:t>
      </w:r>
      <w:r>
        <w:rPr>
          <w:rFonts w:ascii="Times New Roman" w:eastAsia="仿宋"/>
          <w:sz w:val="24"/>
        </w:rPr>
        <w:t>4</w:t>
      </w:r>
      <w:r>
        <w:rPr>
          <w:rFonts w:ascii="Times New Roman" w:hAnsi="仿宋" w:eastAsia="仿宋"/>
          <w:sz w:val="24"/>
        </w:rPr>
        <w:t>个土地级别；江城镇、九溪镇、前卫镇一共划分了</w:t>
      </w:r>
      <w:r>
        <w:rPr>
          <w:rFonts w:ascii="Times New Roman" w:eastAsia="仿宋"/>
          <w:sz w:val="24"/>
        </w:rPr>
        <w:t>3</w:t>
      </w:r>
      <w:r>
        <w:rPr>
          <w:rFonts w:ascii="Times New Roman" w:hAnsi="仿宋" w:eastAsia="仿宋"/>
          <w:sz w:val="24"/>
        </w:rPr>
        <w:t>个土地级别，根据江川区中心城区、江城镇、九溪镇、前卫镇集镇规划区经济及社会的发展现状，本次对江川区中心城区、江城镇、九溪镇、前卫镇集镇规划区的定级范围进行适当调整，江川区中心城区工矿仓储用地划分了工业规划限制区和</w:t>
      </w:r>
      <w:r>
        <w:rPr>
          <w:rFonts w:ascii="Times New Roman" w:eastAsia="仿宋"/>
          <w:sz w:val="24"/>
        </w:rPr>
        <w:t>3</w:t>
      </w:r>
      <w:r>
        <w:rPr>
          <w:rFonts w:ascii="Times New Roman" w:hAnsi="仿宋" w:eastAsia="仿宋"/>
          <w:sz w:val="24"/>
        </w:rPr>
        <w:t>个土地级别，商服、住宅、公共管理与公共服务用地一共划分了</w:t>
      </w:r>
      <w:r>
        <w:rPr>
          <w:rFonts w:ascii="Times New Roman" w:eastAsia="仿宋"/>
          <w:sz w:val="24"/>
        </w:rPr>
        <w:t>4</w:t>
      </w:r>
      <w:r>
        <w:rPr>
          <w:rFonts w:ascii="Times New Roman" w:hAnsi="仿宋" w:eastAsia="仿宋"/>
          <w:sz w:val="24"/>
        </w:rPr>
        <w:t>个土地级别；江城镇、九溪镇、前卫镇集镇规划区工矿仓储用地划分了工业规划限制区和</w:t>
      </w:r>
      <w:r>
        <w:rPr>
          <w:rFonts w:ascii="Times New Roman" w:eastAsia="仿宋"/>
          <w:sz w:val="24"/>
        </w:rPr>
        <w:t>2</w:t>
      </w:r>
      <w:r>
        <w:rPr>
          <w:rFonts w:ascii="Times New Roman" w:hAnsi="仿宋" w:eastAsia="仿宋"/>
          <w:sz w:val="24"/>
        </w:rPr>
        <w:t>个土地级别，商服、住宅、公共管理与公共服务用地一共划分了</w:t>
      </w:r>
      <w:r>
        <w:rPr>
          <w:rFonts w:ascii="Times New Roman" w:eastAsia="仿宋"/>
          <w:sz w:val="24"/>
        </w:rPr>
        <w:t>3</w:t>
      </w:r>
      <w:r>
        <w:rPr>
          <w:rFonts w:ascii="Times New Roman" w:hAnsi="仿宋" w:eastAsia="仿宋"/>
          <w:sz w:val="24"/>
        </w:rPr>
        <w:t>个土地级别。现将两轮基准地价更新测算结果汇总于</w:t>
      </w:r>
      <w:r>
        <w:rPr>
          <w:rFonts w:ascii="Times New Roman" w:eastAsia="仿宋"/>
          <w:sz w:val="24"/>
        </w:rPr>
        <w:t>“</w:t>
      </w:r>
      <w:r>
        <w:rPr>
          <w:rFonts w:ascii="Times New Roman" w:hAnsi="仿宋" w:eastAsia="仿宋"/>
          <w:sz w:val="24"/>
        </w:rPr>
        <w:t>江川区中心城区基准地价结果汇总表</w:t>
      </w:r>
      <w:r>
        <w:rPr>
          <w:rFonts w:ascii="Times New Roman" w:eastAsia="仿宋"/>
          <w:sz w:val="24"/>
        </w:rPr>
        <w:t>”</w:t>
      </w:r>
      <w:r>
        <w:rPr>
          <w:rFonts w:ascii="Times New Roman" w:hAnsi="仿宋" w:eastAsia="仿宋"/>
          <w:sz w:val="24"/>
        </w:rPr>
        <w:t>。公共管理与公共服务用地上一轮未测算，本次不做对比，雄关乡上一轮未测算，故本次不做对比。</w:t>
      </w: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hint="eastAsia" w:ascii="Times New Roman" w:hAnsi="仿宋" w:eastAsia="仿宋"/>
          <w:color w:val="auto"/>
        </w:rPr>
      </w:pPr>
    </w:p>
    <w:p>
      <w:pPr>
        <w:pStyle w:val="57"/>
        <w:rPr>
          <w:rFonts w:ascii="Times New Roman" w:hAnsi="Times New Roman" w:eastAsia="仿宋"/>
          <w:color w:val="auto"/>
        </w:rPr>
      </w:pPr>
      <w:r>
        <w:rPr>
          <w:rFonts w:ascii="Times New Roman" w:hAnsi="仿宋" w:eastAsia="仿宋"/>
          <w:color w:val="auto"/>
        </w:rPr>
        <w:t>表</w:t>
      </w:r>
      <w:r>
        <w:rPr>
          <w:rFonts w:ascii="Times New Roman" w:hAnsi="Times New Roman" w:eastAsia="仿宋"/>
          <w:color w:val="auto"/>
        </w:rPr>
        <w:t xml:space="preserve">9 </w:t>
      </w:r>
      <w:r>
        <w:rPr>
          <w:rFonts w:ascii="Times New Roman" w:hAnsi="仿宋" w:eastAsia="仿宋"/>
          <w:color w:val="auto"/>
        </w:rPr>
        <w:t>江川区中心城区基准地价结果汇总表</w:t>
      </w:r>
    </w:p>
    <w:p>
      <w:pPr>
        <w:ind w:right="420" w:firstLine="300" w:firstLineChars="200"/>
        <w:jc w:val="right"/>
        <w:rPr>
          <w:rFonts w:ascii="Times New Roman" w:eastAsia="仿宋"/>
          <w:sz w:val="15"/>
          <w:szCs w:val="15"/>
        </w:rPr>
      </w:pPr>
      <w:r>
        <w:rPr>
          <w:rFonts w:ascii="Times New Roman" w:eastAsia="仿宋"/>
          <w:sz w:val="15"/>
          <w:szCs w:val="15"/>
        </w:rPr>
        <w:t xml:space="preserve"> </w:t>
      </w:r>
      <w:r>
        <w:rPr>
          <w:rFonts w:ascii="Times New Roman" w:hAnsi="仿宋" w:eastAsia="仿宋"/>
          <w:sz w:val="15"/>
          <w:szCs w:val="15"/>
        </w:rPr>
        <w:t>注：</w:t>
      </w:r>
      <w:r>
        <w:rPr>
          <w:rFonts w:ascii="Times New Roman" w:eastAsia="仿宋"/>
          <w:sz w:val="15"/>
          <w:szCs w:val="15"/>
        </w:rPr>
        <w:t>“</w:t>
      </w:r>
      <w:r>
        <w:rPr>
          <w:rFonts w:ascii="Times New Roman" w:hAnsi="仿宋" w:eastAsia="仿宋"/>
          <w:sz w:val="15"/>
          <w:szCs w:val="15"/>
        </w:rPr>
        <w:t>平均增长率</w:t>
      </w:r>
      <w:r>
        <w:rPr>
          <w:rFonts w:ascii="Times New Roman" w:eastAsia="仿宋"/>
          <w:sz w:val="15"/>
          <w:szCs w:val="15"/>
        </w:rPr>
        <w:t>”</w:t>
      </w:r>
      <w:r>
        <w:rPr>
          <w:rFonts w:ascii="Times New Roman" w:hAnsi="仿宋" w:eastAsia="仿宋"/>
          <w:sz w:val="15"/>
          <w:szCs w:val="15"/>
        </w:rPr>
        <w:t>为</w:t>
      </w:r>
      <w:r>
        <w:rPr>
          <w:rFonts w:ascii="Times New Roman" w:eastAsia="仿宋"/>
          <w:sz w:val="15"/>
          <w:szCs w:val="15"/>
        </w:rPr>
        <w:t>“</w:t>
      </w:r>
      <w:r>
        <w:rPr>
          <w:rFonts w:ascii="Times New Roman" w:hAnsi="仿宋" w:eastAsia="仿宋"/>
          <w:sz w:val="15"/>
          <w:szCs w:val="15"/>
        </w:rPr>
        <w:t>环比增长率</w:t>
      </w:r>
      <w:r>
        <w:rPr>
          <w:rFonts w:ascii="Times New Roman" w:eastAsia="仿宋"/>
          <w:sz w:val="15"/>
          <w:szCs w:val="15"/>
        </w:rPr>
        <w:t>”</w:t>
      </w:r>
    </w:p>
    <w:tbl>
      <w:tblPr>
        <w:tblStyle w:val="17"/>
        <w:tblW w:w="8528" w:type="dxa"/>
        <w:tblInd w:w="0" w:type="dxa"/>
        <w:tblLayout w:type="fixed"/>
        <w:tblCellMar>
          <w:top w:w="0" w:type="dxa"/>
          <w:left w:w="108" w:type="dxa"/>
          <w:bottom w:w="0" w:type="dxa"/>
          <w:right w:w="108" w:type="dxa"/>
        </w:tblCellMar>
      </w:tblPr>
      <w:tblGrid>
        <w:gridCol w:w="816"/>
        <w:gridCol w:w="993"/>
        <w:gridCol w:w="993"/>
        <w:gridCol w:w="991"/>
        <w:gridCol w:w="993"/>
        <w:gridCol w:w="991"/>
        <w:gridCol w:w="953"/>
        <w:gridCol w:w="846"/>
        <w:gridCol w:w="952"/>
      </w:tblGrid>
      <w:tr>
        <w:tblPrEx>
          <w:tblCellMar>
            <w:top w:w="0" w:type="dxa"/>
            <w:left w:w="108" w:type="dxa"/>
            <w:bottom w:w="0" w:type="dxa"/>
            <w:right w:w="108" w:type="dxa"/>
          </w:tblCellMar>
        </w:tblPrEx>
        <w:trPr>
          <w:trHeight w:val="285" w:hRule="atLeast"/>
        </w:trPr>
        <w:tc>
          <w:tcPr>
            <w:tcW w:w="81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级别</w:t>
            </w:r>
          </w:p>
        </w:tc>
        <w:tc>
          <w:tcPr>
            <w:tcW w:w="9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年度</w:t>
            </w:r>
          </w:p>
        </w:tc>
        <w:tc>
          <w:tcPr>
            <w:tcW w:w="1984"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商服用地</w:t>
            </w:r>
          </w:p>
        </w:tc>
        <w:tc>
          <w:tcPr>
            <w:tcW w:w="1984" w:type="dxa"/>
            <w:gridSpan w:val="2"/>
            <w:tcBorders>
              <w:top w:val="single" w:color="auto" w:sz="8" w:space="0"/>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住宅用地</w:t>
            </w: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级别</w:t>
            </w:r>
          </w:p>
        </w:tc>
        <w:tc>
          <w:tcPr>
            <w:tcW w:w="1798" w:type="dxa"/>
            <w:gridSpan w:val="2"/>
            <w:tcBorders>
              <w:top w:val="single" w:color="auto" w:sz="8" w:space="0"/>
              <w:left w:val="single" w:color="auto" w:sz="4" w:space="0"/>
              <w:bottom w:val="single" w:color="auto" w:sz="8" w:space="0"/>
              <w:right w:val="single" w:color="000000"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工业用地</w:t>
            </w:r>
          </w:p>
        </w:tc>
      </w:tr>
      <w:tr>
        <w:tblPrEx>
          <w:tblCellMar>
            <w:top w:w="0" w:type="dxa"/>
            <w:left w:w="108" w:type="dxa"/>
            <w:bottom w:w="0" w:type="dxa"/>
            <w:right w:w="108" w:type="dxa"/>
          </w:tblCellMar>
        </w:tblPrEx>
        <w:trPr>
          <w:trHeight w:val="285" w:hRule="atLeast"/>
        </w:trPr>
        <w:tc>
          <w:tcPr>
            <w:tcW w:w="816" w:type="dxa"/>
            <w:vMerge w:val="continue"/>
            <w:tcBorders>
              <w:top w:val="single" w:color="auto" w:sz="8" w:space="0"/>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元</w:t>
            </w:r>
            <w:r>
              <w:rPr>
                <w:rFonts w:ascii="Times New Roman"/>
                <w:color w:val="000000"/>
                <w:sz w:val="21"/>
                <w:szCs w:val="21"/>
              </w:rPr>
              <w:t>/</w:t>
            </w:r>
            <w:r>
              <w:rPr>
                <w:rFonts w:ascii="Times New Roman" w:hAnsi="宋体"/>
                <w:color w:val="000000"/>
                <w:sz w:val="21"/>
                <w:szCs w:val="21"/>
              </w:rPr>
              <w:t>㎡</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万元</w:t>
            </w:r>
            <w:r>
              <w:rPr>
                <w:rFonts w:ascii="Times New Roman"/>
                <w:color w:val="000000"/>
                <w:sz w:val="21"/>
                <w:szCs w:val="21"/>
              </w:rPr>
              <w:t>/</w:t>
            </w:r>
            <w:r>
              <w:rPr>
                <w:rFonts w:ascii="Times New Roman" w:hAnsi="宋体"/>
                <w:color w:val="000000"/>
                <w:sz w:val="21"/>
                <w:szCs w:val="21"/>
              </w:rPr>
              <w:t>亩</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元</w:t>
            </w:r>
            <w:r>
              <w:rPr>
                <w:rFonts w:ascii="Times New Roman"/>
                <w:color w:val="000000"/>
                <w:sz w:val="21"/>
                <w:szCs w:val="21"/>
              </w:rPr>
              <w:t>/</w:t>
            </w:r>
            <w:r>
              <w:rPr>
                <w:rFonts w:ascii="Times New Roman" w:hAnsi="宋体"/>
                <w:color w:val="000000"/>
                <w:sz w:val="21"/>
                <w:szCs w:val="21"/>
              </w:rPr>
              <w:t>㎡</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万元</w:t>
            </w:r>
            <w:r>
              <w:rPr>
                <w:rFonts w:ascii="Times New Roman"/>
                <w:color w:val="000000"/>
                <w:sz w:val="21"/>
                <w:szCs w:val="21"/>
              </w:rPr>
              <w:t>/</w:t>
            </w:r>
            <w:r>
              <w:rPr>
                <w:rFonts w:ascii="Times New Roman" w:hAnsi="宋体"/>
                <w:color w:val="000000"/>
                <w:sz w:val="21"/>
                <w:szCs w:val="21"/>
              </w:rPr>
              <w:t>亩</w:t>
            </w: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元</w:t>
            </w:r>
            <w:r>
              <w:rPr>
                <w:rFonts w:ascii="Times New Roman"/>
                <w:color w:val="000000"/>
                <w:sz w:val="21"/>
                <w:szCs w:val="21"/>
              </w:rPr>
              <w:t>/</w:t>
            </w:r>
            <w:r>
              <w:rPr>
                <w:rFonts w:ascii="Times New Roman" w:hAnsi="宋体"/>
                <w:color w:val="000000"/>
                <w:sz w:val="21"/>
                <w:szCs w:val="21"/>
              </w:rPr>
              <w:t>㎡</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万元</w:t>
            </w:r>
            <w:r>
              <w:rPr>
                <w:rFonts w:ascii="Times New Roman"/>
                <w:color w:val="000000"/>
                <w:sz w:val="21"/>
                <w:szCs w:val="21"/>
              </w:rPr>
              <w:t>/</w:t>
            </w:r>
            <w:r>
              <w:rPr>
                <w:rFonts w:ascii="Times New Roman" w:hAnsi="宋体"/>
                <w:color w:val="000000"/>
                <w:sz w:val="21"/>
                <w:szCs w:val="21"/>
              </w:rPr>
              <w:t>亩</w:t>
            </w:r>
          </w:p>
        </w:tc>
      </w:tr>
      <w:tr>
        <w:tblPrEx>
          <w:tblCellMar>
            <w:top w:w="0" w:type="dxa"/>
            <w:left w:w="108" w:type="dxa"/>
            <w:bottom w:w="0" w:type="dxa"/>
            <w:right w:w="108" w:type="dxa"/>
          </w:tblCellMar>
        </w:tblPrEx>
        <w:trPr>
          <w:trHeight w:val="285" w:hRule="atLeast"/>
        </w:trPr>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Ⅰ</w:t>
            </w:r>
            <w:r>
              <w:rPr>
                <w:rFonts w:ascii="Times New Roman" w:hAnsi="宋体"/>
                <w:color w:val="000000"/>
                <w:sz w:val="21"/>
                <w:szCs w:val="21"/>
              </w:rPr>
              <w:t>级</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2020</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2305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153.67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1748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116.53 </w:t>
            </w:r>
          </w:p>
        </w:tc>
        <w:tc>
          <w:tcPr>
            <w:tcW w:w="953" w:type="dxa"/>
            <w:vMerge w:val="restart"/>
            <w:tcBorders>
              <w:top w:val="single" w:color="auto" w:sz="4" w:space="0"/>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规划限制区</w:t>
            </w: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2014</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2000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133.33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1500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100.00 </w:t>
            </w:r>
          </w:p>
        </w:tc>
        <w:tc>
          <w:tcPr>
            <w:tcW w:w="953" w:type="dxa"/>
            <w:vMerge w:val="continue"/>
            <w:tcBorders>
              <w:left w:val="single" w:color="auto" w:sz="4" w:space="0"/>
              <w:right w:val="single" w:color="auto" w:sz="4" w:space="0"/>
            </w:tcBorders>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差值</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305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20.34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248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16.53 </w:t>
            </w:r>
          </w:p>
        </w:tc>
        <w:tc>
          <w:tcPr>
            <w:tcW w:w="953" w:type="dxa"/>
            <w:vMerge w:val="continue"/>
            <w:tcBorders>
              <w:left w:val="single" w:color="auto" w:sz="4" w:space="0"/>
              <w:right w:val="single" w:color="auto" w:sz="4" w:space="0"/>
            </w:tcBorders>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两轮对比</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环比上浮</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定基上调</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环比上浮</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定基上调</w:t>
            </w:r>
          </w:p>
        </w:tc>
        <w:tc>
          <w:tcPr>
            <w:tcW w:w="953" w:type="dxa"/>
            <w:vMerge w:val="continue"/>
            <w:tcBorders>
              <w:left w:val="single" w:color="auto" w:sz="4" w:space="0"/>
              <w:right w:val="single" w:color="auto" w:sz="4" w:space="0"/>
            </w:tcBorders>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2.39%</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15.25%</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2.58%</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16.53%</w:t>
            </w:r>
          </w:p>
        </w:tc>
        <w:tc>
          <w:tcPr>
            <w:tcW w:w="953" w:type="dxa"/>
            <w:vMerge w:val="continue"/>
            <w:tcBorders>
              <w:left w:val="single" w:color="auto" w:sz="4" w:space="0"/>
              <w:bottom w:val="single" w:color="auto" w:sz="4" w:space="0"/>
              <w:right w:val="single" w:color="auto" w:sz="4" w:space="0"/>
            </w:tcBorders>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w:t>
            </w:r>
          </w:p>
        </w:tc>
      </w:tr>
      <w:tr>
        <w:tblPrEx>
          <w:tblCellMar>
            <w:top w:w="0" w:type="dxa"/>
            <w:left w:w="108" w:type="dxa"/>
            <w:bottom w:w="0" w:type="dxa"/>
            <w:right w:w="108" w:type="dxa"/>
          </w:tblCellMar>
        </w:tblPrEx>
        <w:trPr>
          <w:trHeight w:val="285" w:hRule="atLeast"/>
        </w:trPr>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Ⅱ</w:t>
            </w:r>
            <w:r>
              <w:rPr>
                <w:rFonts w:ascii="Times New Roman" w:hAnsi="宋体"/>
                <w:color w:val="000000"/>
                <w:sz w:val="21"/>
                <w:szCs w:val="21"/>
              </w:rPr>
              <w:t>级</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2020</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1723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114.87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1180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78.67 </w:t>
            </w:r>
          </w:p>
        </w:tc>
        <w:tc>
          <w:tcPr>
            <w:tcW w:w="953" w:type="dxa"/>
            <w:vMerge w:val="restart"/>
            <w:tcBorders>
              <w:top w:val="single" w:color="auto" w:sz="4" w:space="0"/>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r>
              <w:rPr>
                <w:rFonts w:ascii="Times New Roman"/>
                <w:color w:val="000000"/>
                <w:sz w:val="21"/>
                <w:szCs w:val="21"/>
              </w:rPr>
              <w:t>Ⅰ</w:t>
            </w:r>
            <w:r>
              <w:rPr>
                <w:rFonts w:ascii="Times New Roman" w:hAnsi="宋体"/>
                <w:color w:val="000000"/>
                <w:sz w:val="21"/>
                <w:szCs w:val="21"/>
              </w:rPr>
              <w:t>级</w:t>
            </w: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468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31.20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2014</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1350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90.00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950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63.33 </w:t>
            </w:r>
          </w:p>
        </w:tc>
        <w:tc>
          <w:tcPr>
            <w:tcW w:w="953" w:type="dxa"/>
            <w:vMerge w:val="continue"/>
            <w:tcBorders>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522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34.80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差值</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373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24.87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230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15.34 </w:t>
            </w:r>
          </w:p>
        </w:tc>
        <w:tc>
          <w:tcPr>
            <w:tcW w:w="953" w:type="dxa"/>
            <w:vMerge w:val="continue"/>
            <w:tcBorders>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-54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-3.60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两轮对比</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环比上浮</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定基上调</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环比上浮</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定基上调</w:t>
            </w:r>
          </w:p>
        </w:tc>
        <w:tc>
          <w:tcPr>
            <w:tcW w:w="953" w:type="dxa"/>
            <w:vMerge w:val="continue"/>
            <w:tcBorders>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环比下浮</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定基下调</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4.15%</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27.63%</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3.68%</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24.21%</w:t>
            </w:r>
          </w:p>
        </w:tc>
        <w:tc>
          <w:tcPr>
            <w:tcW w:w="953" w:type="dxa"/>
            <w:vMerge w:val="continue"/>
            <w:tcBorders>
              <w:left w:val="single" w:color="auto" w:sz="4" w:space="0"/>
              <w:bottom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-1.80%</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-10.34%</w:t>
            </w:r>
          </w:p>
        </w:tc>
      </w:tr>
      <w:tr>
        <w:tblPrEx>
          <w:tblCellMar>
            <w:top w:w="0" w:type="dxa"/>
            <w:left w:w="108" w:type="dxa"/>
            <w:bottom w:w="0" w:type="dxa"/>
            <w:right w:w="108" w:type="dxa"/>
          </w:tblCellMar>
        </w:tblPrEx>
        <w:trPr>
          <w:trHeight w:val="285" w:hRule="atLeast"/>
        </w:trPr>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Ⅲ</w:t>
            </w:r>
            <w:r>
              <w:rPr>
                <w:rFonts w:ascii="Times New Roman" w:hAnsi="宋体"/>
                <w:color w:val="000000"/>
                <w:sz w:val="21"/>
                <w:szCs w:val="21"/>
              </w:rPr>
              <w:t>级</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2020</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1085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72.33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815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54.33 </w:t>
            </w:r>
          </w:p>
        </w:tc>
        <w:tc>
          <w:tcPr>
            <w:tcW w:w="953" w:type="dxa"/>
            <w:vMerge w:val="restart"/>
            <w:tcBorders>
              <w:top w:val="single" w:color="auto" w:sz="4" w:space="0"/>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r>
              <w:rPr>
                <w:rFonts w:ascii="Times New Roman"/>
                <w:color w:val="000000"/>
                <w:sz w:val="21"/>
                <w:szCs w:val="21"/>
              </w:rPr>
              <w:t>Ⅱ</w:t>
            </w:r>
            <w:r>
              <w:rPr>
                <w:rFonts w:ascii="Times New Roman" w:hAnsi="宋体"/>
                <w:color w:val="000000"/>
                <w:sz w:val="21"/>
                <w:szCs w:val="21"/>
              </w:rPr>
              <w:t>级</w:t>
            </w: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410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27.33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2014</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780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52.00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600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40.00 </w:t>
            </w:r>
          </w:p>
        </w:tc>
        <w:tc>
          <w:tcPr>
            <w:tcW w:w="953" w:type="dxa"/>
            <w:vMerge w:val="continue"/>
            <w:tcBorders>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462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30.80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差值</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305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20.33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215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14.33 </w:t>
            </w:r>
          </w:p>
        </w:tc>
        <w:tc>
          <w:tcPr>
            <w:tcW w:w="953" w:type="dxa"/>
            <w:vMerge w:val="continue"/>
            <w:tcBorders>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-52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-3.47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两轮对比</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环比上浮</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定基上调</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环比上浮</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定基上调</w:t>
            </w:r>
          </w:p>
        </w:tc>
        <w:tc>
          <w:tcPr>
            <w:tcW w:w="953" w:type="dxa"/>
            <w:vMerge w:val="continue"/>
            <w:tcBorders>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环比下浮</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定基下调</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5.65%</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39.10%</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5.24%</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35.83%</w:t>
            </w:r>
          </w:p>
        </w:tc>
        <w:tc>
          <w:tcPr>
            <w:tcW w:w="953" w:type="dxa"/>
            <w:vMerge w:val="continue"/>
            <w:tcBorders>
              <w:left w:val="single" w:color="auto" w:sz="4" w:space="0"/>
              <w:bottom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-1.97%</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-11.26%</w:t>
            </w:r>
          </w:p>
        </w:tc>
      </w:tr>
      <w:tr>
        <w:tblPrEx>
          <w:tblCellMar>
            <w:top w:w="0" w:type="dxa"/>
            <w:left w:w="108" w:type="dxa"/>
            <w:bottom w:w="0" w:type="dxa"/>
            <w:right w:w="108" w:type="dxa"/>
          </w:tblCellMar>
        </w:tblPrEx>
        <w:trPr>
          <w:trHeight w:val="285" w:hRule="atLeast"/>
        </w:trPr>
        <w:tc>
          <w:tcPr>
            <w:tcW w:w="816"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Ⅳ</w:t>
            </w:r>
            <w:r>
              <w:rPr>
                <w:rFonts w:ascii="Times New Roman" w:hAnsi="宋体"/>
                <w:color w:val="000000"/>
                <w:sz w:val="21"/>
                <w:szCs w:val="21"/>
              </w:rPr>
              <w:t>级</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2020</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725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48.33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636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42.40 </w:t>
            </w:r>
          </w:p>
        </w:tc>
        <w:tc>
          <w:tcPr>
            <w:tcW w:w="953" w:type="dxa"/>
            <w:vMerge w:val="restart"/>
            <w:tcBorders>
              <w:top w:val="single" w:color="auto" w:sz="4" w:space="0"/>
              <w:left w:val="single" w:color="auto" w:sz="4" w:space="0"/>
              <w:right w:val="single" w:color="auto" w:sz="4" w:space="0"/>
            </w:tcBorders>
            <w:vAlign w:val="center"/>
          </w:tcPr>
          <w:p>
            <w:pPr>
              <w:widowControl/>
              <w:autoSpaceDE/>
              <w:autoSpaceDN/>
              <w:adjustRightInd/>
              <w:jc w:val="center"/>
              <w:rPr>
                <w:rFonts w:ascii="Times New Roman"/>
                <w:color w:val="000000"/>
                <w:sz w:val="21"/>
                <w:szCs w:val="21"/>
              </w:rPr>
            </w:pPr>
            <w:r>
              <w:rPr>
                <w:rFonts w:ascii="Times New Roman"/>
                <w:color w:val="000000"/>
                <w:sz w:val="21"/>
                <w:szCs w:val="21"/>
              </w:rPr>
              <w:t>Ⅲ</w:t>
            </w:r>
            <w:r>
              <w:rPr>
                <w:rFonts w:ascii="Times New Roman" w:hAnsi="宋体"/>
                <w:color w:val="000000"/>
                <w:sz w:val="21"/>
                <w:szCs w:val="21"/>
              </w:rPr>
              <w:t>级</w:t>
            </w: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321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21.40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2014</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530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35.33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480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32.00 </w:t>
            </w:r>
          </w:p>
        </w:tc>
        <w:tc>
          <w:tcPr>
            <w:tcW w:w="953" w:type="dxa"/>
            <w:vMerge w:val="continue"/>
            <w:tcBorders>
              <w:left w:val="single" w:color="auto" w:sz="4" w:space="0"/>
              <w:right w:val="single" w:color="auto" w:sz="4" w:space="0"/>
            </w:tcBorders>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384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25.60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差值</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195 </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13.00 </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156 </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10.40 </w:t>
            </w:r>
          </w:p>
        </w:tc>
        <w:tc>
          <w:tcPr>
            <w:tcW w:w="953" w:type="dxa"/>
            <w:vMerge w:val="continue"/>
            <w:tcBorders>
              <w:left w:val="single" w:color="auto" w:sz="4" w:space="0"/>
              <w:right w:val="single" w:color="auto" w:sz="4" w:space="0"/>
            </w:tcBorders>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-63 </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 xml:space="preserve">-4.20 </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两轮对比</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环比上浮</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定基上调</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环比上浮</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定基上调</w:t>
            </w:r>
          </w:p>
        </w:tc>
        <w:tc>
          <w:tcPr>
            <w:tcW w:w="953" w:type="dxa"/>
            <w:vMerge w:val="continue"/>
            <w:tcBorders>
              <w:left w:val="single" w:color="auto" w:sz="4" w:space="0"/>
              <w:right w:val="single" w:color="auto" w:sz="4" w:space="0"/>
            </w:tcBorders>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环比下浮</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hAnsi="宋体"/>
                <w:color w:val="000000"/>
                <w:sz w:val="21"/>
                <w:szCs w:val="21"/>
              </w:rPr>
              <w:t>定基下调</w:t>
            </w:r>
          </w:p>
        </w:tc>
      </w:tr>
      <w:tr>
        <w:tblPrEx>
          <w:tblCellMar>
            <w:top w:w="0" w:type="dxa"/>
            <w:left w:w="108" w:type="dxa"/>
            <w:bottom w:w="0" w:type="dxa"/>
            <w:right w:w="108" w:type="dxa"/>
          </w:tblCellMar>
        </w:tblPrEx>
        <w:trPr>
          <w:trHeight w:val="285" w:hRule="atLeast"/>
        </w:trPr>
        <w:tc>
          <w:tcPr>
            <w:tcW w:w="816"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color w:val="000000"/>
                <w:sz w:val="21"/>
                <w:szCs w:val="21"/>
              </w:rPr>
            </w:pP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5.36%</w:t>
            </w:r>
          </w:p>
        </w:tc>
        <w:tc>
          <w:tcPr>
            <w:tcW w:w="991"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36.79%</w:t>
            </w:r>
          </w:p>
        </w:tc>
        <w:tc>
          <w:tcPr>
            <w:tcW w:w="993"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4.80%</w:t>
            </w:r>
          </w:p>
        </w:tc>
        <w:tc>
          <w:tcPr>
            <w:tcW w:w="991" w:type="dxa"/>
            <w:tcBorders>
              <w:top w:val="nil"/>
              <w:left w:val="nil"/>
              <w:bottom w:val="single" w:color="auto" w:sz="8" w:space="0"/>
              <w:right w:val="single" w:color="auto" w:sz="4"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32.50%</w:t>
            </w:r>
          </w:p>
        </w:tc>
        <w:tc>
          <w:tcPr>
            <w:tcW w:w="953" w:type="dxa"/>
            <w:vMerge w:val="continue"/>
            <w:tcBorders>
              <w:left w:val="single" w:color="auto" w:sz="4" w:space="0"/>
              <w:bottom w:val="single" w:color="auto" w:sz="4" w:space="0"/>
              <w:right w:val="single" w:color="auto" w:sz="4" w:space="0"/>
            </w:tcBorders>
          </w:tcPr>
          <w:p>
            <w:pPr>
              <w:widowControl/>
              <w:autoSpaceDE/>
              <w:autoSpaceDN/>
              <w:adjustRightInd/>
              <w:jc w:val="center"/>
              <w:rPr>
                <w:rFonts w:ascii="Times New Roman"/>
                <w:color w:val="000000"/>
                <w:sz w:val="21"/>
                <w:szCs w:val="21"/>
              </w:rPr>
            </w:pPr>
          </w:p>
        </w:tc>
        <w:tc>
          <w:tcPr>
            <w:tcW w:w="846" w:type="dxa"/>
            <w:tcBorders>
              <w:top w:val="nil"/>
              <w:left w:val="single" w:color="auto" w:sz="4" w:space="0"/>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-2.94%</w:t>
            </w:r>
          </w:p>
        </w:tc>
        <w:tc>
          <w:tcPr>
            <w:tcW w:w="952"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color w:val="000000"/>
                <w:sz w:val="21"/>
                <w:szCs w:val="21"/>
              </w:rPr>
            </w:pPr>
            <w:r>
              <w:rPr>
                <w:rFonts w:ascii="Times New Roman"/>
                <w:color w:val="000000"/>
                <w:sz w:val="21"/>
                <w:szCs w:val="21"/>
              </w:rPr>
              <w:t>-16.41%</w:t>
            </w:r>
          </w:p>
        </w:tc>
      </w:tr>
    </w:tbl>
    <w:p>
      <w:pPr>
        <w:ind w:firstLine="360" w:firstLineChars="200"/>
        <w:rPr>
          <w:rFonts w:ascii="Times New Roman" w:eastAsia="仿宋"/>
          <w:sz w:val="18"/>
          <w:szCs w:val="18"/>
        </w:rPr>
      </w:pPr>
      <w:r>
        <w:rPr>
          <w:rFonts w:ascii="Times New Roman" w:hAnsi="仿宋" w:eastAsia="仿宋"/>
          <w:sz w:val="18"/>
          <w:szCs w:val="18"/>
        </w:rPr>
        <w:t>注：环比：</w:t>
      </w:r>
      <w:r>
        <w:rPr>
          <w:rFonts w:ascii="Times New Roman" w:eastAsia="仿宋"/>
          <w:sz w:val="18"/>
          <w:szCs w:val="18"/>
        </w:rPr>
        <w:t>P=a(1+r)^6(P:2020</w:t>
      </w:r>
      <w:r>
        <w:rPr>
          <w:rFonts w:ascii="Times New Roman" w:hAnsi="仿宋" w:eastAsia="仿宋"/>
          <w:sz w:val="18"/>
          <w:szCs w:val="18"/>
        </w:rPr>
        <w:t>价格、</w:t>
      </w:r>
      <w:r>
        <w:rPr>
          <w:rFonts w:ascii="Times New Roman" w:eastAsia="仿宋"/>
          <w:sz w:val="18"/>
          <w:szCs w:val="18"/>
        </w:rPr>
        <w:t>a</w:t>
      </w:r>
      <w:r>
        <w:rPr>
          <w:rFonts w:ascii="Times New Roman" w:hAnsi="仿宋" w:eastAsia="仿宋"/>
          <w:sz w:val="18"/>
          <w:szCs w:val="18"/>
        </w:rPr>
        <w:t>：</w:t>
      </w:r>
      <w:r>
        <w:rPr>
          <w:rFonts w:ascii="Times New Roman" w:eastAsia="仿宋"/>
          <w:sz w:val="18"/>
          <w:szCs w:val="18"/>
        </w:rPr>
        <w:t>2014</w:t>
      </w:r>
      <w:r>
        <w:rPr>
          <w:rFonts w:ascii="Times New Roman" w:hAnsi="仿宋" w:eastAsia="仿宋"/>
          <w:sz w:val="18"/>
          <w:szCs w:val="18"/>
        </w:rPr>
        <w:t>价格、</w:t>
      </w:r>
      <w:r>
        <w:rPr>
          <w:rFonts w:ascii="Times New Roman" w:eastAsia="仿宋"/>
          <w:sz w:val="18"/>
          <w:szCs w:val="18"/>
        </w:rPr>
        <w:t>r</w:t>
      </w:r>
      <w:r>
        <w:rPr>
          <w:rFonts w:ascii="Times New Roman" w:hAnsi="仿宋" w:eastAsia="仿宋"/>
          <w:sz w:val="18"/>
          <w:szCs w:val="18"/>
        </w:rPr>
        <w:t>：年均增长率</w:t>
      </w:r>
      <w:r>
        <w:rPr>
          <w:rFonts w:ascii="Times New Roman" w:eastAsia="仿宋"/>
          <w:sz w:val="18"/>
          <w:szCs w:val="18"/>
        </w:rPr>
        <w:t>)</w:t>
      </w:r>
    </w:p>
    <w:p>
      <w:pPr>
        <w:ind w:firstLine="720" w:firstLineChars="400"/>
        <w:rPr>
          <w:rFonts w:ascii="Times New Roman" w:eastAsia="仿宋"/>
          <w:sz w:val="18"/>
          <w:szCs w:val="18"/>
        </w:rPr>
      </w:pPr>
      <w:r>
        <w:rPr>
          <w:rFonts w:ascii="Times New Roman" w:hAnsi="仿宋" w:eastAsia="仿宋"/>
          <w:sz w:val="18"/>
          <w:szCs w:val="18"/>
        </w:rPr>
        <w:t>同比：</w:t>
      </w:r>
      <w:r>
        <w:rPr>
          <w:rFonts w:ascii="Times New Roman" w:eastAsia="仿宋"/>
          <w:sz w:val="18"/>
          <w:szCs w:val="18"/>
        </w:rPr>
        <w:t>P=(a-b)/b (a:2020</w:t>
      </w:r>
      <w:r>
        <w:rPr>
          <w:rFonts w:ascii="Times New Roman" w:hAnsi="仿宋" w:eastAsia="仿宋"/>
          <w:sz w:val="18"/>
          <w:szCs w:val="18"/>
        </w:rPr>
        <w:t>价格、</w:t>
      </w:r>
      <w:r>
        <w:rPr>
          <w:rFonts w:ascii="Times New Roman" w:eastAsia="仿宋"/>
          <w:sz w:val="18"/>
          <w:szCs w:val="18"/>
        </w:rPr>
        <w:t>b</w:t>
      </w:r>
      <w:r>
        <w:rPr>
          <w:rFonts w:ascii="Times New Roman" w:hAnsi="仿宋" w:eastAsia="仿宋"/>
          <w:sz w:val="18"/>
          <w:szCs w:val="18"/>
        </w:rPr>
        <w:t>：</w:t>
      </w:r>
      <w:r>
        <w:rPr>
          <w:rFonts w:ascii="Times New Roman" w:eastAsia="仿宋"/>
          <w:sz w:val="18"/>
          <w:szCs w:val="18"/>
        </w:rPr>
        <w:t>2014</w:t>
      </w:r>
      <w:r>
        <w:rPr>
          <w:rFonts w:ascii="Times New Roman" w:hAnsi="仿宋" w:eastAsia="仿宋"/>
          <w:sz w:val="18"/>
          <w:szCs w:val="18"/>
        </w:rPr>
        <w:t>价格、</w:t>
      </w:r>
      <w:r>
        <w:rPr>
          <w:rFonts w:ascii="Times New Roman" w:eastAsia="仿宋"/>
          <w:sz w:val="18"/>
          <w:szCs w:val="18"/>
        </w:rPr>
        <w:t>P</w:t>
      </w:r>
      <w:r>
        <w:rPr>
          <w:rFonts w:ascii="Times New Roman" w:hAnsi="仿宋" w:eastAsia="仿宋"/>
          <w:sz w:val="18"/>
          <w:szCs w:val="18"/>
        </w:rPr>
        <w:t>：定基增长率</w:t>
      </w:r>
      <w:r>
        <w:rPr>
          <w:rFonts w:ascii="Times New Roman" w:eastAsia="仿宋"/>
          <w:sz w:val="18"/>
          <w:szCs w:val="18"/>
        </w:rPr>
        <w:t>)</w:t>
      </w:r>
    </w:p>
    <w:p>
      <w:pPr>
        <w:widowControl/>
        <w:rPr>
          <w:rFonts w:ascii="Times New Roman" w:eastAsia="仿宋"/>
          <w:sz w:val="21"/>
          <w:szCs w:val="21"/>
        </w:rPr>
      </w:pPr>
      <w:r>
        <w:rPr>
          <w:rFonts w:ascii="Times New Roman" w:hAnsi="仿宋" w:eastAsia="仿宋"/>
          <w:sz w:val="21"/>
          <w:szCs w:val="21"/>
        </w:rPr>
        <w:t>经过比较分析，可以看出：</w:t>
      </w:r>
      <w:r>
        <w:rPr>
          <w:rFonts w:ascii="Times New Roman" w:eastAsia="仿宋"/>
          <w:sz w:val="21"/>
          <w:szCs w:val="21"/>
        </w:rPr>
        <w:t xml:space="preserve"> </w:t>
      </w:r>
    </w:p>
    <w:p>
      <w:pPr>
        <w:tabs>
          <w:tab w:val="left" w:pos="5940"/>
        </w:tabs>
        <w:spacing w:line="360" w:lineRule="auto"/>
        <w:ind w:firstLine="480" w:firstLineChars="200"/>
        <w:rPr>
          <w:rFonts w:ascii="Times New Roman" w:eastAsia="仿宋"/>
          <w:sz w:val="24"/>
        </w:rPr>
      </w:pPr>
      <w:r>
        <w:rPr>
          <w:rFonts w:ascii="Times New Roman" w:hAnsi="仿宋" w:eastAsia="仿宋"/>
          <w:sz w:val="24"/>
        </w:rPr>
        <w:t>商服用地：</w:t>
      </w:r>
      <w:r>
        <w:rPr>
          <w:rFonts w:ascii="Times New Roman" w:eastAsia="仿宋"/>
          <w:sz w:val="24"/>
        </w:rPr>
        <w:t>Ⅰ</w:t>
      </w:r>
      <w:r>
        <w:rPr>
          <w:rFonts w:ascii="Times New Roman" w:hAnsi="仿宋" w:eastAsia="仿宋"/>
          <w:sz w:val="24"/>
        </w:rPr>
        <w:t>级增长</w:t>
      </w:r>
      <w:r>
        <w:rPr>
          <w:rFonts w:ascii="Times New Roman" w:eastAsia="仿宋"/>
          <w:sz w:val="24"/>
        </w:rPr>
        <w:t>305</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2.39%</w:t>
      </w:r>
      <w:r>
        <w:rPr>
          <w:rFonts w:ascii="Times New Roman" w:hAnsi="仿宋" w:eastAsia="仿宋"/>
          <w:sz w:val="24"/>
        </w:rPr>
        <w:t>；</w:t>
      </w:r>
      <w:r>
        <w:rPr>
          <w:rFonts w:ascii="Times New Roman" w:eastAsia="仿宋"/>
          <w:sz w:val="24"/>
        </w:rPr>
        <w:t>Ⅱ</w:t>
      </w:r>
      <w:r>
        <w:rPr>
          <w:rFonts w:ascii="Times New Roman" w:hAnsi="仿宋" w:eastAsia="仿宋"/>
          <w:sz w:val="24"/>
        </w:rPr>
        <w:t>级增长</w:t>
      </w:r>
      <w:r>
        <w:rPr>
          <w:rFonts w:ascii="Times New Roman" w:eastAsia="仿宋"/>
          <w:sz w:val="24"/>
        </w:rPr>
        <w:t>373</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4.15%</w:t>
      </w:r>
      <w:r>
        <w:rPr>
          <w:rFonts w:ascii="Times New Roman" w:hAnsi="仿宋" w:eastAsia="仿宋"/>
          <w:sz w:val="24"/>
        </w:rPr>
        <w:t>；</w:t>
      </w:r>
      <w:r>
        <w:rPr>
          <w:rFonts w:ascii="Times New Roman" w:eastAsia="仿宋"/>
          <w:sz w:val="24"/>
        </w:rPr>
        <w:t>Ⅲ</w:t>
      </w:r>
      <w:r>
        <w:rPr>
          <w:rFonts w:ascii="Times New Roman" w:hAnsi="仿宋" w:eastAsia="仿宋"/>
          <w:sz w:val="24"/>
        </w:rPr>
        <w:t>级增长</w:t>
      </w:r>
      <w:r>
        <w:rPr>
          <w:rFonts w:ascii="Times New Roman" w:eastAsia="仿宋"/>
          <w:sz w:val="24"/>
        </w:rPr>
        <w:t>305</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5.65%</w:t>
      </w:r>
      <w:r>
        <w:rPr>
          <w:rFonts w:ascii="Times New Roman" w:hAnsi="仿宋" w:eastAsia="仿宋"/>
          <w:sz w:val="24"/>
        </w:rPr>
        <w:t>；</w:t>
      </w:r>
      <w:r>
        <w:rPr>
          <w:rFonts w:ascii="Times New Roman" w:eastAsia="仿宋"/>
          <w:sz w:val="24"/>
        </w:rPr>
        <w:t>Ⅳ</w:t>
      </w:r>
      <w:r>
        <w:rPr>
          <w:rFonts w:ascii="Times New Roman" w:hAnsi="仿宋" w:eastAsia="仿宋"/>
          <w:sz w:val="24"/>
        </w:rPr>
        <w:t>级增长</w:t>
      </w:r>
      <w:r>
        <w:rPr>
          <w:rFonts w:ascii="Times New Roman" w:eastAsia="仿宋"/>
          <w:sz w:val="24"/>
        </w:rPr>
        <w:t>195</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5.36%</w:t>
      </w:r>
      <w:r>
        <w:rPr>
          <w:rFonts w:ascii="Times New Roman" w:hAnsi="仿宋" w:eastAsia="仿宋"/>
          <w:sz w:val="24"/>
        </w:rPr>
        <w:t>。</w:t>
      </w:r>
    </w:p>
    <w:p>
      <w:pPr>
        <w:spacing w:line="360" w:lineRule="auto"/>
        <w:ind w:firstLine="680" w:firstLineChars="200"/>
        <w:jc w:val="center"/>
        <w:rPr>
          <w:rFonts w:ascii="Times New Roman" w:eastAsia="仿宋"/>
        </w:rPr>
      </w:pPr>
      <w:r>
        <w:rPr>
          <w:rFonts w:ascii="Times New Roman" w:eastAsia="仿宋"/>
        </w:rPr>
        <w:drawing>
          <wp:inline distT="0" distB="0" distL="0" distR="0">
            <wp:extent cx="4529455" cy="4048125"/>
            <wp:effectExtent l="6096" t="0" r="762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tabs>
          <w:tab w:val="left" w:pos="5940"/>
        </w:tabs>
        <w:spacing w:line="360" w:lineRule="auto"/>
        <w:ind w:firstLine="480" w:firstLineChars="200"/>
        <w:rPr>
          <w:rFonts w:ascii="Times New Roman" w:eastAsia="仿宋"/>
          <w:sz w:val="24"/>
        </w:rPr>
      </w:pPr>
      <w:r>
        <w:rPr>
          <w:rFonts w:ascii="Times New Roman" w:hAnsi="仿宋" w:eastAsia="仿宋"/>
          <w:sz w:val="24"/>
        </w:rPr>
        <w:t>住宅用地：</w:t>
      </w:r>
      <w:r>
        <w:rPr>
          <w:rFonts w:ascii="Times New Roman" w:eastAsia="仿宋"/>
          <w:sz w:val="24"/>
        </w:rPr>
        <w:t>Ⅰ</w:t>
      </w:r>
      <w:r>
        <w:rPr>
          <w:rFonts w:ascii="Times New Roman" w:hAnsi="仿宋" w:eastAsia="仿宋"/>
          <w:sz w:val="24"/>
        </w:rPr>
        <w:t>级增长</w:t>
      </w:r>
      <w:r>
        <w:rPr>
          <w:rFonts w:ascii="Times New Roman" w:eastAsia="仿宋"/>
          <w:sz w:val="24"/>
        </w:rPr>
        <w:t>248</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w:t>
      </w:r>
      <w:r>
        <w:rPr>
          <w:rFonts w:ascii="Times New Roman" w:eastAsia="仿宋"/>
          <w:sz w:val="24"/>
        </w:rPr>
        <w:t>2.58%</w:t>
      </w:r>
      <w:r>
        <w:rPr>
          <w:rFonts w:ascii="Times New Roman" w:hAnsi="仿宋" w:eastAsia="仿宋"/>
          <w:sz w:val="24"/>
        </w:rPr>
        <w:t>；</w:t>
      </w:r>
      <w:r>
        <w:rPr>
          <w:rFonts w:ascii="Times New Roman" w:eastAsia="仿宋"/>
          <w:sz w:val="24"/>
        </w:rPr>
        <w:t>Ⅱ</w:t>
      </w:r>
      <w:r>
        <w:rPr>
          <w:rFonts w:ascii="Times New Roman" w:hAnsi="仿宋" w:eastAsia="仿宋"/>
          <w:sz w:val="24"/>
        </w:rPr>
        <w:t>级增长</w:t>
      </w:r>
      <w:r>
        <w:rPr>
          <w:rFonts w:ascii="Times New Roman" w:eastAsia="仿宋"/>
          <w:sz w:val="24"/>
        </w:rPr>
        <w:t>230</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3.68%</w:t>
      </w:r>
      <w:r>
        <w:rPr>
          <w:rFonts w:ascii="Times New Roman" w:hAnsi="仿宋" w:eastAsia="仿宋"/>
          <w:sz w:val="24"/>
        </w:rPr>
        <w:t>；</w:t>
      </w:r>
      <w:r>
        <w:rPr>
          <w:rFonts w:ascii="Times New Roman" w:eastAsia="仿宋"/>
          <w:sz w:val="24"/>
        </w:rPr>
        <w:t>Ⅲ</w:t>
      </w:r>
      <w:r>
        <w:rPr>
          <w:rFonts w:ascii="Times New Roman" w:hAnsi="仿宋" w:eastAsia="仿宋"/>
          <w:sz w:val="24"/>
        </w:rPr>
        <w:t>级增长</w:t>
      </w:r>
      <w:r>
        <w:rPr>
          <w:rFonts w:ascii="Times New Roman" w:eastAsia="仿宋"/>
          <w:sz w:val="24"/>
        </w:rPr>
        <w:t>215</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5.24%</w:t>
      </w:r>
      <w:r>
        <w:rPr>
          <w:rFonts w:ascii="Times New Roman" w:hAnsi="仿宋" w:eastAsia="仿宋"/>
          <w:sz w:val="24"/>
        </w:rPr>
        <w:t>；</w:t>
      </w:r>
      <w:r>
        <w:rPr>
          <w:rFonts w:ascii="Times New Roman" w:eastAsia="仿宋"/>
          <w:sz w:val="24"/>
        </w:rPr>
        <w:t>Ⅳ</w:t>
      </w:r>
      <w:r>
        <w:rPr>
          <w:rFonts w:ascii="Times New Roman" w:hAnsi="仿宋" w:eastAsia="仿宋"/>
          <w:sz w:val="24"/>
        </w:rPr>
        <w:t>级增长</w:t>
      </w:r>
      <w:r>
        <w:rPr>
          <w:rFonts w:ascii="Times New Roman" w:eastAsia="仿宋"/>
          <w:sz w:val="24"/>
        </w:rPr>
        <w:t>156</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4.80%</w:t>
      </w:r>
      <w:r>
        <w:rPr>
          <w:rFonts w:ascii="Times New Roman" w:hAnsi="仿宋" w:eastAsia="仿宋"/>
          <w:sz w:val="24"/>
        </w:rPr>
        <w:t>。</w:t>
      </w:r>
    </w:p>
    <w:p>
      <w:pPr>
        <w:spacing w:line="360" w:lineRule="auto"/>
        <w:ind w:firstLine="680" w:firstLineChars="200"/>
        <w:jc w:val="center"/>
        <w:rPr>
          <w:rFonts w:ascii="Times New Roman" w:eastAsia="仿宋"/>
        </w:rPr>
      </w:pPr>
      <w:r>
        <w:rPr>
          <w:rFonts w:ascii="Times New Roman" w:eastAsia="仿宋"/>
        </w:rPr>
        <w:drawing>
          <wp:inline distT="0" distB="0" distL="0" distR="0">
            <wp:extent cx="4761230" cy="3399155"/>
            <wp:effectExtent l="6096" t="0" r="4572" b="1143"/>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left" w:pos="5940"/>
        </w:tabs>
        <w:spacing w:line="360" w:lineRule="auto"/>
        <w:ind w:firstLine="480" w:firstLineChars="200"/>
        <w:rPr>
          <w:rFonts w:ascii="Times New Roman" w:eastAsia="仿宋"/>
          <w:sz w:val="24"/>
        </w:rPr>
      </w:pPr>
      <w:r>
        <w:rPr>
          <w:rFonts w:ascii="Times New Roman" w:hAnsi="仿宋" w:eastAsia="仿宋"/>
          <w:sz w:val="24"/>
        </w:rPr>
        <w:t>工矿仓储用地：规划限制区不宜布置工矿仓储用地；</w:t>
      </w:r>
      <w:r>
        <w:rPr>
          <w:rFonts w:ascii="Times New Roman" w:eastAsia="仿宋"/>
          <w:sz w:val="24"/>
        </w:rPr>
        <w:t>Ⅰ</w:t>
      </w:r>
      <w:r>
        <w:rPr>
          <w:rFonts w:ascii="Times New Roman" w:hAnsi="仿宋" w:eastAsia="仿宋"/>
          <w:sz w:val="24"/>
        </w:rPr>
        <w:t>级降低</w:t>
      </w:r>
      <w:r>
        <w:rPr>
          <w:rFonts w:ascii="Times New Roman" w:eastAsia="仿宋"/>
          <w:sz w:val="24"/>
        </w:rPr>
        <w:t>54</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1.80%</w:t>
      </w:r>
      <w:r>
        <w:rPr>
          <w:rFonts w:ascii="Times New Roman" w:hAnsi="仿宋" w:eastAsia="仿宋"/>
          <w:sz w:val="24"/>
        </w:rPr>
        <w:t>；</w:t>
      </w:r>
      <w:r>
        <w:rPr>
          <w:rFonts w:ascii="Times New Roman" w:eastAsia="仿宋"/>
          <w:sz w:val="24"/>
        </w:rPr>
        <w:t>Ⅱ</w:t>
      </w:r>
      <w:r>
        <w:rPr>
          <w:rFonts w:ascii="Times New Roman" w:hAnsi="仿宋" w:eastAsia="仿宋"/>
          <w:sz w:val="24"/>
        </w:rPr>
        <w:t>级降低</w:t>
      </w:r>
      <w:r>
        <w:rPr>
          <w:rFonts w:ascii="Times New Roman" w:eastAsia="仿宋"/>
          <w:sz w:val="24"/>
        </w:rPr>
        <w:t>52</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1.97%</w:t>
      </w:r>
      <w:r>
        <w:rPr>
          <w:rFonts w:ascii="Times New Roman" w:hAnsi="仿宋" w:eastAsia="仿宋"/>
          <w:sz w:val="24"/>
        </w:rPr>
        <w:t>；</w:t>
      </w:r>
      <w:r>
        <w:rPr>
          <w:rFonts w:ascii="Times New Roman" w:eastAsia="仿宋"/>
          <w:sz w:val="24"/>
        </w:rPr>
        <w:t>Ⅲ</w:t>
      </w:r>
      <w:r>
        <w:rPr>
          <w:rFonts w:ascii="Times New Roman" w:hAnsi="仿宋" w:eastAsia="仿宋"/>
          <w:sz w:val="24"/>
        </w:rPr>
        <w:t>级降低</w:t>
      </w:r>
      <w:r>
        <w:rPr>
          <w:rFonts w:ascii="Times New Roman" w:eastAsia="仿宋"/>
          <w:sz w:val="24"/>
        </w:rPr>
        <w:t>63</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2.94%</w:t>
      </w:r>
      <w:r>
        <w:rPr>
          <w:rFonts w:ascii="Times New Roman" w:hAnsi="仿宋" w:eastAsia="仿宋"/>
          <w:sz w:val="24"/>
        </w:rPr>
        <w:t>。</w:t>
      </w:r>
    </w:p>
    <w:p>
      <w:pPr>
        <w:pStyle w:val="57"/>
        <w:ind w:firstLine="482"/>
        <w:rPr>
          <w:rFonts w:ascii="Times New Roman" w:hAnsi="Times New Roman" w:eastAsia="仿宋"/>
          <w:color w:val="auto"/>
        </w:rPr>
      </w:pPr>
      <w:r>
        <w:rPr>
          <w:rFonts w:ascii="Times New Roman" w:hAnsi="Times New Roman" w:eastAsia="仿宋"/>
          <w:color w:val="auto"/>
        </w:rPr>
        <w:drawing>
          <wp:inline distT="0" distB="0" distL="0" distR="0">
            <wp:extent cx="4714875" cy="3629025"/>
            <wp:effectExtent l="6096" t="0" r="3429"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eastAsia="仿宋"/>
          <w:color w:val="auto"/>
        </w:rPr>
        <w:br w:type="page"/>
      </w:r>
      <w:r>
        <w:rPr>
          <w:rFonts w:ascii="Times New Roman" w:hAnsi="仿宋" w:eastAsia="仿宋"/>
          <w:color w:val="auto"/>
        </w:rPr>
        <w:t>表</w:t>
      </w:r>
      <w:r>
        <w:rPr>
          <w:rFonts w:ascii="Times New Roman" w:hAnsi="Times New Roman" w:eastAsia="仿宋"/>
          <w:color w:val="auto"/>
        </w:rPr>
        <w:t xml:space="preserve">10 </w:t>
      </w:r>
      <w:r>
        <w:rPr>
          <w:rFonts w:ascii="Times New Roman" w:hAnsi="仿宋" w:eastAsia="仿宋"/>
          <w:color w:val="auto"/>
        </w:rPr>
        <w:t>江城镇集镇规划区基准地价结果汇总表</w:t>
      </w:r>
    </w:p>
    <w:p>
      <w:pPr>
        <w:ind w:right="420" w:firstLine="300" w:firstLineChars="200"/>
        <w:jc w:val="right"/>
        <w:rPr>
          <w:rFonts w:ascii="Times New Roman" w:eastAsia="仿宋"/>
          <w:sz w:val="15"/>
          <w:szCs w:val="15"/>
        </w:rPr>
      </w:pPr>
      <w:r>
        <w:rPr>
          <w:rFonts w:ascii="Times New Roman" w:eastAsia="仿宋"/>
          <w:sz w:val="15"/>
          <w:szCs w:val="15"/>
        </w:rPr>
        <w:t xml:space="preserve"> </w:t>
      </w:r>
      <w:r>
        <w:rPr>
          <w:rFonts w:ascii="Times New Roman" w:hAnsi="仿宋" w:eastAsia="仿宋"/>
          <w:sz w:val="15"/>
          <w:szCs w:val="15"/>
        </w:rPr>
        <w:t>注：</w:t>
      </w:r>
      <w:r>
        <w:rPr>
          <w:rFonts w:ascii="Times New Roman" w:eastAsia="仿宋"/>
          <w:sz w:val="15"/>
          <w:szCs w:val="15"/>
        </w:rPr>
        <w:t>“</w:t>
      </w:r>
      <w:r>
        <w:rPr>
          <w:rFonts w:ascii="Times New Roman" w:hAnsi="仿宋" w:eastAsia="仿宋"/>
          <w:sz w:val="15"/>
          <w:szCs w:val="15"/>
        </w:rPr>
        <w:t>平均增长率</w:t>
      </w:r>
      <w:r>
        <w:rPr>
          <w:rFonts w:ascii="Times New Roman" w:eastAsia="仿宋"/>
          <w:sz w:val="15"/>
          <w:szCs w:val="15"/>
        </w:rPr>
        <w:t>”</w:t>
      </w:r>
      <w:r>
        <w:rPr>
          <w:rFonts w:ascii="Times New Roman" w:hAnsi="仿宋" w:eastAsia="仿宋"/>
          <w:sz w:val="15"/>
          <w:szCs w:val="15"/>
        </w:rPr>
        <w:t>为</w:t>
      </w:r>
      <w:r>
        <w:rPr>
          <w:rFonts w:ascii="Times New Roman" w:eastAsia="仿宋"/>
          <w:sz w:val="15"/>
          <w:szCs w:val="15"/>
        </w:rPr>
        <w:t>“</w:t>
      </w:r>
      <w:r>
        <w:rPr>
          <w:rFonts w:ascii="Times New Roman" w:hAnsi="仿宋" w:eastAsia="仿宋"/>
          <w:sz w:val="15"/>
          <w:szCs w:val="15"/>
        </w:rPr>
        <w:t>环比增长率</w:t>
      </w:r>
      <w:r>
        <w:rPr>
          <w:rFonts w:ascii="Times New Roman" w:eastAsia="仿宋"/>
          <w:sz w:val="15"/>
          <w:szCs w:val="15"/>
        </w:rPr>
        <w:t>”</w:t>
      </w:r>
    </w:p>
    <w:tbl>
      <w:tblPr>
        <w:tblStyle w:val="17"/>
        <w:tblW w:w="9020" w:type="dxa"/>
        <w:tblInd w:w="98" w:type="dxa"/>
        <w:tblLayout w:type="fixed"/>
        <w:tblCellMar>
          <w:top w:w="0" w:type="dxa"/>
          <w:left w:w="108" w:type="dxa"/>
          <w:bottom w:w="0" w:type="dxa"/>
          <w:right w:w="108" w:type="dxa"/>
        </w:tblCellMar>
      </w:tblPr>
      <w:tblGrid>
        <w:gridCol w:w="1060"/>
        <w:gridCol w:w="1060"/>
        <w:gridCol w:w="1060"/>
        <w:gridCol w:w="1120"/>
        <w:gridCol w:w="1060"/>
        <w:gridCol w:w="1540"/>
        <w:gridCol w:w="1060"/>
        <w:gridCol w:w="1060"/>
      </w:tblGrid>
      <w:tr>
        <w:tblPrEx>
          <w:tblCellMar>
            <w:top w:w="0" w:type="dxa"/>
            <w:left w:w="108" w:type="dxa"/>
            <w:bottom w:w="0" w:type="dxa"/>
            <w:right w:w="108" w:type="dxa"/>
          </w:tblCellMar>
        </w:tblPrEx>
        <w:trPr>
          <w:trHeight w:val="285" w:hRule="atLeast"/>
        </w:trPr>
        <w:tc>
          <w:tcPr>
            <w:tcW w:w="1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级别</w:t>
            </w:r>
          </w:p>
        </w:tc>
        <w:tc>
          <w:tcPr>
            <w:tcW w:w="1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年度</w:t>
            </w:r>
          </w:p>
        </w:tc>
        <w:tc>
          <w:tcPr>
            <w:tcW w:w="218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商服用地</w:t>
            </w:r>
          </w:p>
        </w:tc>
        <w:tc>
          <w:tcPr>
            <w:tcW w:w="260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住宅用地</w:t>
            </w:r>
          </w:p>
        </w:tc>
        <w:tc>
          <w:tcPr>
            <w:tcW w:w="212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工业用地</w:t>
            </w:r>
          </w:p>
        </w:tc>
      </w:tr>
      <w:tr>
        <w:tblPrEx>
          <w:tblCellMar>
            <w:top w:w="0" w:type="dxa"/>
            <w:left w:w="108" w:type="dxa"/>
            <w:bottom w:w="0" w:type="dxa"/>
            <w:right w:w="108" w:type="dxa"/>
          </w:tblCellMar>
        </w:tblPrEx>
        <w:trPr>
          <w:trHeight w:val="285" w:hRule="atLeast"/>
        </w:trPr>
        <w:tc>
          <w:tcPr>
            <w:tcW w:w="1060" w:type="dxa"/>
            <w:vMerge w:val="continue"/>
            <w:tcBorders>
              <w:top w:val="single" w:color="auto" w:sz="8" w:space="0"/>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Ⅰ</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1315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87.67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1080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72.00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1120</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74.67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890</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59.33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195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13.00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190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12.67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2.71%</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17.41%</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3.28%</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21.35%</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Ⅱ</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925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61.67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710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47.33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340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22.67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775</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51.67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590</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39.33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391</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26.07 </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150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10.00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120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8.00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-51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-3.40 </w:t>
            </w: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环比下浮</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定基下调</w:t>
            </w: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2.99%</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19.35%</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3.13%</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20.34%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-2.30%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-13.04%</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Ⅲ</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625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41.67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482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32.13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273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18.20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512</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34.13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394</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26.27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315</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21.00 </w:t>
            </w: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113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7.53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88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5.87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-42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-2.80 </w:t>
            </w:r>
          </w:p>
        </w:tc>
      </w:tr>
      <w:tr>
        <w:tblPrEx>
          <w:tblCellMar>
            <w:top w:w="0" w:type="dxa"/>
            <w:left w:w="108" w:type="dxa"/>
            <w:bottom w:w="0" w:type="dxa"/>
            <w:right w:w="108" w:type="dxa"/>
          </w:tblCellMar>
        </w:tblPrEx>
        <w:trPr>
          <w:trHeight w:val="31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bottom"/>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环比下浮</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定基下调</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3.38%</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22.07%</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3.42%</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22.34%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-2.36%</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-13.33%</w:t>
            </w:r>
          </w:p>
        </w:tc>
      </w:tr>
    </w:tbl>
    <w:p>
      <w:pPr>
        <w:ind w:firstLine="360" w:firstLineChars="200"/>
        <w:rPr>
          <w:rFonts w:ascii="Times New Roman" w:eastAsia="仿宋"/>
          <w:sz w:val="18"/>
          <w:szCs w:val="18"/>
        </w:rPr>
      </w:pPr>
      <w:r>
        <w:rPr>
          <w:rFonts w:ascii="Times New Roman" w:hAnsi="仿宋" w:eastAsia="仿宋"/>
          <w:sz w:val="18"/>
          <w:szCs w:val="18"/>
        </w:rPr>
        <w:t>注：环比：</w:t>
      </w:r>
      <w:r>
        <w:rPr>
          <w:rFonts w:ascii="Times New Roman" w:eastAsia="仿宋"/>
          <w:sz w:val="18"/>
          <w:szCs w:val="18"/>
        </w:rPr>
        <w:t>P=a(1+r)^6(P:2020</w:t>
      </w:r>
      <w:r>
        <w:rPr>
          <w:rFonts w:ascii="Times New Roman" w:hAnsi="仿宋" w:eastAsia="仿宋"/>
          <w:sz w:val="18"/>
          <w:szCs w:val="18"/>
        </w:rPr>
        <w:t>价格、</w:t>
      </w:r>
      <w:r>
        <w:rPr>
          <w:rFonts w:ascii="Times New Roman" w:eastAsia="仿宋"/>
          <w:sz w:val="18"/>
          <w:szCs w:val="18"/>
        </w:rPr>
        <w:t>a</w:t>
      </w:r>
      <w:r>
        <w:rPr>
          <w:rFonts w:ascii="Times New Roman" w:hAnsi="仿宋" w:eastAsia="仿宋"/>
          <w:sz w:val="18"/>
          <w:szCs w:val="18"/>
        </w:rPr>
        <w:t>：</w:t>
      </w:r>
      <w:r>
        <w:rPr>
          <w:rFonts w:ascii="Times New Roman" w:eastAsia="仿宋"/>
          <w:sz w:val="18"/>
          <w:szCs w:val="18"/>
        </w:rPr>
        <w:t>2014</w:t>
      </w:r>
      <w:r>
        <w:rPr>
          <w:rFonts w:ascii="Times New Roman" w:hAnsi="仿宋" w:eastAsia="仿宋"/>
          <w:sz w:val="18"/>
          <w:szCs w:val="18"/>
        </w:rPr>
        <w:t>价格、</w:t>
      </w:r>
      <w:r>
        <w:rPr>
          <w:rFonts w:ascii="Times New Roman" w:eastAsia="仿宋"/>
          <w:sz w:val="18"/>
          <w:szCs w:val="18"/>
        </w:rPr>
        <w:t>r</w:t>
      </w:r>
      <w:r>
        <w:rPr>
          <w:rFonts w:ascii="Times New Roman" w:hAnsi="仿宋" w:eastAsia="仿宋"/>
          <w:sz w:val="18"/>
          <w:szCs w:val="18"/>
        </w:rPr>
        <w:t>：年均增长率</w:t>
      </w:r>
      <w:r>
        <w:rPr>
          <w:rFonts w:ascii="Times New Roman" w:eastAsia="仿宋"/>
          <w:sz w:val="18"/>
          <w:szCs w:val="18"/>
        </w:rPr>
        <w:t>)</w:t>
      </w:r>
    </w:p>
    <w:p>
      <w:pPr>
        <w:ind w:firstLine="720" w:firstLineChars="400"/>
        <w:rPr>
          <w:rFonts w:ascii="Times New Roman" w:eastAsia="仿宋"/>
          <w:sz w:val="18"/>
          <w:szCs w:val="18"/>
        </w:rPr>
      </w:pPr>
      <w:r>
        <w:rPr>
          <w:rFonts w:ascii="Times New Roman" w:hAnsi="仿宋" w:eastAsia="仿宋"/>
          <w:sz w:val="18"/>
          <w:szCs w:val="18"/>
        </w:rPr>
        <w:t>定基：</w:t>
      </w:r>
      <w:r>
        <w:rPr>
          <w:rFonts w:ascii="Times New Roman" w:eastAsia="仿宋"/>
          <w:sz w:val="18"/>
          <w:szCs w:val="18"/>
        </w:rPr>
        <w:t>P=(a-b)/b (a:2020</w:t>
      </w:r>
      <w:r>
        <w:rPr>
          <w:rFonts w:ascii="Times New Roman" w:hAnsi="仿宋" w:eastAsia="仿宋"/>
          <w:sz w:val="18"/>
          <w:szCs w:val="18"/>
        </w:rPr>
        <w:t>价格、</w:t>
      </w:r>
      <w:r>
        <w:rPr>
          <w:rFonts w:ascii="Times New Roman" w:eastAsia="仿宋"/>
          <w:sz w:val="18"/>
          <w:szCs w:val="18"/>
        </w:rPr>
        <w:t>b</w:t>
      </w:r>
      <w:r>
        <w:rPr>
          <w:rFonts w:ascii="Times New Roman" w:hAnsi="仿宋" w:eastAsia="仿宋"/>
          <w:sz w:val="18"/>
          <w:szCs w:val="18"/>
        </w:rPr>
        <w:t>：</w:t>
      </w:r>
      <w:r>
        <w:rPr>
          <w:rFonts w:ascii="Times New Roman" w:eastAsia="仿宋"/>
          <w:sz w:val="18"/>
          <w:szCs w:val="18"/>
        </w:rPr>
        <w:t>2014</w:t>
      </w:r>
      <w:r>
        <w:rPr>
          <w:rFonts w:ascii="Times New Roman" w:hAnsi="仿宋" w:eastAsia="仿宋"/>
          <w:sz w:val="18"/>
          <w:szCs w:val="18"/>
        </w:rPr>
        <w:t>价格、</w:t>
      </w:r>
      <w:r>
        <w:rPr>
          <w:rFonts w:ascii="Times New Roman" w:eastAsia="仿宋"/>
          <w:sz w:val="18"/>
          <w:szCs w:val="18"/>
        </w:rPr>
        <w:t>P</w:t>
      </w:r>
      <w:r>
        <w:rPr>
          <w:rFonts w:ascii="Times New Roman" w:hAnsi="仿宋" w:eastAsia="仿宋"/>
          <w:sz w:val="18"/>
          <w:szCs w:val="18"/>
        </w:rPr>
        <w:t>：定基增长率</w:t>
      </w:r>
      <w:r>
        <w:rPr>
          <w:rFonts w:ascii="Times New Roman" w:eastAsia="仿宋"/>
          <w:sz w:val="18"/>
          <w:szCs w:val="18"/>
        </w:rPr>
        <w:t>)</w:t>
      </w:r>
    </w:p>
    <w:p>
      <w:pPr>
        <w:widowControl/>
        <w:rPr>
          <w:rFonts w:ascii="Times New Roman" w:eastAsia="仿宋"/>
          <w:sz w:val="21"/>
          <w:szCs w:val="21"/>
        </w:rPr>
      </w:pPr>
      <w:r>
        <w:rPr>
          <w:rFonts w:ascii="Times New Roman" w:hAnsi="仿宋" w:eastAsia="仿宋"/>
          <w:sz w:val="21"/>
          <w:szCs w:val="21"/>
        </w:rPr>
        <w:t>经过比较分析，可以看出：</w:t>
      </w:r>
      <w:r>
        <w:rPr>
          <w:rFonts w:ascii="Times New Roman" w:eastAsia="仿宋"/>
          <w:sz w:val="21"/>
          <w:szCs w:val="21"/>
        </w:rPr>
        <w:t xml:space="preserve"> </w:t>
      </w:r>
    </w:p>
    <w:p>
      <w:pPr>
        <w:tabs>
          <w:tab w:val="left" w:pos="5940"/>
        </w:tabs>
        <w:spacing w:line="360" w:lineRule="auto"/>
        <w:ind w:firstLine="480" w:firstLineChars="200"/>
        <w:rPr>
          <w:rFonts w:ascii="Times New Roman" w:eastAsia="仿宋"/>
          <w:sz w:val="24"/>
        </w:rPr>
      </w:pPr>
      <w:r>
        <w:rPr>
          <w:rFonts w:ascii="Times New Roman" w:hAnsi="仿宋" w:eastAsia="仿宋"/>
          <w:sz w:val="24"/>
        </w:rPr>
        <w:t>商服用地：</w:t>
      </w:r>
      <w:r>
        <w:rPr>
          <w:rFonts w:ascii="Times New Roman" w:eastAsia="仿宋"/>
          <w:sz w:val="24"/>
        </w:rPr>
        <w:t>Ⅰ</w:t>
      </w:r>
      <w:r>
        <w:rPr>
          <w:rFonts w:ascii="Times New Roman" w:hAnsi="仿宋" w:eastAsia="仿宋"/>
          <w:sz w:val="24"/>
        </w:rPr>
        <w:t>级增长</w:t>
      </w:r>
      <w:r>
        <w:rPr>
          <w:rFonts w:ascii="Times New Roman" w:eastAsia="仿宋"/>
          <w:sz w:val="24"/>
        </w:rPr>
        <w:t>195</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2.71%</w:t>
      </w:r>
      <w:r>
        <w:rPr>
          <w:rFonts w:ascii="Times New Roman" w:hAnsi="仿宋" w:eastAsia="仿宋"/>
          <w:sz w:val="24"/>
        </w:rPr>
        <w:t>；</w:t>
      </w:r>
      <w:r>
        <w:rPr>
          <w:rFonts w:ascii="Times New Roman" w:eastAsia="仿宋"/>
          <w:sz w:val="24"/>
        </w:rPr>
        <w:t>Ⅱ</w:t>
      </w:r>
      <w:r>
        <w:rPr>
          <w:rFonts w:ascii="Times New Roman" w:hAnsi="仿宋" w:eastAsia="仿宋"/>
          <w:sz w:val="24"/>
        </w:rPr>
        <w:t>级增长</w:t>
      </w:r>
      <w:r>
        <w:rPr>
          <w:rFonts w:ascii="Times New Roman" w:eastAsia="仿宋"/>
          <w:sz w:val="24"/>
        </w:rPr>
        <w:t>150</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2.99%</w:t>
      </w:r>
      <w:r>
        <w:rPr>
          <w:rFonts w:ascii="Times New Roman" w:hAnsi="仿宋" w:eastAsia="仿宋"/>
          <w:sz w:val="24"/>
        </w:rPr>
        <w:t>；</w:t>
      </w:r>
      <w:r>
        <w:rPr>
          <w:rFonts w:ascii="Times New Roman" w:eastAsia="仿宋"/>
          <w:sz w:val="24"/>
        </w:rPr>
        <w:t>Ⅲ</w:t>
      </w:r>
      <w:r>
        <w:rPr>
          <w:rFonts w:ascii="Times New Roman" w:hAnsi="仿宋" w:eastAsia="仿宋"/>
          <w:sz w:val="24"/>
        </w:rPr>
        <w:t>级增长</w:t>
      </w:r>
      <w:r>
        <w:rPr>
          <w:rFonts w:ascii="Times New Roman" w:eastAsia="仿宋"/>
          <w:sz w:val="24"/>
        </w:rPr>
        <w:t>113</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3.38%</w:t>
      </w:r>
      <w:r>
        <w:rPr>
          <w:rFonts w:ascii="Times New Roman" w:hAnsi="仿宋" w:eastAsia="仿宋"/>
          <w:sz w:val="24"/>
        </w:rPr>
        <w:t>。</w:t>
      </w:r>
    </w:p>
    <w:p>
      <w:pPr>
        <w:spacing w:line="360" w:lineRule="auto"/>
        <w:ind w:firstLine="680" w:firstLineChars="200"/>
        <w:jc w:val="center"/>
        <w:rPr>
          <w:rFonts w:ascii="Times New Roman" w:eastAsia="仿宋"/>
        </w:rPr>
      </w:pPr>
      <w:r>
        <w:rPr>
          <w:rFonts w:ascii="Times New Roman" w:eastAsia="仿宋"/>
        </w:rPr>
        <w:drawing>
          <wp:inline distT="0" distB="0" distL="0" distR="0">
            <wp:extent cx="4088765" cy="3448685"/>
            <wp:effectExtent l="12192" t="6096" r="4191" b="2286"/>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5940"/>
        </w:tabs>
        <w:spacing w:line="360" w:lineRule="auto"/>
        <w:ind w:firstLine="480" w:firstLineChars="200"/>
        <w:jc w:val="center"/>
        <w:rPr>
          <w:rFonts w:ascii="Times New Roman" w:eastAsia="仿宋"/>
          <w:sz w:val="24"/>
        </w:rPr>
      </w:pPr>
      <w:r>
        <w:rPr>
          <w:rFonts w:ascii="Times New Roman" w:hAnsi="仿宋" w:eastAsia="仿宋"/>
          <w:sz w:val="24"/>
        </w:rPr>
        <w:t>住宅用地：</w:t>
      </w:r>
      <w:r>
        <w:rPr>
          <w:rFonts w:ascii="Times New Roman" w:eastAsia="仿宋"/>
          <w:sz w:val="24"/>
        </w:rPr>
        <w:t>Ⅰ</w:t>
      </w:r>
      <w:r>
        <w:rPr>
          <w:rFonts w:ascii="Times New Roman" w:hAnsi="仿宋" w:eastAsia="仿宋"/>
          <w:sz w:val="24"/>
        </w:rPr>
        <w:t>级增长</w:t>
      </w:r>
      <w:r>
        <w:rPr>
          <w:rFonts w:ascii="Times New Roman" w:eastAsia="仿宋"/>
          <w:sz w:val="24"/>
        </w:rPr>
        <w:t>190</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w:t>
      </w:r>
      <w:r>
        <w:rPr>
          <w:rFonts w:ascii="Times New Roman" w:eastAsia="仿宋"/>
          <w:sz w:val="24"/>
        </w:rPr>
        <w:t>3.28%</w:t>
      </w:r>
      <w:r>
        <w:rPr>
          <w:rFonts w:ascii="Times New Roman" w:hAnsi="仿宋" w:eastAsia="仿宋"/>
          <w:sz w:val="24"/>
        </w:rPr>
        <w:t>；</w:t>
      </w:r>
      <w:r>
        <w:rPr>
          <w:rFonts w:ascii="Times New Roman" w:eastAsia="仿宋"/>
          <w:sz w:val="24"/>
        </w:rPr>
        <w:t>Ⅱ</w:t>
      </w:r>
      <w:r>
        <w:rPr>
          <w:rFonts w:ascii="Times New Roman" w:hAnsi="仿宋" w:eastAsia="仿宋"/>
          <w:sz w:val="24"/>
        </w:rPr>
        <w:t>级增长</w:t>
      </w:r>
      <w:r>
        <w:rPr>
          <w:rFonts w:ascii="Times New Roman" w:eastAsia="仿宋"/>
          <w:sz w:val="24"/>
        </w:rPr>
        <w:t>120</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3.13%</w:t>
      </w:r>
      <w:r>
        <w:rPr>
          <w:rFonts w:ascii="Times New Roman" w:hAnsi="仿宋" w:eastAsia="仿宋"/>
          <w:sz w:val="24"/>
        </w:rPr>
        <w:t>；</w:t>
      </w:r>
      <w:r>
        <w:rPr>
          <w:rFonts w:ascii="Times New Roman" w:eastAsia="仿宋"/>
          <w:sz w:val="24"/>
        </w:rPr>
        <w:t>Ⅲ</w:t>
      </w:r>
      <w:r>
        <w:rPr>
          <w:rFonts w:ascii="Times New Roman" w:hAnsi="仿宋" w:eastAsia="仿宋"/>
          <w:sz w:val="24"/>
        </w:rPr>
        <w:t>级增长</w:t>
      </w:r>
      <w:r>
        <w:rPr>
          <w:rFonts w:ascii="Times New Roman" w:eastAsia="仿宋"/>
          <w:sz w:val="24"/>
        </w:rPr>
        <w:t>88</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3.42%</w:t>
      </w:r>
      <w:r>
        <w:rPr>
          <w:rFonts w:ascii="Times New Roman" w:hAnsi="仿宋" w:eastAsia="仿宋"/>
          <w:sz w:val="24"/>
        </w:rPr>
        <w:t>。</w:t>
      </w:r>
    </w:p>
    <w:p>
      <w:pPr>
        <w:tabs>
          <w:tab w:val="left" w:pos="5940"/>
        </w:tabs>
        <w:spacing w:line="360" w:lineRule="auto"/>
        <w:ind w:firstLine="480" w:firstLineChars="200"/>
        <w:jc w:val="center"/>
        <w:rPr>
          <w:rFonts w:ascii="Times New Roman" w:eastAsia="仿宋"/>
          <w:sz w:val="24"/>
        </w:rPr>
      </w:pPr>
      <w:r>
        <w:rPr>
          <w:rFonts w:ascii="Times New Roman" w:eastAsia="仿宋"/>
          <w:sz w:val="24"/>
        </w:rPr>
        <w:drawing>
          <wp:inline distT="0" distB="0" distL="0" distR="0">
            <wp:extent cx="4420235" cy="3441700"/>
            <wp:effectExtent l="12192" t="6096" r="6096" b="0"/>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tabs>
          <w:tab w:val="left" w:pos="5940"/>
        </w:tabs>
        <w:spacing w:line="360" w:lineRule="auto"/>
        <w:ind w:firstLine="480" w:firstLineChars="200"/>
        <w:rPr>
          <w:rFonts w:ascii="Times New Roman" w:eastAsia="仿宋"/>
          <w:sz w:val="24"/>
        </w:rPr>
      </w:pPr>
      <w:r>
        <w:rPr>
          <w:rFonts w:ascii="Times New Roman" w:hAnsi="仿宋" w:eastAsia="仿宋"/>
          <w:sz w:val="24"/>
        </w:rPr>
        <w:t>工矿仓储用地：</w:t>
      </w:r>
      <w:r>
        <w:rPr>
          <w:rFonts w:ascii="Times New Roman" w:eastAsia="仿宋"/>
          <w:sz w:val="24"/>
        </w:rPr>
        <w:t>Ⅰ</w:t>
      </w:r>
      <w:r>
        <w:rPr>
          <w:rFonts w:ascii="Times New Roman" w:hAnsi="仿宋" w:eastAsia="仿宋"/>
          <w:sz w:val="24"/>
        </w:rPr>
        <w:t>级为规划限制区不宜布置工矿仓储用地；</w:t>
      </w:r>
      <w:r>
        <w:rPr>
          <w:rFonts w:ascii="Times New Roman" w:eastAsia="仿宋"/>
          <w:sz w:val="24"/>
        </w:rPr>
        <w:t>Ⅱ</w:t>
      </w:r>
      <w:r>
        <w:rPr>
          <w:rFonts w:ascii="Times New Roman" w:hAnsi="仿宋" w:eastAsia="仿宋"/>
          <w:sz w:val="24"/>
        </w:rPr>
        <w:t>级降低</w:t>
      </w:r>
      <w:r>
        <w:rPr>
          <w:rFonts w:ascii="Times New Roman" w:eastAsia="仿宋"/>
          <w:sz w:val="24"/>
        </w:rPr>
        <w:t>51</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2.30%</w:t>
      </w:r>
      <w:r>
        <w:rPr>
          <w:rFonts w:ascii="Times New Roman" w:hAnsi="仿宋" w:eastAsia="仿宋"/>
          <w:sz w:val="24"/>
        </w:rPr>
        <w:t>；</w:t>
      </w:r>
      <w:r>
        <w:rPr>
          <w:rFonts w:ascii="Times New Roman" w:eastAsia="仿宋"/>
          <w:sz w:val="24"/>
        </w:rPr>
        <w:t>Ⅲ</w:t>
      </w:r>
      <w:r>
        <w:rPr>
          <w:rFonts w:ascii="Times New Roman" w:hAnsi="仿宋" w:eastAsia="仿宋"/>
          <w:sz w:val="24"/>
        </w:rPr>
        <w:t>级降低</w:t>
      </w:r>
      <w:r>
        <w:rPr>
          <w:rFonts w:ascii="Times New Roman" w:eastAsia="仿宋"/>
          <w:sz w:val="24"/>
        </w:rPr>
        <w:t>42</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2.36%</w:t>
      </w:r>
      <w:r>
        <w:rPr>
          <w:rFonts w:ascii="Times New Roman" w:hAnsi="仿宋" w:eastAsia="仿宋"/>
          <w:sz w:val="24"/>
        </w:rPr>
        <w:t>。</w:t>
      </w:r>
    </w:p>
    <w:p>
      <w:pPr>
        <w:tabs>
          <w:tab w:val="left" w:pos="5940"/>
        </w:tabs>
        <w:spacing w:line="360" w:lineRule="auto"/>
        <w:ind w:firstLine="480" w:firstLineChars="200"/>
        <w:jc w:val="center"/>
        <w:rPr>
          <w:rFonts w:ascii="Times New Roman" w:eastAsia="仿宋"/>
          <w:sz w:val="24"/>
        </w:rPr>
      </w:pPr>
      <w:r>
        <w:rPr>
          <w:rFonts w:ascii="Times New Roman" w:eastAsia="仿宋"/>
          <w:sz w:val="24"/>
        </w:rPr>
        <w:drawing>
          <wp:inline distT="0" distB="0" distL="0" distR="0">
            <wp:extent cx="4512945" cy="3422015"/>
            <wp:effectExtent l="12192" t="6096" r="8382" b="381"/>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7"/>
        <w:rPr>
          <w:rFonts w:ascii="Times New Roman" w:hAnsi="Times New Roman" w:eastAsia="仿宋"/>
          <w:color w:val="auto"/>
        </w:rPr>
      </w:pPr>
      <w:r>
        <w:rPr>
          <w:rFonts w:ascii="Times New Roman" w:hAnsi="Times New Roman" w:eastAsia="仿宋"/>
          <w:color w:val="auto"/>
        </w:rPr>
        <w:br w:type="page"/>
      </w:r>
      <w:r>
        <w:rPr>
          <w:rFonts w:ascii="Times New Roman" w:hAnsi="仿宋" w:eastAsia="仿宋"/>
          <w:color w:val="auto"/>
        </w:rPr>
        <w:t>表</w:t>
      </w:r>
      <w:r>
        <w:rPr>
          <w:rFonts w:ascii="Times New Roman" w:hAnsi="Times New Roman" w:eastAsia="仿宋"/>
          <w:color w:val="auto"/>
        </w:rPr>
        <w:t xml:space="preserve">11 </w:t>
      </w:r>
      <w:r>
        <w:rPr>
          <w:rFonts w:ascii="Times New Roman" w:hAnsi="仿宋" w:eastAsia="仿宋"/>
          <w:color w:val="auto"/>
        </w:rPr>
        <w:t>九溪镇集镇规划区基准地价结果汇总表</w:t>
      </w:r>
    </w:p>
    <w:p>
      <w:pPr>
        <w:ind w:right="420" w:firstLine="300" w:firstLineChars="200"/>
        <w:jc w:val="right"/>
        <w:rPr>
          <w:rFonts w:ascii="Times New Roman" w:eastAsia="仿宋"/>
          <w:sz w:val="15"/>
          <w:szCs w:val="15"/>
        </w:rPr>
      </w:pPr>
      <w:r>
        <w:rPr>
          <w:rFonts w:ascii="Times New Roman" w:eastAsia="仿宋"/>
          <w:sz w:val="15"/>
          <w:szCs w:val="15"/>
        </w:rPr>
        <w:t xml:space="preserve"> </w:t>
      </w:r>
      <w:r>
        <w:rPr>
          <w:rFonts w:ascii="Times New Roman" w:hAnsi="仿宋" w:eastAsia="仿宋"/>
          <w:sz w:val="15"/>
          <w:szCs w:val="15"/>
        </w:rPr>
        <w:t>注：</w:t>
      </w:r>
      <w:r>
        <w:rPr>
          <w:rFonts w:ascii="Times New Roman" w:eastAsia="仿宋"/>
          <w:sz w:val="15"/>
          <w:szCs w:val="15"/>
        </w:rPr>
        <w:t>“</w:t>
      </w:r>
      <w:r>
        <w:rPr>
          <w:rFonts w:ascii="Times New Roman" w:hAnsi="仿宋" w:eastAsia="仿宋"/>
          <w:sz w:val="15"/>
          <w:szCs w:val="15"/>
        </w:rPr>
        <w:t>平均增长率</w:t>
      </w:r>
      <w:r>
        <w:rPr>
          <w:rFonts w:ascii="Times New Roman" w:eastAsia="仿宋"/>
          <w:sz w:val="15"/>
          <w:szCs w:val="15"/>
        </w:rPr>
        <w:t>”</w:t>
      </w:r>
      <w:r>
        <w:rPr>
          <w:rFonts w:ascii="Times New Roman" w:hAnsi="仿宋" w:eastAsia="仿宋"/>
          <w:sz w:val="15"/>
          <w:szCs w:val="15"/>
        </w:rPr>
        <w:t>为</w:t>
      </w:r>
      <w:r>
        <w:rPr>
          <w:rFonts w:ascii="Times New Roman" w:eastAsia="仿宋"/>
          <w:sz w:val="15"/>
          <w:szCs w:val="15"/>
        </w:rPr>
        <w:t>“</w:t>
      </w:r>
      <w:r>
        <w:rPr>
          <w:rFonts w:ascii="Times New Roman" w:hAnsi="仿宋" w:eastAsia="仿宋"/>
          <w:sz w:val="15"/>
          <w:szCs w:val="15"/>
        </w:rPr>
        <w:t>环比增长率</w:t>
      </w:r>
      <w:r>
        <w:rPr>
          <w:rFonts w:ascii="Times New Roman" w:eastAsia="仿宋"/>
          <w:sz w:val="15"/>
          <w:szCs w:val="15"/>
        </w:rPr>
        <w:t>”</w:t>
      </w:r>
    </w:p>
    <w:tbl>
      <w:tblPr>
        <w:tblStyle w:val="17"/>
        <w:tblW w:w="9020" w:type="dxa"/>
        <w:tblInd w:w="98" w:type="dxa"/>
        <w:tblLayout w:type="fixed"/>
        <w:tblCellMar>
          <w:top w:w="0" w:type="dxa"/>
          <w:left w:w="108" w:type="dxa"/>
          <w:bottom w:w="0" w:type="dxa"/>
          <w:right w:w="108" w:type="dxa"/>
        </w:tblCellMar>
      </w:tblPr>
      <w:tblGrid>
        <w:gridCol w:w="1060"/>
        <w:gridCol w:w="1060"/>
        <w:gridCol w:w="1060"/>
        <w:gridCol w:w="1120"/>
        <w:gridCol w:w="1060"/>
        <w:gridCol w:w="1540"/>
        <w:gridCol w:w="1060"/>
        <w:gridCol w:w="1060"/>
      </w:tblGrid>
      <w:tr>
        <w:tblPrEx>
          <w:tblCellMar>
            <w:top w:w="0" w:type="dxa"/>
            <w:left w:w="108" w:type="dxa"/>
            <w:bottom w:w="0" w:type="dxa"/>
            <w:right w:w="108" w:type="dxa"/>
          </w:tblCellMar>
        </w:tblPrEx>
        <w:trPr>
          <w:trHeight w:val="285" w:hRule="atLeast"/>
        </w:trPr>
        <w:tc>
          <w:tcPr>
            <w:tcW w:w="1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级别</w:t>
            </w:r>
          </w:p>
        </w:tc>
        <w:tc>
          <w:tcPr>
            <w:tcW w:w="1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年度</w:t>
            </w:r>
          </w:p>
        </w:tc>
        <w:tc>
          <w:tcPr>
            <w:tcW w:w="218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商服用地</w:t>
            </w:r>
          </w:p>
        </w:tc>
        <w:tc>
          <w:tcPr>
            <w:tcW w:w="260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住宅用地</w:t>
            </w:r>
          </w:p>
        </w:tc>
        <w:tc>
          <w:tcPr>
            <w:tcW w:w="212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工业用地</w:t>
            </w:r>
          </w:p>
        </w:tc>
      </w:tr>
      <w:tr>
        <w:tblPrEx>
          <w:tblCellMar>
            <w:top w:w="0" w:type="dxa"/>
            <w:left w:w="108" w:type="dxa"/>
            <w:bottom w:w="0" w:type="dxa"/>
            <w:right w:w="108" w:type="dxa"/>
          </w:tblCellMar>
        </w:tblPrEx>
        <w:trPr>
          <w:trHeight w:val="285" w:hRule="atLeast"/>
        </w:trPr>
        <w:tc>
          <w:tcPr>
            <w:tcW w:w="1060" w:type="dxa"/>
            <w:vMerge w:val="continue"/>
            <w:tcBorders>
              <w:top w:val="single" w:color="auto" w:sz="8" w:space="0"/>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Ⅰ</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765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51.00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625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41.67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560</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37.33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466</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31.07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205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13.67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159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10.60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5.34%</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36.61%</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5.01%</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34.12%</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Ⅱ</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645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43.00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580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38.67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327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21.80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450</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30.00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400</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26.67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372</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24.80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195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13.00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180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12.00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-45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-3.00 </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环比下浮</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定基下调</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6.18%</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43.33%</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6.39%</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45.00%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-2.13%</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-12.10%</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Ⅲ</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530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35.33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468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31.20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257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17.13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372</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24.80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347</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23.13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296</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19.73 </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158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10.53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121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8.07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-39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-2.60 </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环比下浮</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定基下调</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6.08%</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42.47%</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5.11%</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34.87%</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-2.33%</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-13.18%</w:t>
            </w:r>
          </w:p>
        </w:tc>
      </w:tr>
    </w:tbl>
    <w:p>
      <w:pPr>
        <w:ind w:firstLine="360" w:firstLineChars="200"/>
        <w:rPr>
          <w:rFonts w:ascii="Times New Roman" w:eastAsia="仿宋"/>
          <w:sz w:val="18"/>
          <w:szCs w:val="18"/>
        </w:rPr>
      </w:pPr>
      <w:r>
        <w:rPr>
          <w:rFonts w:ascii="Times New Roman" w:hAnsi="仿宋" w:eastAsia="仿宋"/>
          <w:sz w:val="18"/>
          <w:szCs w:val="18"/>
        </w:rPr>
        <w:t>注：环比：</w:t>
      </w:r>
      <w:r>
        <w:rPr>
          <w:rFonts w:ascii="Times New Roman" w:eastAsia="仿宋"/>
          <w:sz w:val="18"/>
          <w:szCs w:val="18"/>
        </w:rPr>
        <w:t>P=a(1+r)^6(P:2020</w:t>
      </w:r>
      <w:r>
        <w:rPr>
          <w:rFonts w:ascii="Times New Roman" w:hAnsi="仿宋" w:eastAsia="仿宋"/>
          <w:sz w:val="18"/>
          <w:szCs w:val="18"/>
        </w:rPr>
        <w:t>价格、</w:t>
      </w:r>
      <w:r>
        <w:rPr>
          <w:rFonts w:ascii="Times New Roman" w:eastAsia="仿宋"/>
          <w:sz w:val="18"/>
          <w:szCs w:val="18"/>
        </w:rPr>
        <w:t>a</w:t>
      </w:r>
      <w:r>
        <w:rPr>
          <w:rFonts w:ascii="Times New Roman" w:hAnsi="仿宋" w:eastAsia="仿宋"/>
          <w:sz w:val="18"/>
          <w:szCs w:val="18"/>
        </w:rPr>
        <w:t>：</w:t>
      </w:r>
      <w:r>
        <w:rPr>
          <w:rFonts w:ascii="Times New Roman" w:eastAsia="仿宋"/>
          <w:sz w:val="18"/>
          <w:szCs w:val="18"/>
        </w:rPr>
        <w:t>2014</w:t>
      </w:r>
      <w:r>
        <w:rPr>
          <w:rFonts w:ascii="Times New Roman" w:hAnsi="仿宋" w:eastAsia="仿宋"/>
          <w:sz w:val="18"/>
          <w:szCs w:val="18"/>
        </w:rPr>
        <w:t>价格、</w:t>
      </w:r>
      <w:r>
        <w:rPr>
          <w:rFonts w:ascii="Times New Roman" w:eastAsia="仿宋"/>
          <w:sz w:val="18"/>
          <w:szCs w:val="18"/>
        </w:rPr>
        <w:t>r</w:t>
      </w:r>
      <w:r>
        <w:rPr>
          <w:rFonts w:ascii="Times New Roman" w:hAnsi="仿宋" w:eastAsia="仿宋"/>
          <w:sz w:val="18"/>
          <w:szCs w:val="18"/>
        </w:rPr>
        <w:t>：年均增长率</w:t>
      </w:r>
      <w:r>
        <w:rPr>
          <w:rFonts w:ascii="Times New Roman" w:eastAsia="仿宋"/>
          <w:sz w:val="18"/>
          <w:szCs w:val="18"/>
        </w:rPr>
        <w:t>)</w:t>
      </w:r>
    </w:p>
    <w:p>
      <w:pPr>
        <w:ind w:firstLine="720" w:firstLineChars="400"/>
        <w:rPr>
          <w:rFonts w:ascii="Times New Roman" w:eastAsia="仿宋"/>
          <w:sz w:val="18"/>
          <w:szCs w:val="18"/>
        </w:rPr>
      </w:pPr>
      <w:r>
        <w:rPr>
          <w:rFonts w:ascii="Times New Roman" w:hAnsi="仿宋" w:eastAsia="仿宋"/>
          <w:sz w:val="18"/>
          <w:szCs w:val="18"/>
        </w:rPr>
        <w:t>定基：</w:t>
      </w:r>
      <w:r>
        <w:rPr>
          <w:rFonts w:ascii="Times New Roman" w:eastAsia="仿宋"/>
          <w:sz w:val="18"/>
          <w:szCs w:val="18"/>
        </w:rPr>
        <w:t>P=(a-b)/b (a:2020</w:t>
      </w:r>
      <w:r>
        <w:rPr>
          <w:rFonts w:ascii="Times New Roman" w:hAnsi="仿宋" w:eastAsia="仿宋"/>
          <w:sz w:val="18"/>
          <w:szCs w:val="18"/>
        </w:rPr>
        <w:t>价格、</w:t>
      </w:r>
      <w:r>
        <w:rPr>
          <w:rFonts w:ascii="Times New Roman" w:eastAsia="仿宋"/>
          <w:sz w:val="18"/>
          <w:szCs w:val="18"/>
        </w:rPr>
        <w:t>b</w:t>
      </w:r>
      <w:r>
        <w:rPr>
          <w:rFonts w:ascii="Times New Roman" w:hAnsi="仿宋" w:eastAsia="仿宋"/>
          <w:sz w:val="18"/>
          <w:szCs w:val="18"/>
        </w:rPr>
        <w:t>：</w:t>
      </w:r>
      <w:r>
        <w:rPr>
          <w:rFonts w:ascii="Times New Roman" w:eastAsia="仿宋"/>
          <w:sz w:val="18"/>
          <w:szCs w:val="18"/>
        </w:rPr>
        <w:t>2014</w:t>
      </w:r>
      <w:r>
        <w:rPr>
          <w:rFonts w:ascii="Times New Roman" w:hAnsi="仿宋" w:eastAsia="仿宋"/>
          <w:sz w:val="18"/>
          <w:szCs w:val="18"/>
        </w:rPr>
        <w:t>价格、</w:t>
      </w:r>
      <w:r>
        <w:rPr>
          <w:rFonts w:ascii="Times New Roman" w:eastAsia="仿宋"/>
          <w:sz w:val="18"/>
          <w:szCs w:val="18"/>
        </w:rPr>
        <w:t>P</w:t>
      </w:r>
      <w:r>
        <w:rPr>
          <w:rFonts w:ascii="Times New Roman" w:hAnsi="仿宋" w:eastAsia="仿宋"/>
          <w:sz w:val="18"/>
          <w:szCs w:val="18"/>
        </w:rPr>
        <w:t>：定基增长率</w:t>
      </w:r>
      <w:r>
        <w:rPr>
          <w:rFonts w:ascii="Times New Roman" w:eastAsia="仿宋"/>
          <w:sz w:val="18"/>
          <w:szCs w:val="18"/>
        </w:rPr>
        <w:t>)</w:t>
      </w:r>
    </w:p>
    <w:p>
      <w:pPr>
        <w:widowControl/>
        <w:rPr>
          <w:rFonts w:ascii="Times New Roman" w:eastAsia="仿宋"/>
          <w:sz w:val="21"/>
          <w:szCs w:val="21"/>
        </w:rPr>
      </w:pPr>
      <w:r>
        <w:rPr>
          <w:rFonts w:ascii="Times New Roman" w:hAnsi="仿宋" w:eastAsia="仿宋"/>
          <w:sz w:val="21"/>
          <w:szCs w:val="21"/>
        </w:rPr>
        <w:t>经过比较分析，可以看出：</w:t>
      </w:r>
      <w:r>
        <w:rPr>
          <w:rFonts w:ascii="Times New Roman" w:eastAsia="仿宋"/>
          <w:sz w:val="21"/>
          <w:szCs w:val="21"/>
        </w:rPr>
        <w:t xml:space="preserve"> </w:t>
      </w:r>
    </w:p>
    <w:p>
      <w:pPr>
        <w:tabs>
          <w:tab w:val="left" w:pos="5940"/>
        </w:tabs>
        <w:spacing w:line="360" w:lineRule="auto"/>
        <w:ind w:firstLine="480" w:firstLineChars="200"/>
        <w:jc w:val="center"/>
        <w:rPr>
          <w:rFonts w:ascii="Times New Roman" w:eastAsia="仿宋"/>
        </w:rPr>
      </w:pPr>
      <w:r>
        <w:rPr>
          <w:rFonts w:ascii="Times New Roman" w:hAnsi="仿宋" w:eastAsia="仿宋"/>
          <w:sz w:val="24"/>
        </w:rPr>
        <w:t>商服用地：</w:t>
      </w:r>
      <w:r>
        <w:rPr>
          <w:rFonts w:ascii="Times New Roman" w:eastAsia="仿宋"/>
          <w:sz w:val="24"/>
        </w:rPr>
        <w:t>Ⅰ</w:t>
      </w:r>
      <w:r>
        <w:rPr>
          <w:rFonts w:ascii="Times New Roman" w:hAnsi="仿宋" w:eastAsia="仿宋"/>
          <w:sz w:val="24"/>
        </w:rPr>
        <w:t>级增长</w:t>
      </w:r>
      <w:r>
        <w:rPr>
          <w:rFonts w:ascii="Times New Roman" w:eastAsia="仿宋"/>
          <w:sz w:val="24"/>
        </w:rPr>
        <w:t>205</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5.34%</w:t>
      </w:r>
      <w:r>
        <w:rPr>
          <w:rFonts w:ascii="Times New Roman" w:hAnsi="仿宋" w:eastAsia="仿宋"/>
          <w:sz w:val="24"/>
        </w:rPr>
        <w:t>；</w:t>
      </w:r>
      <w:r>
        <w:rPr>
          <w:rFonts w:ascii="Times New Roman" w:eastAsia="仿宋"/>
          <w:sz w:val="24"/>
        </w:rPr>
        <w:t>Ⅱ</w:t>
      </w:r>
      <w:r>
        <w:rPr>
          <w:rFonts w:ascii="Times New Roman" w:hAnsi="仿宋" w:eastAsia="仿宋"/>
          <w:sz w:val="24"/>
        </w:rPr>
        <w:t>级增长</w:t>
      </w:r>
      <w:r>
        <w:rPr>
          <w:rFonts w:ascii="Times New Roman" w:eastAsia="仿宋"/>
          <w:sz w:val="24"/>
        </w:rPr>
        <w:t>195</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6.18%</w:t>
      </w:r>
      <w:r>
        <w:rPr>
          <w:rFonts w:ascii="Times New Roman" w:hAnsi="仿宋" w:eastAsia="仿宋"/>
          <w:sz w:val="24"/>
        </w:rPr>
        <w:t>；</w:t>
      </w:r>
      <w:r>
        <w:rPr>
          <w:rFonts w:ascii="Times New Roman" w:eastAsia="仿宋"/>
          <w:sz w:val="24"/>
        </w:rPr>
        <w:t>Ⅲ</w:t>
      </w:r>
      <w:r>
        <w:rPr>
          <w:rFonts w:ascii="Times New Roman" w:hAnsi="仿宋" w:eastAsia="仿宋"/>
          <w:sz w:val="24"/>
        </w:rPr>
        <w:t>级增长</w:t>
      </w:r>
      <w:r>
        <w:rPr>
          <w:rFonts w:ascii="Times New Roman" w:eastAsia="仿宋"/>
          <w:sz w:val="24"/>
        </w:rPr>
        <w:t>158</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6.08%</w:t>
      </w:r>
      <w:r>
        <w:rPr>
          <w:rFonts w:ascii="Times New Roman" w:hAnsi="仿宋" w:eastAsia="仿宋"/>
          <w:sz w:val="24"/>
        </w:rPr>
        <w:t>。</w:t>
      </w:r>
      <w:r>
        <w:rPr>
          <w:rFonts w:ascii="Times New Roman" w:eastAsia="仿宋"/>
          <w:sz w:val="24"/>
        </w:rPr>
        <w:drawing>
          <wp:inline distT="0" distB="0" distL="0" distR="0">
            <wp:extent cx="3704590" cy="3382645"/>
            <wp:effectExtent l="12192" t="6096" r="7239" b="1905"/>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tabs>
          <w:tab w:val="left" w:pos="5940"/>
        </w:tabs>
        <w:spacing w:line="360" w:lineRule="auto"/>
        <w:ind w:firstLine="480" w:firstLineChars="200"/>
        <w:rPr>
          <w:rFonts w:ascii="Times New Roman" w:eastAsia="仿宋"/>
          <w:sz w:val="24"/>
        </w:rPr>
      </w:pPr>
      <w:r>
        <w:rPr>
          <w:rFonts w:ascii="Times New Roman" w:hAnsi="仿宋" w:eastAsia="仿宋"/>
          <w:sz w:val="24"/>
        </w:rPr>
        <w:t>住宅用地：</w:t>
      </w:r>
      <w:r>
        <w:rPr>
          <w:rFonts w:ascii="Times New Roman" w:eastAsia="仿宋"/>
          <w:sz w:val="24"/>
        </w:rPr>
        <w:t>Ⅰ</w:t>
      </w:r>
      <w:r>
        <w:rPr>
          <w:rFonts w:ascii="Times New Roman" w:hAnsi="仿宋" w:eastAsia="仿宋"/>
          <w:sz w:val="24"/>
        </w:rPr>
        <w:t>级增长</w:t>
      </w:r>
      <w:r>
        <w:rPr>
          <w:rFonts w:ascii="Times New Roman" w:eastAsia="仿宋"/>
          <w:sz w:val="24"/>
        </w:rPr>
        <w:t>159</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w:t>
      </w:r>
      <w:r>
        <w:rPr>
          <w:rFonts w:ascii="Times New Roman" w:eastAsia="仿宋"/>
          <w:sz w:val="24"/>
        </w:rPr>
        <w:t>5.01%</w:t>
      </w:r>
      <w:r>
        <w:rPr>
          <w:rFonts w:ascii="Times New Roman" w:hAnsi="仿宋" w:eastAsia="仿宋"/>
          <w:sz w:val="24"/>
        </w:rPr>
        <w:t>；</w:t>
      </w:r>
      <w:r>
        <w:rPr>
          <w:rFonts w:ascii="Times New Roman" w:eastAsia="仿宋"/>
          <w:sz w:val="24"/>
        </w:rPr>
        <w:t>Ⅱ</w:t>
      </w:r>
      <w:r>
        <w:rPr>
          <w:rFonts w:ascii="Times New Roman" w:hAnsi="仿宋" w:eastAsia="仿宋"/>
          <w:sz w:val="24"/>
        </w:rPr>
        <w:t>级增长</w:t>
      </w:r>
      <w:r>
        <w:rPr>
          <w:rFonts w:ascii="Times New Roman" w:eastAsia="仿宋"/>
          <w:sz w:val="24"/>
        </w:rPr>
        <w:t>180</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6.39%</w:t>
      </w:r>
      <w:r>
        <w:rPr>
          <w:rFonts w:ascii="Times New Roman" w:hAnsi="仿宋" w:eastAsia="仿宋"/>
          <w:sz w:val="24"/>
        </w:rPr>
        <w:t>；</w:t>
      </w:r>
      <w:r>
        <w:rPr>
          <w:rFonts w:ascii="Times New Roman" w:eastAsia="仿宋"/>
          <w:sz w:val="24"/>
        </w:rPr>
        <w:t>Ⅲ</w:t>
      </w:r>
      <w:r>
        <w:rPr>
          <w:rFonts w:ascii="Times New Roman" w:hAnsi="仿宋" w:eastAsia="仿宋"/>
          <w:sz w:val="24"/>
        </w:rPr>
        <w:t>级增长</w:t>
      </w:r>
      <w:r>
        <w:rPr>
          <w:rFonts w:ascii="Times New Roman" w:eastAsia="仿宋"/>
          <w:sz w:val="24"/>
        </w:rPr>
        <w:t>121</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5.11%</w:t>
      </w:r>
      <w:r>
        <w:rPr>
          <w:rFonts w:ascii="Times New Roman" w:hAnsi="仿宋" w:eastAsia="仿宋"/>
          <w:sz w:val="24"/>
        </w:rPr>
        <w:t>。</w:t>
      </w:r>
    </w:p>
    <w:p>
      <w:pPr>
        <w:spacing w:line="360" w:lineRule="auto"/>
        <w:ind w:firstLine="680" w:firstLineChars="200"/>
        <w:jc w:val="center"/>
        <w:rPr>
          <w:rFonts w:ascii="Times New Roman" w:eastAsia="仿宋"/>
        </w:rPr>
      </w:pPr>
      <w:r>
        <w:rPr>
          <w:rFonts w:ascii="Times New Roman" w:eastAsia="仿宋"/>
        </w:rPr>
        <w:drawing>
          <wp:inline distT="0" distB="0" distL="0" distR="0">
            <wp:extent cx="3638550" cy="3375025"/>
            <wp:effectExtent l="12192" t="6096" r="6858" b="0"/>
            <wp:docPr id="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tabs>
          <w:tab w:val="left" w:pos="5940"/>
        </w:tabs>
        <w:spacing w:line="360" w:lineRule="auto"/>
        <w:ind w:firstLine="480" w:firstLineChars="200"/>
        <w:rPr>
          <w:rFonts w:ascii="Times New Roman" w:eastAsia="仿宋"/>
          <w:sz w:val="24"/>
        </w:rPr>
      </w:pPr>
      <w:r>
        <w:rPr>
          <w:rFonts w:ascii="Times New Roman" w:hAnsi="仿宋" w:eastAsia="仿宋"/>
          <w:sz w:val="24"/>
        </w:rPr>
        <w:t>工矿仓储用地：</w:t>
      </w:r>
      <w:r>
        <w:rPr>
          <w:rFonts w:ascii="Times New Roman" w:eastAsia="仿宋"/>
          <w:sz w:val="24"/>
        </w:rPr>
        <w:t>Ⅰ</w:t>
      </w:r>
      <w:r>
        <w:rPr>
          <w:rFonts w:ascii="Times New Roman" w:hAnsi="仿宋" w:eastAsia="仿宋"/>
          <w:sz w:val="24"/>
        </w:rPr>
        <w:t>级为规划限制区不宜布置工矿仓储用地；</w:t>
      </w:r>
      <w:r>
        <w:rPr>
          <w:rFonts w:ascii="Times New Roman" w:eastAsia="仿宋"/>
          <w:sz w:val="24"/>
        </w:rPr>
        <w:t>Ⅱ</w:t>
      </w:r>
      <w:r>
        <w:rPr>
          <w:rFonts w:ascii="Times New Roman" w:hAnsi="仿宋" w:eastAsia="仿宋"/>
          <w:sz w:val="24"/>
        </w:rPr>
        <w:t>级降低</w:t>
      </w:r>
      <w:r>
        <w:rPr>
          <w:rFonts w:ascii="Times New Roman" w:eastAsia="仿宋"/>
          <w:sz w:val="24"/>
        </w:rPr>
        <w:t>45</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2.13%</w:t>
      </w:r>
      <w:r>
        <w:rPr>
          <w:rFonts w:ascii="Times New Roman" w:hAnsi="仿宋" w:eastAsia="仿宋"/>
          <w:sz w:val="24"/>
        </w:rPr>
        <w:t>；</w:t>
      </w:r>
      <w:r>
        <w:rPr>
          <w:rFonts w:ascii="Times New Roman" w:eastAsia="仿宋"/>
          <w:sz w:val="24"/>
        </w:rPr>
        <w:t>Ⅲ</w:t>
      </w:r>
      <w:r>
        <w:rPr>
          <w:rFonts w:ascii="Times New Roman" w:hAnsi="仿宋" w:eastAsia="仿宋"/>
          <w:sz w:val="24"/>
        </w:rPr>
        <w:t>级降低</w:t>
      </w:r>
      <w:r>
        <w:rPr>
          <w:rFonts w:ascii="Times New Roman" w:eastAsia="仿宋"/>
          <w:sz w:val="24"/>
        </w:rPr>
        <w:t>39</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2.33%</w:t>
      </w:r>
      <w:r>
        <w:rPr>
          <w:rFonts w:ascii="Times New Roman" w:hAnsi="仿宋" w:eastAsia="仿宋"/>
          <w:sz w:val="24"/>
        </w:rPr>
        <w:t>。</w:t>
      </w:r>
    </w:p>
    <w:p>
      <w:pPr>
        <w:tabs>
          <w:tab w:val="left" w:pos="5940"/>
        </w:tabs>
        <w:spacing w:line="360" w:lineRule="auto"/>
        <w:ind w:firstLine="680" w:firstLineChars="200"/>
        <w:jc w:val="center"/>
        <w:rPr>
          <w:rFonts w:ascii="Times New Roman" w:eastAsia="仿宋"/>
        </w:rPr>
      </w:pPr>
      <w:r>
        <w:rPr>
          <w:rFonts w:ascii="Times New Roman" w:eastAsia="仿宋"/>
        </w:rPr>
        <w:drawing>
          <wp:inline distT="0" distB="0" distL="0" distR="0">
            <wp:extent cx="3618230" cy="3394075"/>
            <wp:effectExtent l="12192" t="6096" r="7620" b="0"/>
            <wp:docPr id="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9"/>
        <w:ind w:firstLine="315" w:firstLineChars="150"/>
        <w:jc w:val="center"/>
        <w:rPr>
          <w:rFonts w:ascii="Times New Roman" w:hAnsi="Times New Roman" w:eastAsia="仿宋" w:cs="Times New Roman"/>
        </w:rPr>
      </w:pPr>
    </w:p>
    <w:p>
      <w:pPr>
        <w:pStyle w:val="57"/>
        <w:rPr>
          <w:rFonts w:ascii="Times New Roman" w:hAnsi="Times New Roman" w:eastAsia="仿宋"/>
          <w:color w:val="auto"/>
        </w:rPr>
      </w:pPr>
      <w:r>
        <w:rPr>
          <w:rFonts w:ascii="Times New Roman" w:hAnsi="Times New Roman" w:eastAsia="仿宋"/>
          <w:color w:val="auto"/>
        </w:rPr>
        <w:br w:type="page"/>
      </w:r>
      <w:r>
        <w:rPr>
          <w:rFonts w:ascii="Times New Roman" w:hAnsi="仿宋" w:eastAsia="仿宋"/>
          <w:color w:val="auto"/>
        </w:rPr>
        <w:t>表</w:t>
      </w:r>
      <w:r>
        <w:rPr>
          <w:rFonts w:ascii="Times New Roman" w:hAnsi="Times New Roman" w:eastAsia="仿宋"/>
          <w:color w:val="auto"/>
        </w:rPr>
        <w:t xml:space="preserve">12 </w:t>
      </w:r>
      <w:r>
        <w:rPr>
          <w:rFonts w:ascii="Times New Roman" w:hAnsi="仿宋" w:eastAsia="仿宋"/>
          <w:color w:val="auto"/>
        </w:rPr>
        <w:t>前卫镇集镇规划区基准地价结果汇总表</w:t>
      </w:r>
    </w:p>
    <w:p>
      <w:pPr>
        <w:ind w:right="420" w:firstLine="300" w:firstLineChars="200"/>
        <w:jc w:val="right"/>
        <w:rPr>
          <w:rFonts w:ascii="Times New Roman" w:eastAsia="仿宋"/>
          <w:sz w:val="15"/>
          <w:szCs w:val="15"/>
        </w:rPr>
      </w:pPr>
      <w:r>
        <w:rPr>
          <w:rFonts w:ascii="Times New Roman" w:eastAsia="仿宋"/>
          <w:sz w:val="15"/>
          <w:szCs w:val="15"/>
        </w:rPr>
        <w:t xml:space="preserve"> </w:t>
      </w:r>
      <w:r>
        <w:rPr>
          <w:rFonts w:ascii="Times New Roman" w:hAnsi="仿宋" w:eastAsia="仿宋"/>
          <w:sz w:val="15"/>
          <w:szCs w:val="15"/>
        </w:rPr>
        <w:t>注：</w:t>
      </w:r>
      <w:r>
        <w:rPr>
          <w:rFonts w:ascii="Times New Roman" w:eastAsia="仿宋"/>
          <w:sz w:val="15"/>
          <w:szCs w:val="15"/>
        </w:rPr>
        <w:t>“</w:t>
      </w:r>
      <w:r>
        <w:rPr>
          <w:rFonts w:ascii="Times New Roman" w:hAnsi="仿宋" w:eastAsia="仿宋"/>
          <w:sz w:val="15"/>
          <w:szCs w:val="15"/>
        </w:rPr>
        <w:t>平均增长率</w:t>
      </w:r>
      <w:r>
        <w:rPr>
          <w:rFonts w:ascii="Times New Roman" w:eastAsia="仿宋"/>
          <w:sz w:val="15"/>
          <w:szCs w:val="15"/>
        </w:rPr>
        <w:t>”</w:t>
      </w:r>
      <w:r>
        <w:rPr>
          <w:rFonts w:ascii="Times New Roman" w:hAnsi="仿宋" w:eastAsia="仿宋"/>
          <w:sz w:val="15"/>
          <w:szCs w:val="15"/>
        </w:rPr>
        <w:t>为</w:t>
      </w:r>
      <w:r>
        <w:rPr>
          <w:rFonts w:ascii="Times New Roman" w:eastAsia="仿宋"/>
          <w:sz w:val="15"/>
          <w:szCs w:val="15"/>
        </w:rPr>
        <w:t>“</w:t>
      </w:r>
      <w:r>
        <w:rPr>
          <w:rFonts w:ascii="Times New Roman" w:hAnsi="仿宋" w:eastAsia="仿宋"/>
          <w:sz w:val="15"/>
          <w:szCs w:val="15"/>
        </w:rPr>
        <w:t>环比增长率</w:t>
      </w:r>
      <w:r>
        <w:rPr>
          <w:rFonts w:ascii="Times New Roman" w:eastAsia="仿宋"/>
          <w:sz w:val="15"/>
          <w:szCs w:val="15"/>
        </w:rPr>
        <w:t>”</w:t>
      </w:r>
    </w:p>
    <w:tbl>
      <w:tblPr>
        <w:tblStyle w:val="17"/>
        <w:tblW w:w="9020" w:type="dxa"/>
        <w:tblInd w:w="98" w:type="dxa"/>
        <w:tblLayout w:type="fixed"/>
        <w:tblCellMar>
          <w:top w:w="0" w:type="dxa"/>
          <w:left w:w="108" w:type="dxa"/>
          <w:bottom w:w="0" w:type="dxa"/>
          <w:right w:w="108" w:type="dxa"/>
        </w:tblCellMar>
      </w:tblPr>
      <w:tblGrid>
        <w:gridCol w:w="1060"/>
        <w:gridCol w:w="1060"/>
        <w:gridCol w:w="1060"/>
        <w:gridCol w:w="1120"/>
        <w:gridCol w:w="1060"/>
        <w:gridCol w:w="1540"/>
        <w:gridCol w:w="1060"/>
        <w:gridCol w:w="1060"/>
      </w:tblGrid>
      <w:tr>
        <w:tblPrEx>
          <w:tblCellMar>
            <w:top w:w="0" w:type="dxa"/>
            <w:left w:w="108" w:type="dxa"/>
            <w:bottom w:w="0" w:type="dxa"/>
            <w:right w:w="108" w:type="dxa"/>
          </w:tblCellMar>
        </w:tblPrEx>
        <w:trPr>
          <w:trHeight w:val="285" w:hRule="atLeast"/>
        </w:trPr>
        <w:tc>
          <w:tcPr>
            <w:tcW w:w="1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级别</w:t>
            </w:r>
          </w:p>
        </w:tc>
        <w:tc>
          <w:tcPr>
            <w:tcW w:w="1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年度</w:t>
            </w:r>
          </w:p>
        </w:tc>
        <w:tc>
          <w:tcPr>
            <w:tcW w:w="218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商服用地</w:t>
            </w:r>
          </w:p>
        </w:tc>
        <w:tc>
          <w:tcPr>
            <w:tcW w:w="260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住宅用地</w:t>
            </w:r>
          </w:p>
        </w:tc>
        <w:tc>
          <w:tcPr>
            <w:tcW w:w="2120" w:type="dxa"/>
            <w:gridSpan w:val="2"/>
            <w:tcBorders>
              <w:top w:val="single" w:color="auto" w:sz="8" w:space="0"/>
              <w:left w:val="nil"/>
              <w:bottom w:val="single" w:color="auto" w:sz="8" w:space="0"/>
              <w:right w:val="single" w:color="000000"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工业用地</w:t>
            </w:r>
          </w:p>
        </w:tc>
      </w:tr>
      <w:tr>
        <w:tblPrEx>
          <w:tblCellMar>
            <w:top w:w="0" w:type="dxa"/>
            <w:left w:w="108" w:type="dxa"/>
            <w:bottom w:w="0" w:type="dxa"/>
            <w:right w:w="108" w:type="dxa"/>
          </w:tblCellMar>
        </w:tblPrEx>
        <w:trPr>
          <w:trHeight w:val="285" w:hRule="atLeast"/>
        </w:trPr>
        <w:tc>
          <w:tcPr>
            <w:tcW w:w="1060" w:type="dxa"/>
            <w:vMerge w:val="continue"/>
            <w:tcBorders>
              <w:top w:val="single" w:color="auto" w:sz="8" w:space="0"/>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vMerge w:val="continue"/>
            <w:tcBorders>
              <w:top w:val="single" w:color="auto" w:sz="8" w:space="0"/>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元</w:t>
            </w:r>
            <w:r>
              <w:rPr>
                <w:rFonts w:ascii="Times New Roman"/>
                <w:sz w:val="21"/>
                <w:szCs w:val="21"/>
              </w:rPr>
              <w:t xml:space="preserve">/ </w:t>
            </w:r>
            <w:r>
              <w:rPr>
                <w:rFonts w:ascii="Times New Roman" w:hAnsi="宋体"/>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万元</w:t>
            </w:r>
            <w:r>
              <w:rPr>
                <w:rFonts w:ascii="Times New Roman"/>
                <w:sz w:val="21"/>
                <w:szCs w:val="21"/>
              </w:rPr>
              <w:t>/</w:t>
            </w:r>
            <w:r>
              <w:rPr>
                <w:rFonts w:ascii="Times New Roman" w:hAnsi="宋体"/>
                <w:sz w:val="21"/>
                <w:szCs w:val="21"/>
              </w:rPr>
              <w:t>亩</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Ⅰ</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730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48.67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612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40.80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520</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34.67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455</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30.33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210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14.00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157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10.47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5.82%</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40.38%</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5.06%</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34.51%</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Ⅱ</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625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41.67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565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37.67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318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21.20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432</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28.80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398</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26.53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378</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25.20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193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12.87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167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11.13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-60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-4.00 </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环比下浮</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定基下调</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6.35%</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44.68%</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6.01%</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41.96%</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-2.84%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-15.87%</w:t>
            </w:r>
          </w:p>
        </w:tc>
      </w:tr>
      <w:tr>
        <w:tblPrEx>
          <w:tblCellMar>
            <w:top w:w="0" w:type="dxa"/>
            <w:left w:w="108" w:type="dxa"/>
            <w:bottom w:w="0" w:type="dxa"/>
            <w:right w:w="108" w:type="dxa"/>
          </w:tblCellMar>
        </w:tblPrEx>
        <w:trPr>
          <w:trHeight w:val="300" w:hRule="atLeast"/>
        </w:trPr>
        <w:tc>
          <w:tcPr>
            <w:tcW w:w="1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Ⅲ</w:t>
            </w:r>
            <w:r>
              <w:rPr>
                <w:rFonts w:ascii="Times New Roman" w:hAnsi="宋体"/>
                <w:sz w:val="21"/>
                <w:szCs w:val="21"/>
              </w:rPr>
              <w:t>级</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2020</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520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34.67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444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29.60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248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16.53 </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2014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370</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24.67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333</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22.20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302</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20.13 </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差值</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150 </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10.00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111 </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7.40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 xml:space="preserve">-54 </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4"/>
                <w:szCs w:val="24"/>
              </w:rPr>
            </w:pPr>
            <w:r>
              <w:rPr>
                <w:rFonts w:ascii="Times New Roman"/>
                <w:sz w:val="24"/>
                <w:szCs w:val="24"/>
              </w:rPr>
              <w:t xml:space="preserve">-3.60 </w:t>
            </w:r>
          </w:p>
        </w:tc>
      </w:tr>
      <w:tr>
        <w:tblPrEx>
          <w:tblCellMar>
            <w:top w:w="0" w:type="dxa"/>
            <w:left w:w="108" w:type="dxa"/>
            <w:bottom w:w="0" w:type="dxa"/>
            <w:right w:w="108" w:type="dxa"/>
          </w:tblCellMar>
        </w:tblPrEx>
        <w:trPr>
          <w:trHeight w:val="300"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比较类型</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环比上浮</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定基上调</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环比下浮</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定基下调</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8" w:space="0"/>
              <w:bottom w:val="single" w:color="000000" w:sz="8" w:space="0"/>
              <w:right w:val="single" w:color="auto" w:sz="8" w:space="0"/>
            </w:tcBorders>
            <w:vAlign w:val="center"/>
          </w:tcPr>
          <w:p>
            <w:pPr>
              <w:widowControl/>
              <w:autoSpaceDE/>
              <w:autoSpaceDN/>
              <w:adjustRightInd/>
              <w:rPr>
                <w:rFonts w:ascii="Times New Roman"/>
                <w:sz w:val="21"/>
                <w:szCs w:val="21"/>
              </w:rPr>
            </w:pP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hAnsi="宋体"/>
                <w:sz w:val="21"/>
                <w:szCs w:val="21"/>
              </w:rPr>
              <w:t>幅度</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5.84%</w:t>
            </w:r>
          </w:p>
        </w:tc>
        <w:tc>
          <w:tcPr>
            <w:tcW w:w="112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40.54%</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4.91%</w:t>
            </w:r>
          </w:p>
        </w:tc>
        <w:tc>
          <w:tcPr>
            <w:tcW w:w="154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33.33%</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-3.23%</w:t>
            </w:r>
          </w:p>
        </w:tc>
        <w:tc>
          <w:tcPr>
            <w:tcW w:w="1060" w:type="dxa"/>
            <w:tcBorders>
              <w:top w:val="nil"/>
              <w:left w:val="nil"/>
              <w:bottom w:val="single" w:color="auto" w:sz="8" w:space="0"/>
              <w:right w:val="single" w:color="auto" w:sz="8" w:space="0"/>
            </w:tcBorders>
            <w:shd w:val="clear" w:color="auto" w:fill="auto"/>
            <w:vAlign w:val="center"/>
          </w:tcPr>
          <w:p>
            <w:pPr>
              <w:widowControl/>
              <w:autoSpaceDE/>
              <w:autoSpaceDN/>
              <w:adjustRightInd/>
              <w:jc w:val="center"/>
              <w:rPr>
                <w:rFonts w:ascii="Times New Roman"/>
                <w:sz w:val="21"/>
                <w:szCs w:val="21"/>
              </w:rPr>
            </w:pPr>
            <w:r>
              <w:rPr>
                <w:rFonts w:ascii="Times New Roman"/>
                <w:sz w:val="21"/>
                <w:szCs w:val="21"/>
              </w:rPr>
              <w:t>-17.88%</w:t>
            </w:r>
          </w:p>
        </w:tc>
      </w:tr>
    </w:tbl>
    <w:p>
      <w:pPr>
        <w:ind w:firstLine="360" w:firstLineChars="200"/>
        <w:rPr>
          <w:rFonts w:ascii="Times New Roman" w:eastAsia="仿宋"/>
          <w:sz w:val="18"/>
          <w:szCs w:val="18"/>
        </w:rPr>
      </w:pPr>
      <w:r>
        <w:rPr>
          <w:rFonts w:ascii="Times New Roman" w:hAnsi="仿宋" w:eastAsia="仿宋"/>
          <w:sz w:val="18"/>
          <w:szCs w:val="18"/>
        </w:rPr>
        <w:t>注：环比：</w:t>
      </w:r>
      <w:r>
        <w:rPr>
          <w:rFonts w:ascii="Times New Roman" w:eastAsia="仿宋"/>
          <w:sz w:val="18"/>
          <w:szCs w:val="18"/>
        </w:rPr>
        <w:t>P=a(1+r)^6(P:2020</w:t>
      </w:r>
      <w:r>
        <w:rPr>
          <w:rFonts w:ascii="Times New Roman" w:hAnsi="仿宋" w:eastAsia="仿宋"/>
          <w:sz w:val="18"/>
          <w:szCs w:val="18"/>
        </w:rPr>
        <w:t>价格、</w:t>
      </w:r>
      <w:r>
        <w:rPr>
          <w:rFonts w:ascii="Times New Roman" w:eastAsia="仿宋"/>
          <w:sz w:val="18"/>
          <w:szCs w:val="18"/>
        </w:rPr>
        <w:t>a</w:t>
      </w:r>
      <w:r>
        <w:rPr>
          <w:rFonts w:ascii="Times New Roman" w:hAnsi="仿宋" w:eastAsia="仿宋"/>
          <w:sz w:val="18"/>
          <w:szCs w:val="18"/>
        </w:rPr>
        <w:t>：</w:t>
      </w:r>
      <w:r>
        <w:rPr>
          <w:rFonts w:ascii="Times New Roman" w:eastAsia="仿宋"/>
          <w:sz w:val="18"/>
          <w:szCs w:val="18"/>
        </w:rPr>
        <w:t>2014</w:t>
      </w:r>
      <w:r>
        <w:rPr>
          <w:rFonts w:ascii="Times New Roman" w:hAnsi="仿宋" w:eastAsia="仿宋"/>
          <w:sz w:val="18"/>
          <w:szCs w:val="18"/>
        </w:rPr>
        <w:t>价格、</w:t>
      </w:r>
      <w:r>
        <w:rPr>
          <w:rFonts w:ascii="Times New Roman" w:eastAsia="仿宋"/>
          <w:sz w:val="18"/>
          <w:szCs w:val="18"/>
        </w:rPr>
        <w:t>r</w:t>
      </w:r>
      <w:r>
        <w:rPr>
          <w:rFonts w:ascii="Times New Roman" w:hAnsi="仿宋" w:eastAsia="仿宋"/>
          <w:sz w:val="18"/>
          <w:szCs w:val="18"/>
        </w:rPr>
        <w:t>：年均增长率</w:t>
      </w:r>
      <w:r>
        <w:rPr>
          <w:rFonts w:ascii="Times New Roman" w:eastAsia="仿宋"/>
          <w:sz w:val="18"/>
          <w:szCs w:val="18"/>
        </w:rPr>
        <w:t>)</w:t>
      </w:r>
    </w:p>
    <w:p>
      <w:pPr>
        <w:ind w:firstLine="720" w:firstLineChars="400"/>
        <w:rPr>
          <w:rFonts w:ascii="Times New Roman" w:eastAsia="仿宋"/>
          <w:sz w:val="18"/>
          <w:szCs w:val="18"/>
        </w:rPr>
      </w:pPr>
      <w:r>
        <w:rPr>
          <w:rFonts w:ascii="Times New Roman" w:hAnsi="仿宋" w:eastAsia="仿宋"/>
          <w:sz w:val="18"/>
          <w:szCs w:val="18"/>
        </w:rPr>
        <w:t>定基：</w:t>
      </w:r>
      <w:r>
        <w:rPr>
          <w:rFonts w:ascii="Times New Roman" w:eastAsia="仿宋"/>
          <w:sz w:val="18"/>
          <w:szCs w:val="18"/>
        </w:rPr>
        <w:t>P=(a-b)/b (a:2020</w:t>
      </w:r>
      <w:r>
        <w:rPr>
          <w:rFonts w:ascii="Times New Roman" w:hAnsi="仿宋" w:eastAsia="仿宋"/>
          <w:sz w:val="18"/>
          <w:szCs w:val="18"/>
        </w:rPr>
        <w:t>价格、</w:t>
      </w:r>
      <w:r>
        <w:rPr>
          <w:rFonts w:ascii="Times New Roman" w:eastAsia="仿宋"/>
          <w:sz w:val="18"/>
          <w:szCs w:val="18"/>
        </w:rPr>
        <w:t>b</w:t>
      </w:r>
      <w:r>
        <w:rPr>
          <w:rFonts w:ascii="Times New Roman" w:hAnsi="仿宋" w:eastAsia="仿宋"/>
          <w:sz w:val="18"/>
          <w:szCs w:val="18"/>
        </w:rPr>
        <w:t>：</w:t>
      </w:r>
      <w:r>
        <w:rPr>
          <w:rFonts w:ascii="Times New Roman" w:eastAsia="仿宋"/>
          <w:sz w:val="18"/>
          <w:szCs w:val="18"/>
        </w:rPr>
        <w:t>2014</w:t>
      </w:r>
      <w:r>
        <w:rPr>
          <w:rFonts w:ascii="Times New Roman" w:hAnsi="仿宋" w:eastAsia="仿宋"/>
          <w:sz w:val="18"/>
          <w:szCs w:val="18"/>
        </w:rPr>
        <w:t>价格、</w:t>
      </w:r>
      <w:r>
        <w:rPr>
          <w:rFonts w:ascii="Times New Roman" w:eastAsia="仿宋"/>
          <w:sz w:val="18"/>
          <w:szCs w:val="18"/>
        </w:rPr>
        <w:t>P</w:t>
      </w:r>
      <w:r>
        <w:rPr>
          <w:rFonts w:ascii="Times New Roman" w:hAnsi="仿宋" w:eastAsia="仿宋"/>
          <w:sz w:val="18"/>
          <w:szCs w:val="18"/>
        </w:rPr>
        <w:t>：定基增长率</w:t>
      </w:r>
      <w:r>
        <w:rPr>
          <w:rFonts w:ascii="Times New Roman" w:eastAsia="仿宋"/>
          <w:sz w:val="18"/>
          <w:szCs w:val="18"/>
        </w:rPr>
        <w:t>)</w:t>
      </w:r>
    </w:p>
    <w:p>
      <w:pPr>
        <w:widowControl/>
        <w:rPr>
          <w:rFonts w:ascii="Times New Roman" w:eastAsia="仿宋"/>
          <w:sz w:val="21"/>
          <w:szCs w:val="21"/>
        </w:rPr>
      </w:pPr>
      <w:r>
        <w:rPr>
          <w:rFonts w:ascii="Times New Roman" w:hAnsi="仿宋" w:eastAsia="仿宋"/>
          <w:sz w:val="21"/>
          <w:szCs w:val="21"/>
        </w:rPr>
        <w:t>经过比较分析，可以看出：</w:t>
      </w:r>
      <w:r>
        <w:rPr>
          <w:rFonts w:ascii="Times New Roman" w:eastAsia="仿宋"/>
          <w:sz w:val="21"/>
          <w:szCs w:val="21"/>
        </w:rPr>
        <w:t xml:space="preserve"> </w:t>
      </w:r>
    </w:p>
    <w:p>
      <w:pPr>
        <w:tabs>
          <w:tab w:val="left" w:pos="5940"/>
        </w:tabs>
        <w:spacing w:line="360" w:lineRule="auto"/>
        <w:ind w:firstLine="480" w:firstLineChars="200"/>
        <w:jc w:val="center"/>
        <w:rPr>
          <w:rFonts w:ascii="Times New Roman" w:eastAsia="仿宋"/>
        </w:rPr>
      </w:pPr>
      <w:r>
        <w:rPr>
          <w:rFonts w:ascii="Times New Roman" w:hAnsi="仿宋" w:eastAsia="仿宋"/>
          <w:sz w:val="24"/>
        </w:rPr>
        <w:t>商服用地：</w:t>
      </w:r>
      <w:r>
        <w:rPr>
          <w:rFonts w:ascii="Times New Roman" w:eastAsia="仿宋"/>
          <w:sz w:val="24"/>
        </w:rPr>
        <w:t>Ⅰ</w:t>
      </w:r>
      <w:r>
        <w:rPr>
          <w:rFonts w:ascii="Times New Roman" w:hAnsi="仿宋" w:eastAsia="仿宋"/>
          <w:sz w:val="24"/>
        </w:rPr>
        <w:t>级增长</w:t>
      </w:r>
      <w:r>
        <w:rPr>
          <w:rFonts w:ascii="Times New Roman" w:eastAsia="仿宋"/>
          <w:sz w:val="24"/>
        </w:rPr>
        <w:t>210</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5.82%</w:t>
      </w:r>
      <w:r>
        <w:rPr>
          <w:rFonts w:ascii="Times New Roman" w:hAnsi="仿宋" w:eastAsia="仿宋"/>
          <w:sz w:val="24"/>
        </w:rPr>
        <w:t>；</w:t>
      </w:r>
      <w:r>
        <w:rPr>
          <w:rFonts w:ascii="Times New Roman" w:eastAsia="仿宋"/>
          <w:sz w:val="24"/>
        </w:rPr>
        <w:t>Ⅱ</w:t>
      </w:r>
      <w:r>
        <w:rPr>
          <w:rFonts w:ascii="Times New Roman" w:hAnsi="仿宋" w:eastAsia="仿宋"/>
          <w:sz w:val="24"/>
        </w:rPr>
        <w:t>级增长</w:t>
      </w:r>
      <w:r>
        <w:rPr>
          <w:rFonts w:ascii="Times New Roman" w:eastAsia="仿宋"/>
          <w:sz w:val="24"/>
        </w:rPr>
        <w:t>193</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6.35%</w:t>
      </w:r>
      <w:r>
        <w:rPr>
          <w:rFonts w:ascii="Times New Roman" w:hAnsi="仿宋" w:eastAsia="仿宋"/>
          <w:sz w:val="24"/>
        </w:rPr>
        <w:t>；</w:t>
      </w:r>
      <w:r>
        <w:rPr>
          <w:rFonts w:ascii="Times New Roman" w:eastAsia="仿宋"/>
          <w:sz w:val="24"/>
        </w:rPr>
        <w:t>Ⅲ</w:t>
      </w:r>
      <w:r>
        <w:rPr>
          <w:rFonts w:ascii="Times New Roman" w:hAnsi="仿宋" w:eastAsia="仿宋"/>
          <w:sz w:val="24"/>
        </w:rPr>
        <w:t>级增长</w:t>
      </w:r>
      <w:r>
        <w:rPr>
          <w:rFonts w:ascii="Times New Roman" w:eastAsia="仿宋"/>
          <w:sz w:val="24"/>
        </w:rPr>
        <w:t>150</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5.84%</w:t>
      </w:r>
      <w:r>
        <w:rPr>
          <w:rFonts w:ascii="Times New Roman" w:hAnsi="仿宋" w:eastAsia="仿宋"/>
          <w:sz w:val="24"/>
        </w:rPr>
        <w:t>。</w:t>
      </w:r>
      <w:r>
        <w:rPr>
          <w:rFonts w:ascii="Times New Roman" w:eastAsia="仿宋"/>
          <w:sz w:val="24"/>
        </w:rPr>
        <w:drawing>
          <wp:inline distT="0" distB="0" distL="0" distR="0">
            <wp:extent cx="3790950" cy="3422015"/>
            <wp:effectExtent l="12192" t="6096" r="6858" b="381"/>
            <wp:docPr id="10"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tabs>
          <w:tab w:val="left" w:pos="5940"/>
        </w:tabs>
        <w:spacing w:line="360" w:lineRule="auto"/>
        <w:ind w:firstLine="480" w:firstLineChars="200"/>
        <w:rPr>
          <w:rFonts w:ascii="Times New Roman" w:eastAsia="仿宋"/>
          <w:sz w:val="24"/>
        </w:rPr>
      </w:pPr>
      <w:r>
        <w:rPr>
          <w:rFonts w:ascii="Times New Roman" w:hAnsi="仿宋" w:eastAsia="仿宋"/>
          <w:sz w:val="24"/>
        </w:rPr>
        <w:t>住宅用地：</w:t>
      </w:r>
      <w:r>
        <w:rPr>
          <w:rFonts w:ascii="Times New Roman" w:eastAsia="仿宋"/>
          <w:sz w:val="24"/>
        </w:rPr>
        <w:t>Ⅰ</w:t>
      </w:r>
      <w:r>
        <w:rPr>
          <w:rFonts w:ascii="Times New Roman" w:hAnsi="仿宋" w:eastAsia="仿宋"/>
          <w:sz w:val="24"/>
        </w:rPr>
        <w:t>级增长</w:t>
      </w:r>
      <w:r>
        <w:rPr>
          <w:rFonts w:ascii="Times New Roman" w:eastAsia="仿宋"/>
          <w:sz w:val="24"/>
        </w:rPr>
        <w:t>157</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w:t>
      </w:r>
      <w:r>
        <w:rPr>
          <w:rFonts w:ascii="Times New Roman" w:eastAsia="仿宋"/>
          <w:sz w:val="24"/>
        </w:rPr>
        <w:t>5.06%</w:t>
      </w:r>
      <w:r>
        <w:rPr>
          <w:rFonts w:ascii="Times New Roman" w:hAnsi="仿宋" w:eastAsia="仿宋"/>
          <w:sz w:val="24"/>
        </w:rPr>
        <w:t>；</w:t>
      </w:r>
      <w:r>
        <w:rPr>
          <w:rFonts w:ascii="Times New Roman" w:eastAsia="仿宋"/>
          <w:sz w:val="24"/>
        </w:rPr>
        <w:t>Ⅱ</w:t>
      </w:r>
      <w:r>
        <w:rPr>
          <w:rFonts w:ascii="Times New Roman" w:hAnsi="仿宋" w:eastAsia="仿宋"/>
          <w:sz w:val="24"/>
        </w:rPr>
        <w:t>级增长</w:t>
      </w:r>
      <w:r>
        <w:rPr>
          <w:rFonts w:ascii="Times New Roman" w:eastAsia="仿宋"/>
          <w:sz w:val="24"/>
        </w:rPr>
        <w:t>167</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6.01%</w:t>
      </w:r>
      <w:r>
        <w:rPr>
          <w:rFonts w:ascii="Times New Roman" w:hAnsi="仿宋" w:eastAsia="仿宋"/>
          <w:sz w:val="24"/>
        </w:rPr>
        <w:t>；</w:t>
      </w:r>
      <w:r>
        <w:rPr>
          <w:rFonts w:ascii="Times New Roman" w:eastAsia="仿宋"/>
          <w:sz w:val="24"/>
        </w:rPr>
        <w:t>Ⅲ</w:t>
      </w:r>
      <w:r>
        <w:rPr>
          <w:rFonts w:ascii="Times New Roman" w:hAnsi="仿宋" w:eastAsia="仿宋"/>
          <w:sz w:val="24"/>
        </w:rPr>
        <w:t>级增长</w:t>
      </w:r>
      <w:r>
        <w:rPr>
          <w:rFonts w:ascii="Times New Roman" w:eastAsia="仿宋"/>
          <w:sz w:val="24"/>
        </w:rPr>
        <w:t>111</w:t>
      </w:r>
      <w:r>
        <w:rPr>
          <w:rFonts w:ascii="Times New Roman" w:hAnsi="仿宋" w:eastAsia="仿宋"/>
          <w:sz w:val="24"/>
        </w:rPr>
        <w:t>元</w:t>
      </w:r>
      <w:r>
        <w:rPr>
          <w:rFonts w:ascii="Times New Roman" w:eastAsia="仿宋"/>
          <w:sz w:val="24"/>
        </w:rPr>
        <w:t>/</w:t>
      </w:r>
      <w:r>
        <w:rPr>
          <w:rFonts w:ascii="Times New Roman" w:hAnsi="仿宋" w:eastAsia="仿宋"/>
          <w:sz w:val="24"/>
        </w:rPr>
        <w:t>平方米，年均增长率为</w:t>
      </w:r>
      <w:r>
        <w:rPr>
          <w:rFonts w:ascii="Times New Roman" w:eastAsia="仿宋"/>
          <w:sz w:val="24"/>
        </w:rPr>
        <w:t>4.91%</w:t>
      </w:r>
      <w:r>
        <w:rPr>
          <w:rFonts w:ascii="Times New Roman" w:hAnsi="仿宋" w:eastAsia="仿宋"/>
          <w:sz w:val="24"/>
        </w:rPr>
        <w:t>。</w:t>
      </w:r>
    </w:p>
    <w:p>
      <w:pPr>
        <w:spacing w:line="360" w:lineRule="auto"/>
        <w:ind w:firstLine="680" w:firstLineChars="200"/>
        <w:jc w:val="center"/>
        <w:rPr>
          <w:rFonts w:ascii="Times New Roman" w:eastAsia="仿宋"/>
        </w:rPr>
      </w:pPr>
      <w:r>
        <w:rPr>
          <w:rFonts w:ascii="Times New Roman" w:eastAsia="仿宋"/>
        </w:rPr>
        <w:drawing>
          <wp:inline distT="0" distB="0" distL="0" distR="0">
            <wp:extent cx="3810635" cy="3432175"/>
            <wp:effectExtent l="12192" t="6096" r="6096" b="0"/>
            <wp:docPr id="1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tabs>
          <w:tab w:val="left" w:pos="5940"/>
        </w:tabs>
        <w:spacing w:line="360" w:lineRule="auto"/>
        <w:ind w:firstLine="480" w:firstLineChars="200"/>
        <w:rPr>
          <w:rFonts w:ascii="Times New Roman" w:eastAsia="仿宋"/>
          <w:sz w:val="24"/>
        </w:rPr>
      </w:pPr>
      <w:r>
        <w:rPr>
          <w:rFonts w:ascii="Times New Roman" w:hAnsi="仿宋" w:eastAsia="仿宋"/>
          <w:sz w:val="24"/>
        </w:rPr>
        <w:t>工矿仓储用地：</w:t>
      </w:r>
      <w:r>
        <w:rPr>
          <w:rFonts w:ascii="Times New Roman" w:eastAsia="仿宋"/>
          <w:sz w:val="24"/>
        </w:rPr>
        <w:t>Ⅰ</w:t>
      </w:r>
      <w:r>
        <w:rPr>
          <w:rFonts w:ascii="Times New Roman" w:hAnsi="仿宋" w:eastAsia="仿宋"/>
          <w:sz w:val="24"/>
        </w:rPr>
        <w:t>级为规划限制区不宜布置工矿仓储用地；</w:t>
      </w:r>
      <w:r>
        <w:rPr>
          <w:rFonts w:ascii="Times New Roman" w:eastAsia="仿宋"/>
          <w:sz w:val="24"/>
        </w:rPr>
        <w:t>Ⅱ</w:t>
      </w:r>
      <w:r>
        <w:rPr>
          <w:rFonts w:ascii="Times New Roman" w:hAnsi="仿宋" w:eastAsia="仿宋"/>
          <w:sz w:val="24"/>
        </w:rPr>
        <w:t>级降低</w:t>
      </w:r>
      <w:r>
        <w:rPr>
          <w:rFonts w:ascii="Times New Roman" w:eastAsia="仿宋"/>
          <w:sz w:val="24"/>
        </w:rPr>
        <w:t>60</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2.84%</w:t>
      </w:r>
      <w:r>
        <w:rPr>
          <w:rFonts w:ascii="Times New Roman" w:hAnsi="仿宋" w:eastAsia="仿宋"/>
          <w:sz w:val="24"/>
        </w:rPr>
        <w:t>；</w:t>
      </w:r>
      <w:r>
        <w:rPr>
          <w:rFonts w:ascii="Times New Roman" w:eastAsia="仿宋"/>
          <w:sz w:val="24"/>
        </w:rPr>
        <w:t>Ⅲ</w:t>
      </w:r>
      <w:r>
        <w:rPr>
          <w:rFonts w:ascii="Times New Roman" w:hAnsi="仿宋" w:eastAsia="仿宋"/>
          <w:sz w:val="24"/>
        </w:rPr>
        <w:t>级降低</w:t>
      </w:r>
      <w:r>
        <w:rPr>
          <w:rFonts w:ascii="Times New Roman" w:eastAsia="仿宋"/>
          <w:sz w:val="24"/>
        </w:rPr>
        <w:t>54</w:t>
      </w:r>
      <w:r>
        <w:rPr>
          <w:rFonts w:ascii="Times New Roman" w:hAnsi="仿宋" w:eastAsia="仿宋"/>
          <w:sz w:val="24"/>
        </w:rPr>
        <w:t>元</w:t>
      </w:r>
      <w:r>
        <w:rPr>
          <w:rFonts w:ascii="Times New Roman" w:eastAsia="仿宋"/>
          <w:sz w:val="24"/>
        </w:rPr>
        <w:t>/</w:t>
      </w:r>
      <w:r>
        <w:rPr>
          <w:rFonts w:ascii="Times New Roman" w:hAnsi="仿宋" w:eastAsia="仿宋"/>
          <w:sz w:val="24"/>
        </w:rPr>
        <w:t>平方米，年均下浮率为</w:t>
      </w:r>
      <w:r>
        <w:rPr>
          <w:rFonts w:ascii="Times New Roman" w:eastAsia="仿宋"/>
          <w:sz w:val="24"/>
        </w:rPr>
        <w:t>3.23%</w:t>
      </w:r>
      <w:r>
        <w:rPr>
          <w:rFonts w:ascii="Times New Roman" w:hAnsi="仿宋" w:eastAsia="仿宋"/>
          <w:sz w:val="24"/>
        </w:rPr>
        <w:t>。</w:t>
      </w:r>
    </w:p>
    <w:p>
      <w:pPr>
        <w:tabs>
          <w:tab w:val="left" w:pos="5940"/>
        </w:tabs>
        <w:spacing w:line="360" w:lineRule="auto"/>
        <w:ind w:firstLine="680" w:firstLineChars="200"/>
        <w:jc w:val="center"/>
        <w:rPr>
          <w:rFonts w:ascii="Times New Roman" w:eastAsia="仿宋"/>
        </w:rPr>
      </w:pPr>
      <w:r>
        <w:rPr>
          <w:rFonts w:ascii="Times New Roman" w:eastAsia="仿宋"/>
        </w:rPr>
        <w:drawing>
          <wp:inline distT="0" distB="0" distL="0" distR="0">
            <wp:extent cx="3896360" cy="3441700"/>
            <wp:effectExtent l="12192" t="6096" r="5714" b="0"/>
            <wp:docPr id="12"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9"/>
        <w:ind w:firstLine="315" w:firstLineChars="150"/>
        <w:jc w:val="center"/>
        <w:rPr>
          <w:rFonts w:ascii="Times New Roman" w:hAnsi="Times New Roman" w:eastAsia="仿宋" w:cs="Times New Roman"/>
        </w:rPr>
      </w:pPr>
    </w:p>
    <w:p>
      <w:pPr>
        <w:pStyle w:val="9"/>
        <w:ind w:firstLine="315" w:firstLineChars="150"/>
        <w:jc w:val="center"/>
        <w:rPr>
          <w:rFonts w:ascii="Times New Roman" w:hAnsi="Times New Roman" w:eastAsia="仿宋" w:cs="Times New Roman"/>
        </w:rPr>
      </w:pPr>
    </w:p>
    <w:sectPr>
      <w:footerReference r:id="rId3" w:type="default"/>
      <w:pgSz w:w="11906" w:h="16838"/>
      <w:pgMar w:top="1440" w:right="1797" w:bottom="1440" w:left="179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_GB2312">
    <w:altName w:val="隶书"/>
    <w:panose1 w:val="00000000000000000000"/>
    <w:charset w:val="86"/>
    <w:family w:val="modern"/>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8389201"/>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689A"/>
    <w:rsid w:val="0066689A"/>
    <w:rsid w:val="008C3229"/>
    <w:rsid w:val="00B349F9"/>
    <w:rsid w:val="00EB5F7F"/>
    <w:rsid w:val="3D2D1307"/>
    <w:rsid w:val="69CB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kern w:val="0"/>
      <w:sz w:val="34"/>
      <w:szCs w:val="20"/>
      <w:lang w:val="en-US" w:eastAsia="zh-CN" w:bidi="ar-SA"/>
    </w:rPr>
  </w:style>
  <w:style w:type="paragraph" w:styleId="2">
    <w:name w:val="heading 1"/>
    <w:basedOn w:val="1"/>
    <w:next w:val="1"/>
    <w:link w:val="2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7"/>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7"/>
    <w:unhideWhenUsed/>
    <w:qFormat/>
    <w:uiPriority w:val="99"/>
    <w:rPr>
      <w:rFonts w:hAnsiTheme="minorHAnsi" w:eastAsiaTheme="minorEastAsia" w:cstheme="minorBidi"/>
      <w:kern w:val="2"/>
      <w:sz w:val="18"/>
      <w:szCs w:val="18"/>
    </w:rPr>
  </w:style>
  <w:style w:type="paragraph" w:styleId="6">
    <w:name w:val="annotation text"/>
    <w:basedOn w:val="1"/>
    <w:link w:val="41"/>
    <w:unhideWhenUsed/>
    <w:qFormat/>
    <w:uiPriority w:val="99"/>
  </w:style>
  <w:style w:type="paragraph" w:styleId="7">
    <w:name w:val="Body Text"/>
    <w:basedOn w:val="1"/>
    <w:link w:val="45"/>
    <w:qFormat/>
    <w:uiPriority w:val="0"/>
    <w:pPr>
      <w:spacing w:line="525" w:lineRule="atLeast"/>
      <w:jc w:val="center"/>
    </w:pPr>
    <w:rPr>
      <w:rFonts w:ascii="隶书_GB2312" w:eastAsia="隶书_GB2312" w:hAnsiTheme="minorHAnsi" w:cstheme="minorBidi"/>
      <w:spacing w:val="5"/>
      <w:kern w:val="2"/>
      <w:sz w:val="72"/>
      <w:szCs w:val="22"/>
    </w:rPr>
  </w:style>
  <w:style w:type="paragraph" w:styleId="8">
    <w:name w:val="toc 3"/>
    <w:basedOn w:val="1"/>
    <w:next w:val="1"/>
    <w:qFormat/>
    <w:uiPriority w:val="39"/>
    <w:pPr>
      <w:widowControl/>
      <w:autoSpaceDE/>
      <w:autoSpaceDN/>
      <w:adjustRightInd/>
      <w:spacing w:after="100" w:line="276" w:lineRule="auto"/>
      <w:ind w:left="440"/>
    </w:pPr>
    <w:rPr>
      <w:rFonts w:ascii="Calibri" w:hAnsi="Calibri"/>
      <w:sz w:val="22"/>
      <w:szCs w:val="22"/>
    </w:rPr>
  </w:style>
  <w:style w:type="paragraph" w:styleId="9">
    <w:name w:val="Plain Text"/>
    <w:basedOn w:val="1"/>
    <w:link w:val="43"/>
    <w:qFormat/>
    <w:uiPriority w:val="99"/>
    <w:pPr>
      <w:widowControl/>
      <w:overflowPunct w:val="0"/>
      <w:textAlignment w:val="baseline"/>
    </w:pPr>
    <w:rPr>
      <w:rFonts w:hAnsi="Courier New" w:eastAsiaTheme="minorEastAsia" w:cstheme="minorBidi"/>
      <w:kern w:val="2"/>
      <w:sz w:val="21"/>
      <w:szCs w:val="22"/>
      <w:lang w:val="en-GB"/>
    </w:rPr>
  </w:style>
  <w:style w:type="paragraph" w:styleId="10">
    <w:name w:val="Date"/>
    <w:basedOn w:val="1"/>
    <w:next w:val="1"/>
    <w:link w:val="44"/>
    <w:qFormat/>
    <w:uiPriority w:val="0"/>
    <w:pPr>
      <w:autoSpaceDE/>
      <w:autoSpaceDN/>
      <w:adjustRightInd/>
      <w:ind w:left="100" w:leftChars="2500"/>
      <w:jc w:val="both"/>
    </w:pPr>
    <w:rPr>
      <w:rFonts w:ascii="楷体_GB2312" w:eastAsia="楷体_GB2312" w:hAnsiTheme="minorHAnsi" w:cstheme="minorBidi"/>
      <w:kern w:val="2"/>
      <w:sz w:val="28"/>
      <w:szCs w:val="28"/>
    </w:rPr>
  </w:style>
  <w:style w:type="paragraph" w:styleId="11">
    <w:name w:val="Balloon Text"/>
    <w:basedOn w:val="1"/>
    <w:link w:val="46"/>
    <w:qFormat/>
    <w:uiPriority w:val="0"/>
    <w:rPr>
      <w:rFonts w:hAnsiTheme="minorHAnsi" w:eastAsiaTheme="minorEastAsia" w:cstheme="minorBidi"/>
      <w:kern w:val="2"/>
      <w:sz w:val="18"/>
      <w:szCs w:val="18"/>
    </w:rPr>
  </w:style>
  <w:style w:type="paragraph" w:styleId="12">
    <w:name w:val="footer"/>
    <w:basedOn w:val="1"/>
    <w:link w:val="24"/>
    <w:unhideWhenUsed/>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header"/>
    <w:basedOn w:val="1"/>
    <w:link w:val="23"/>
    <w:unhideWhenUsed/>
    <w:qFormat/>
    <w:uiPriority w:val="0"/>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4">
    <w:name w:val="toc 1"/>
    <w:basedOn w:val="1"/>
    <w:next w:val="1"/>
    <w:qFormat/>
    <w:uiPriority w:val="39"/>
    <w:pPr>
      <w:widowControl/>
      <w:tabs>
        <w:tab w:val="right" w:leader="dot" w:pos="8296"/>
      </w:tabs>
      <w:autoSpaceDE/>
      <w:autoSpaceDN/>
      <w:adjustRightInd/>
      <w:spacing w:after="100" w:line="360" w:lineRule="auto"/>
    </w:pPr>
    <w:rPr>
      <w:rFonts w:ascii="Calibri" w:hAnsi="Calibri"/>
      <w:sz w:val="22"/>
      <w:szCs w:val="22"/>
    </w:rPr>
  </w:style>
  <w:style w:type="paragraph" w:styleId="15">
    <w:name w:val="toc 2"/>
    <w:basedOn w:val="1"/>
    <w:next w:val="1"/>
    <w:qFormat/>
    <w:uiPriority w:val="39"/>
    <w:pPr>
      <w:widowControl/>
      <w:autoSpaceDE/>
      <w:autoSpaceDN/>
      <w:adjustRightInd/>
      <w:spacing w:after="100" w:line="276" w:lineRule="auto"/>
      <w:ind w:left="220"/>
    </w:pPr>
    <w:rPr>
      <w:rFonts w:ascii="Calibri" w:hAnsi="Calibri"/>
      <w:sz w:val="22"/>
      <w:szCs w:val="22"/>
    </w:rPr>
  </w:style>
  <w:style w:type="paragraph" w:styleId="16">
    <w:name w:val="annotation subject"/>
    <w:basedOn w:val="6"/>
    <w:next w:val="6"/>
    <w:link w:val="42"/>
    <w:unhideWhenUsed/>
    <w:qFormat/>
    <w:uiPriority w:val="0"/>
    <w:rPr>
      <w:rFonts w:hAnsiTheme="minorHAnsi" w:eastAsiaTheme="minorEastAsia" w:cstheme="minorBidi"/>
      <w:kern w:val="2"/>
      <w:szCs w:val="22"/>
    </w:rPr>
  </w:style>
  <w:style w:type="table" w:styleId="18">
    <w:name w:val="Table Grid"/>
    <w:basedOn w:val="17"/>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uiPriority w:val="99"/>
    <w:rPr>
      <w:color w:val="0000FF"/>
      <w:u w:val="single"/>
    </w:rPr>
  </w:style>
  <w:style w:type="character" w:styleId="22">
    <w:name w:val="annotation reference"/>
    <w:basedOn w:val="19"/>
    <w:unhideWhenUsed/>
    <w:qFormat/>
    <w:uiPriority w:val="99"/>
    <w:rPr>
      <w:sz w:val="21"/>
      <w:szCs w:val="21"/>
    </w:rPr>
  </w:style>
  <w:style w:type="character" w:customStyle="1" w:styleId="23">
    <w:name w:val="页眉 Char"/>
    <w:basedOn w:val="19"/>
    <w:link w:val="13"/>
    <w:uiPriority w:val="0"/>
    <w:rPr>
      <w:sz w:val="18"/>
      <w:szCs w:val="18"/>
    </w:rPr>
  </w:style>
  <w:style w:type="character" w:customStyle="1" w:styleId="24">
    <w:name w:val="页脚 Char"/>
    <w:basedOn w:val="19"/>
    <w:link w:val="12"/>
    <w:uiPriority w:val="99"/>
    <w:rPr>
      <w:sz w:val="18"/>
      <w:szCs w:val="18"/>
    </w:rPr>
  </w:style>
  <w:style w:type="character" w:customStyle="1" w:styleId="25">
    <w:name w:val="标题 1 Char"/>
    <w:basedOn w:val="19"/>
    <w:link w:val="2"/>
    <w:uiPriority w:val="0"/>
    <w:rPr>
      <w:rFonts w:ascii="宋体" w:hAnsi="Times New Roman" w:eastAsia="宋体" w:cs="Times New Roman"/>
      <w:b/>
      <w:bCs/>
      <w:kern w:val="44"/>
      <w:sz w:val="44"/>
      <w:szCs w:val="44"/>
    </w:rPr>
  </w:style>
  <w:style w:type="character" w:customStyle="1" w:styleId="26">
    <w:name w:val="标题 2 Char"/>
    <w:basedOn w:val="19"/>
    <w:link w:val="3"/>
    <w:uiPriority w:val="9"/>
    <w:rPr>
      <w:rFonts w:ascii="Cambria" w:hAnsi="Cambria" w:eastAsia="宋体" w:cs="Times New Roman"/>
      <w:b/>
      <w:bCs/>
      <w:kern w:val="0"/>
      <w:sz w:val="32"/>
      <w:szCs w:val="32"/>
    </w:rPr>
  </w:style>
  <w:style w:type="character" w:customStyle="1" w:styleId="27">
    <w:name w:val="标题 3 Char"/>
    <w:basedOn w:val="19"/>
    <w:link w:val="4"/>
    <w:uiPriority w:val="9"/>
    <w:rPr>
      <w:rFonts w:ascii="宋体" w:hAnsi="Times New Roman" w:eastAsia="宋体" w:cs="Times New Roman"/>
      <w:b/>
      <w:bCs/>
      <w:kern w:val="0"/>
      <w:sz w:val="32"/>
      <w:szCs w:val="32"/>
    </w:rPr>
  </w:style>
  <w:style w:type="character" w:customStyle="1" w:styleId="28">
    <w:name w:val="批注框文本 Char"/>
    <w:link w:val="11"/>
    <w:qFormat/>
    <w:uiPriority w:val="0"/>
    <w:rPr>
      <w:rFonts w:ascii="宋体"/>
      <w:sz w:val="18"/>
      <w:szCs w:val="18"/>
    </w:rPr>
  </w:style>
  <w:style w:type="character" w:customStyle="1" w:styleId="29">
    <w:name w:val="批注文字 Char"/>
    <w:basedOn w:val="19"/>
    <w:qFormat/>
    <w:uiPriority w:val="99"/>
    <w:rPr>
      <w:rFonts w:ascii="宋体"/>
      <w:sz w:val="34"/>
    </w:rPr>
  </w:style>
  <w:style w:type="character" w:customStyle="1" w:styleId="30">
    <w:name w:val="无间隔 Char"/>
    <w:link w:val="31"/>
    <w:qFormat/>
    <w:locked/>
    <w:uiPriority w:val="0"/>
    <w:rPr>
      <w:rFonts w:ascii="宋体" w:hAnsi="宋体"/>
      <w:color w:val="FF00FF"/>
    </w:rPr>
  </w:style>
  <w:style w:type="paragraph" w:customStyle="1" w:styleId="31">
    <w:name w:val="无间隔1"/>
    <w:link w:val="30"/>
    <w:qFormat/>
    <w:uiPriority w:val="0"/>
    <w:pPr>
      <w:widowControl w:val="0"/>
      <w:jc w:val="center"/>
    </w:pPr>
    <w:rPr>
      <w:rFonts w:ascii="宋体" w:hAnsi="宋体" w:eastAsiaTheme="minorEastAsia" w:cstheme="minorBidi"/>
      <w:color w:val="FF00FF"/>
      <w:kern w:val="2"/>
      <w:sz w:val="21"/>
      <w:szCs w:val="22"/>
      <w:lang w:val="en-US" w:eastAsia="zh-CN" w:bidi="ar-SA"/>
    </w:rPr>
  </w:style>
  <w:style w:type="character" w:customStyle="1" w:styleId="32">
    <w:name w:val="日期 Char"/>
    <w:link w:val="10"/>
    <w:qFormat/>
    <w:uiPriority w:val="0"/>
    <w:rPr>
      <w:rFonts w:ascii="楷体_GB2312" w:eastAsia="楷体_GB2312"/>
      <w:sz w:val="28"/>
      <w:szCs w:val="28"/>
    </w:rPr>
  </w:style>
  <w:style w:type="character" w:customStyle="1" w:styleId="33">
    <w:name w:val="111 Char"/>
    <w:link w:val="34"/>
    <w:qFormat/>
    <w:uiPriority w:val="0"/>
    <w:rPr>
      <w:rFonts w:ascii="宋体" w:hAnsi="宋体"/>
      <w:color w:val="000000"/>
      <w:sz w:val="22"/>
      <w:szCs w:val="21"/>
    </w:rPr>
  </w:style>
  <w:style w:type="paragraph" w:customStyle="1" w:styleId="34">
    <w:name w:val="111"/>
    <w:basedOn w:val="1"/>
    <w:link w:val="33"/>
    <w:qFormat/>
    <w:uiPriority w:val="0"/>
    <w:pPr>
      <w:autoSpaceDE/>
      <w:autoSpaceDN/>
      <w:adjustRightInd/>
      <w:jc w:val="center"/>
    </w:pPr>
    <w:rPr>
      <w:rFonts w:hAnsi="宋体" w:eastAsiaTheme="minorEastAsia" w:cstheme="minorBidi"/>
      <w:color w:val="000000"/>
      <w:kern w:val="2"/>
      <w:sz w:val="22"/>
      <w:szCs w:val="21"/>
    </w:rPr>
  </w:style>
  <w:style w:type="character" w:customStyle="1" w:styleId="35">
    <w:name w:val="文档结构图 Char"/>
    <w:link w:val="5"/>
    <w:qFormat/>
    <w:uiPriority w:val="99"/>
    <w:rPr>
      <w:rFonts w:ascii="宋体"/>
      <w:sz w:val="18"/>
      <w:szCs w:val="18"/>
    </w:rPr>
  </w:style>
  <w:style w:type="character" w:customStyle="1" w:styleId="36">
    <w:name w:val="批注主题 Char"/>
    <w:basedOn w:val="29"/>
    <w:link w:val="16"/>
    <w:qFormat/>
    <w:uiPriority w:val="0"/>
  </w:style>
  <w:style w:type="character" w:customStyle="1" w:styleId="37">
    <w:name w:val="正文文本 Char"/>
    <w:link w:val="7"/>
    <w:qFormat/>
    <w:uiPriority w:val="0"/>
    <w:rPr>
      <w:rFonts w:ascii="隶书_GB2312" w:eastAsia="隶书_GB2312"/>
      <w:spacing w:val="5"/>
      <w:sz w:val="72"/>
    </w:rPr>
  </w:style>
  <w:style w:type="character" w:customStyle="1" w:styleId="38">
    <w:name w:val="纯文本 Char"/>
    <w:link w:val="9"/>
    <w:qFormat/>
    <w:uiPriority w:val="99"/>
    <w:rPr>
      <w:rFonts w:ascii="宋体" w:hAnsi="Courier New"/>
      <w:lang w:val="en-GB"/>
    </w:rPr>
  </w:style>
  <w:style w:type="character" w:customStyle="1" w:styleId="39">
    <w:name w:val="中等深浅网格 2 Char"/>
    <w:link w:val="40"/>
    <w:qFormat/>
    <w:uiPriority w:val="0"/>
    <w:rPr>
      <w:sz w:val="22"/>
    </w:rPr>
  </w:style>
  <w:style w:type="paragraph" w:customStyle="1" w:styleId="40">
    <w:name w:val="中等深浅网格 21"/>
    <w:link w:val="39"/>
    <w:qFormat/>
    <w:uiPriority w:val="0"/>
    <w:rPr>
      <w:rFonts w:asciiTheme="minorHAnsi" w:hAnsiTheme="minorHAnsi" w:eastAsiaTheme="minorEastAsia" w:cstheme="minorBidi"/>
      <w:kern w:val="2"/>
      <w:sz w:val="22"/>
      <w:szCs w:val="22"/>
      <w:lang w:val="en-US" w:eastAsia="zh-CN" w:bidi="ar-SA"/>
    </w:rPr>
  </w:style>
  <w:style w:type="character" w:customStyle="1" w:styleId="41">
    <w:name w:val="批注文字 Char1"/>
    <w:basedOn w:val="19"/>
    <w:link w:val="6"/>
    <w:qFormat/>
    <w:uiPriority w:val="99"/>
    <w:rPr>
      <w:rFonts w:ascii="宋体" w:hAnsi="Times New Roman" w:eastAsia="宋体" w:cs="Times New Roman"/>
      <w:kern w:val="0"/>
      <w:sz w:val="34"/>
      <w:szCs w:val="20"/>
    </w:rPr>
  </w:style>
  <w:style w:type="character" w:customStyle="1" w:styleId="42">
    <w:name w:val="批注主题 Char1"/>
    <w:basedOn w:val="41"/>
    <w:link w:val="16"/>
    <w:semiHidden/>
    <w:qFormat/>
    <w:uiPriority w:val="99"/>
    <w:rPr>
      <w:b/>
      <w:bCs/>
    </w:rPr>
  </w:style>
  <w:style w:type="character" w:customStyle="1" w:styleId="43">
    <w:name w:val="纯文本 Char1"/>
    <w:basedOn w:val="19"/>
    <w:link w:val="9"/>
    <w:semiHidden/>
    <w:qFormat/>
    <w:uiPriority w:val="99"/>
    <w:rPr>
      <w:rFonts w:ascii="宋体" w:hAnsi="Courier New" w:eastAsia="宋体" w:cs="Courier New"/>
      <w:kern w:val="0"/>
      <w:szCs w:val="21"/>
    </w:rPr>
  </w:style>
  <w:style w:type="character" w:customStyle="1" w:styleId="44">
    <w:name w:val="日期 Char1"/>
    <w:basedOn w:val="19"/>
    <w:link w:val="10"/>
    <w:semiHidden/>
    <w:qFormat/>
    <w:uiPriority w:val="0"/>
    <w:rPr>
      <w:rFonts w:ascii="宋体" w:hAnsi="Times New Roman" w:eastAsia="宋体" w:cs="Times New Roman"/>
      <w:kern w:val="0"/>
      <w:sz w:val="34"/>
      <w:szCs w:val="20"/>
    </w:rPr>
  </w:style>
  <w:style w:type="character" w:customStyle="1" w:styleId="45">
    <w:name w:val="正文文本 Char1"/>
    <w:basedOn w:val="19"/>
    <w:link w:val="7"/>
    <w:semiHidden/>
    <w:qFormat/>
    <w:uiPriority w:val="99"/>
    <w:rPr>
      <w:rFonts w:ascii="宋体" w:hAnsi="Times New Roman" w:eastAsia="宋体" w:cs="Times New Roman"/>
      <w:kern w:val="0"/>
      <w:sz w:val="34"/>
      <w:szCs w:val="20"/>
    </w:rPr>
  </w:style>
  <w:style w:type="character" w:customStyle="1" w:styleId="46">
    <w:name w:val="批注框文本 Char1"/>
    <w:basedOn w:val="19"/>
    <w:link w:val="11"/>
    <w:semiHidden/>
    <w:qFormat/>
    <w:uiPriority w:val="99"/>
    <w:rPr>
      <w:rFonts w:ascii="宋体" w:hAnsi="Times New Roman" w:eastAsia="宋体" w:cs="Times New Roman"/>
      <w:kern w:val="0"/>
      <w:sz w:val="18"/>
      <w:szCs w:val="18"/>
    </w:rPr>
  </w:style>
  <w:style w:type="character" w:customStyle="1" w:styleId="47">
    <w:name w:val="文档结构图 Char1"/>
    <w:basedOn w:val="19"/>
    <w:link w:val="5"/>
    <w:semiHidden/>
    <w:qFormat/>
    <w:uiPriority w:val="99"/>
    <w:rPr>
      <w:rFonts w:ascii="宋体" w:hAnsi="Times New Roman" w:eastAsia="宋体" w:cs="Times New Roman"/>
      <w:kern w:val="0"/>
      <w:sz w:val="18"/>
      <w:szCs w:val="18"/>
    </w:rPr>
  </w:style>
  <w:style w:type="character" w:customStyle="1" w:styleId="48">
    <w:name w:val="页脚 Char1"/>
    <w:basedOn w:val="19"/>
    <w:semiHidden/>
    <w:uiPriority w:val="99"/>
    <w:rPr>
      <w:rFonts w:ascii="宋体"/>
      <w:sz w:val="18"/>
      <w:szCs w:val="18"/>
    </w:rPr>
  </w:style>
  <w:style w:type="character" w:customStyle="1" w:styleId="49">
    <w:name w:val="页眉 Char1"/>
    <w:basedOn w:val="19"/>
    <w:semiHidden/>
    <w:uiPriority w:val="99"/>
    <w:rPr>
      <w:rFonts w:ascii="宋体"/>
      <w:sz w:val="18"/>
      <w:szCs w:val="18"/>
    </w:rPr>
  </w:style>
  <w:style w:type="paragraph" w:customStyle="1" w:styleId="50">
    <w:name w:val="Char2 Char Char Char Char Char Char Char Char1 Char"/>
    <w:basedOn w:val="1"/>
    <w:uiPriority w:val="0"/>
    <w:pPr>
      <w:autoSpaceDE/>
      <w:autoSpaceDN/>
      <w:adjustRightInd/>
      <w:jc w:val="both"/>
    </w:pPr>
    <w:rPr>
      <w:rFonts w:hAnsi="宋体" w:cs="Courier New"/>
      <w:kern w:val="2"/>
      <w:sz w:val="32"/>
      <w:szCs w:val="32"/>
    </w:rPr>
  </w:style>
  <w:style w:type="paragraph" w:customStyle="1" w:styleId="51">
    <w:name w:val="Char Char Char Char Char Char Char1 Char Char Char"/>
    <w:basedOn w:val="1"/>
    <w:uiPriority w:val="0"/>
    <w:pPr>
      <w:autoSpaceDE/>
      <w:autoSpaceDN/>
      <w:adjustRightInd/>
      <w:jc w:val="both"/>
    </w:pPr>
    <w:rPr>
      <w:rFonts w:ascii="Times New Roman"/>
      <w:kern w:val="2"/>
      <w:sz w:val="21"/>
      <w:szCs w:val="24"/>
    </w:rPr>
  </w:style>
  <w:style w:type="paragraph" w:customStyle="1" w:styleId="52">
    <w:name w:val="Char"/>
    <w:basedOn w:val="1"/>
    <w:uiPriority w:val="0"/>
    <w:pPr>
      <w:autoSpaceDE/>
      <w:autoSpaceDN/>
      <w:adjustRightInd/>
      <w:jc w:val="both"/>
    </w:pPr>
    <w:rPr>
      <w:rFonts w:ascii="Times New Roman"/>
      <w:kern w:val="2"/>
      <w:sz w:val="21"/>
      <w:szCs w:val="24"/>
    </w:rPr>
  </w:style>
  <w:style w:type="paragraph" w:customStyle="1" w:styleId="53">
    <w:name w:val="TOC Heading"/>
    <w:basedOn w:val="2"/>
    <w:next w:val="1"/>
    <w:qFormat/>
    <w:uiPriority w:val="0"/>
    <w:pPr>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54">
    <w:name w:val="Char Char Char Char Char Char Char1"/>
    <w:basedOn w:val="1"/>
    <w:uiPriority w:val="0"/>
    <w:pPr>
      <w:autoSpaceDE/>
      <w:autoSpaceDN/>
      <w:adjustRightInd/>
      <w:jc w:val="both"/>
    </w:pPr>
    <w:rPr>
      <w:rFonts w:ascii="Times New Roman"/>
      <w:kern w:val="2"/>
      <w:sz w:val="21"/>
      <w:szCs w:val="24"/>
    </w:rPr>
  </w:style>
  <w:style w:type="paragraph" w:customStyle="1" w:styleId="55">
    <w:name w:val="中等深浅网格 22"/>
    <w:qFormat/>
    <w:uiPriority w:val="0"/>
    <w:pPr>
      <w:widowControl w:val="0"/>
      <w:jc w:val="center"/>
    </w:pPr>
    <w:rPr>
      <w:rFonts w:ascii="宋体" w:hAnsi="宋体" w:eastAsia="宋体" w:cs="Times New Roman"/>
      <w:color w:val="FF00FF"/>
      <w:kern w:val="2"/>
      <w:sz w:val="21"/>
      <w:szCs w:val="22"/>
      <w:lang w:val="en-US" w:eastAsia="zh-CN" w:bidi="ar-SA"/>
    </w:rPr>
  </w:style>
  <w:style w:type="paragraph" w:customStyle="1" w:styleId="56">
    <w:name w:val="Char Char Char Char Char Char Char1 Char Char Char Char Char"/>
    <w:basedOn w:val="1"/>
    <w:qFormat/>
    <w:uiPriority w:val="0"/>
    <w:pPr>
      <w:autoSpaceDE/>
      <w:autoSpaceDN/>
      <w:adjustRightInd/>
      <w:jc w:val="both"/>
    </w:pPr>
    <w:rPr>
      <w:rFonts w:ascii="Times New Roman"/>
      <w:kern w:val="2"/>
      <w:sz w:val="21"/>
      <w:szCs w:val="24"/>
    </w:rPr>
  </w:style>
  <w:style w:type="paragraph" w:customStyle="1" w:styleId="57">
    <w:name w:val="表格标题"/>
    <w:basedOn w:val="1"/>
    <w:qFormat/>
    <w:uiPriority w:val="0"/>
    <w:pPr>
      <w:autoSpaceDE/>
      <w:autoSpaceDN/>
      <w:adjustRightInd/>
      <w:ind w:firstLine="546" w:firstLineChars="200"/>
      <w:jc w:val="center"/>
    </w:pPr>
    <w:rPr>
      <w:rFonts w:hAnsi="宋体"/>
      <w:b/>
      <w:bCs/>
      <w:color w:val="000000"/>
      <w:spacing w:val="16"/>
      <w:kern w:val="2"/>
      <w:sz w:val="24"/>
      <w:szCs w:val="24"/>
    </w:rPr>
  </w:style>
  <w:style w:type="table" w:customStyle="1" w:styleId="58">
    <w:name w:val="网格型2"/>
    <w:basedOn w:val="17"/>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网格型1"/>
    <w:basedOn w:val="17"/>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正文8"/>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7743;&#24029;&#21306;.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1069;&#21355;&#38215;.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1069;&#21355;&#38215;.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1069;&#21355;&#3821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7743;&#24029;&#2130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7743;&#24029;&#2130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7743;&#22478;&#3821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7743;&#22478;&#3821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7743;&#22478;&#3821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0061;&#28330;&#3821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0061;&#28330;&#38215;.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22522;&#20934;&#22320;&#20215;\6.&#27743;&#24029;&#21439;\&#22522;&#20934;&#22320;&#20215;&#35745;&#31639;&#34920;-&#20061;&#28330;&#382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商服用地</a:t>
            </a:r>
            <a:endParaRPr lang="zh-CN" altLang="en-US"/>
          </a:p>
        </c:rich>
      </c:tx>
      <c:layout>
        <c:manualLayout>
          <c:xMode val="edge"/>
          <c:yMode val="edge"/>
          <c:x val="0.39786673724608"/>
          <c:y val="0.0205769337656322"/>
        </c:manualLayout>
      </c:layout>
      <c:overlay val="0"/>
      <c:spPr>
        <a:noFill/>
        <a:ln w="25400">
          <a:noFill/>
        </a:ln>
      </c:spPr>
    </c:title>
    <c:autoTitleDeleted val="0"/>
    <c:plotArea>
      <c:layout>
        <c:manualLayout>
          <c:layoutTarget val="inner"/>
          <c:xMode val="edge"/>
          <c:yMode val="edge"/>
          <c:x val="0.209383753501401"/>
          <c:y val="0.137667932684885"/>
          <c:w val="0.757002801120448"/>
          <c:h val="0.649757603828934"/>
        </c:manualLayout>
      </c:layout>
      <c:barChart>
        <c:barDir val="col"/>
        <c:grouping val="clustered"/>
        <c:varyColors val="0"/>
        <c:ser>
          <c:idx val="0"/>
          <c:order val="0"/>
          <c:tx>
            <c:strRef>
              <c:f>比较分析!$A$27</c:f>
              <c:strCache>
                <c:ptCount val="1"/>
                <c:pt idx="0">
                  <c:v>2020</c:v>
                </c:pt>
              </c:strCache>
            </c:strRef>
          </c:tx>
          <c:spPr>
            <a:solidFill>
              <a:srgbClr val="FFC000"/>
            </a:solidFill>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比较分析!$B$26:$E$26</c:f>
              <c:strCache>
                <c:ptCount val="4"/>
                <c:pt idx="0">
                  <c:v>Ⅰ</c:v>
                </c:pt>
                <c:pt idx="1">
                  <c:v>Ⅱ</c:v>
                </c:pt>
                <c:pt idx="2">
                  <c:v>Ⅲ</c:v>
                </c:pt>
                <c:pt idx="3">
                  <c:v>Ⅳ</c:v>
                </c:pt>
              </c:strCache>
            </c:strRef>
          </c:cat>
          <c:val>
            <c:numRef>
              <c:f>比较分析!$B$27:$E$27</c:f>
              <c:numCache>
                <c:formatCode>0_);[Red]\(0\)</c:formatCode>
                <c:ptCount val="4"/>
                <c:pt idx="0">
                  <c:v>2305</c:v>
                </c:pt>
                <c:pt idx="1">
                  <c:v>1723</c:v>
                </c:pt>
                <c:pt idx="2">
                  <c:v>1085</c:v>
                </c:pt>
                <c:pt idx="3">
                  <c:v>725</c:v>
                </c:pt>
              </c:numCache>
            </c:numRef>
          </c:val>
        </c:ser>
        <c:ser>
          <c:idx val="1"/>
          <c:order val="1"/>
          <c:tx>
            <c:strRef>
              <c:f>比较分析!$A$28</c:f>
              <c:strCache>
                <c:ptCount val="1"/>
                <c:pt idx="0">
                  <c:v>2014</c:v>
                </c:pt>
              </c:strCache>
            </c:strRef>
          </c:tx>
          <c:spPr>
            <a:solidFill>
              <a:srgbClr val="00B050"/>
            </a:solidFill>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比较分析!$B$26:$E$26</c:f>
              <c:strCache>
                <c:ptCount val="4"/>
                <c:pt idx="0">
                  <c:v>Ⅰ</c:v>
                </c:pt>
                <c:pt idx="1">
                  <c:v>Ⅱ</c:v>
                </c:pt>
                <c:pt idx="2">
                  <c:v>Ⅲ</c:v>
                </c:pt>
                <c:pt idx="3">
                  <c:v>Ⅳ</c:v>
                </c:pt>
              </c:strCache>
            </c:strRef>
          </c:cat>
          <c:val>
            <c:numRef>
              <c:f>比较分析!$B$28:$E$28</c:f>
              <c:numCache>
                <c:formatCode>0_);[Red]\(0\)</c:formatCode>
                <c:ptCount val="4"/>
                <c:pt idx="0">
                  <c:v>2000</c:v>
                </c:pt>
                <c:pt idx="1">
                  <c:v>1350</c:v>
                </c:pt>
                <c:pt idx="2">
                  <c:v>780</c:v>
                </c:pt>
                <c:pt idx="3">
                  <c:v>530</c:v>
                </c:pt>
              </c:numCache>
            </c:numRef>
          </c:val>
        </c:ser>
        <c:dLbls>
          <c:showLegendKey val="0"/>
          <c:showVal val="1"/>
          <c:showCatName val="0"/>
          <c:showSerName val="0"/>
          <c:showPercent val="0"/>
          <c:showBubbleSize val="0"/>
        </c:dLbls>
        <c:gapWidth val="150"/>
        <c:axId val="90669824"/>
        <c:axId val="90671360"/>
      </c:barChart>
      <c:catAx>
        <c:axId val="90669824"/>
        <c:scaling>
          <c:orientation val="minMax"/>
        </c:scaling>
        <c:delete val="0"/>
        <c:axPos val="b"/>
        <c:numFmt formatCode="General" sourceLinked="1"/>
        <c:majorTickMark val="out"/>
        <c:minorTickMark val="none"/>
        <c:tickLblPos val="low"/>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0671360"/>
        <c:crosses val="autoZero"/>
        <c:auto val="1"/>
        <c:lblAlgn val="ctr"/>
        <c:lblOffset val="100"/>
        <c:tickLblSkip val="1"/>
        <c:noMultiLvlLbl val="0"/>
      </c:catAx>
      <c:valAx>
        <c:axId val="90671360"/>
        <c:scaling>
          <c:orientation val="minMax"/>
          <c:min val="0"/>
        </c:scaling>
        <c:delete val="0"/>
        <c:axPos val="l"/>
        <c:majorGridlines>
          <c:spPr>
            <a:ln w="3175" cap="flat" cmpd="sng" algn="ctr">
              <a:solidFill>
                <a:srgbClr val="808080"/>
              </a:solidFill>
              <a:prstDash val="solid"/>
              <a:round/>
            </a:ln>
          </c:spPr>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156253997662057"/>
              <c:y val="0.26338737069631"/>
            </c:manualLayout>
          </c:layout>
          <c:overlay val="0"/>
          <c:spPr>
            <a:noFill/>
            <a:ln w="25400">
              <a:noFill/>
            </a:ln>
          </c:spPr>
        </c:title>
        <c:numFmt formatCode="#,##0;[Red]\-#,##0" sourceLinked="0"/>
        <c:majorTickMark val="out"/>
        <c:minorTickMark val="none"/>
        <c:tickLblPos val="nextTo"/>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90669824"/>
        <c:crosses val="autoZero"/>
        <c:crossBetween val="between"/>
      </c:valAx>
      <c:dTable>
        <c:showHorzBorder val="1"/>
        <c:showVertBorder val="1"/>
        <c:showOutline val="1"/>
        <c:showKeys val="1"/>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spPr>
    <a:solidFill>
      <a:srgbClr val="FFFFFF"/>
    </a:solidFill>
    <a:ln w="3175" cap="flat" cmpd="sng" algn="ctr">
      <a:solidFill>
        <a:srgbClr val="808080"/>
      </a:solid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商服用地</a:t>
            </a:r>
            <a:endParaRPr lang="zh-CN" altLang="en-US"/>
          </a:p>
        </c:rich>
      </c:tx>
      <c:layout>
        <c:manualLayout>
          <c:xMode val="edge"/>
          <c:yMode val="edge"/>
          <c:x val="0.364274694321747"/>
          <c:y val="0.0151524897415992"/>
        </c:manualLayout>
      </c:layout>
      <c:overlay val="0"/>
      <c:spPr>
        <a:noFill/>
        <a:ln w="25400">
          <a:noFill/>
        </a:ln>
      </c:spPr>
    </c:title>
    <c:autoTitleDeleted val="0"/>
    <c:plotArea>
      <c:layout>
        <c:manualLayout>
          <c:layoutTarget val="inner"/>
          <c:xMode val="edge"/>
          <c:yMode val="edge"/>
          <c:x val="0.242697476885741"/>
          <c:y val="0.144366197183099"/>
          <c:w val="0.721734657539667"/>
          <c:h val="0.627885274786335"/>
        </c:manualLayout>
      </c:layout>
      <c:barChart>
        <c:barDir val="col"/>
        <c:grouping val="clustered"/>
        <c:varyColors val="0"/>
        <c:ser>
          <c:idx val="0"/>
          <c:order val="0"/>
          <c:tx>
            <c:strRef>
              <c:f>对比分析!$A$23</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对比分析!$B$22:$D$22</c:f>
              <c:strCache>
                <c:ptCount val="3"/>
                <c:pt idx="0">
                  <c:v>Ⅰ</c:v>
                </c:pt>
                <c:pt idx="1">
                  <c:v>Ⅱ</c:v>
                </c:pt>
                <c:pt idx="2">
                  <c:v>Ⅲ</c:v>
                </c:pt>
              </c:strCache>
            </c:strRef>
          </c:cat>
          <c:val>
            <c:numRef>
              <c:f>对比分析!$B$23:$D$23</c:f>
              <c:numCache>
                <c:formatCode>0_);[Red]\(0\)</c:formatCode>
                <c:ptCount val="3"/>
                <c:pt idx="0">
                  <c:v>730</c:v>
                </c:pt>
                <c:pt idx="1">
                  <c:v>625</c:v>
                </c:pt>
                <c:pt idx="2">
                  <c:v>520</c:v>
                </c:pt>
              </c:numCache>
            </c:numRef>
          </c:val>
        </c:ser>
        <c:ser>
          <c:idx val="1"/>
          <c:order val="1"/>
          <c:tx>
            <c:strRef>
              <c:f>对比分析!$A$24</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对比分析!$B$22:$D$22</c:f>
              <c:strCache>
                <c:ptCount val="3"/>
                <c:pt idx="0">
                  <c:v>Ⅰ</c:v>
                </c:pt>
                <c:pt idx="1">
                  <c:v>Ⅱ</c:v>
                </c:pt>
                <c:pt idx="2">
                  <c:v>Ⅲ</c:v>
                </c:pt>
              </c:strCache>
            </c:strRef>
          </c:cat>
          <c:val>
            <c:numRef>
              <c:f>对比分析!$B$24:$D$24</c:f>
              <c:numCache>
                <c:formatCode>0_);[Red]\(0\)</c:formatCode>
                <c:ptCount val="3"/>
                <c:pt idx="0">
                  <c:v>520</c:v>
                </c:pt>
                <c:pt idx="1">
                  <c:v>432</c:v>
                </c:pt>
                <c:pt idx="2">
                  <c:v>370</c:v>
                </c:pt>
              </c:numCache>
            </c:numRef>
          </c:val>
        </c:ser>
        <c:dLbls>
          <c:showLegendKey val="0"/>
          <c:showVal val="1"/>
          <c:showCatName val="0"/>
          <c:showSerName val="0"/>
          <c:showPercent val="0"/>
          <c:showBubbleSize val="0"/>
        </c:dLbls>
        <c:gapWidth val="150"/>
        <c:axId val="393639040"/>
        <c:axId val="393640576"/>
      </c:barChart>
      <c:catAx>
        <c:axId val="393639040"/>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93640576"/>
        <c:crosses val="autoZero"/>
        <c:auto val="1"/>
        <c:lblAlgn val="ctr"/>
        <c:lblOffset val="100"/>
        <c:tickLblSkip val="1"/>
        <c:noMultiLvlLbl val="0"/>
      </c:catAx>
      <c:valAx>
        <c:axId val="393640576"/>
        <c:scaling>
          <c:orientation val="minMax"/>
          <c:min val="0"/>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2159240765636"/>
              <c:y val="0.321888285091125"/>
            </c:manualLayout>
          </c:layout>
          <c:overlay val="0"/>
          <c:spPr>
            <a:noFill/>
            <a:ln w="25400">
              <a:noFill/>
            </a:ln>
          </c:spPr>
        </c:title>
        <c:numFmt formatCode="0_);[Red]\(0\)"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9363904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住宅用地</a:t>
            </a:r>
            <a:endParaRPr lang="zh-CN" altLang="en-US"/>
          </a:p>
        </c:rich>
      </c:tx>
      <c:layout>
        <c:manualLayout>
          <c:xMode val="edge"/>
          <c:yMode val="edge"/>
          <c:x val="0.381852745285453"/>
          <c:y val="0.0107521925612957"/>
        </c:manualLayout>
      </c:layout>
      <c:overlay val="0"/>
      <c:spPr>
        <a:noFill/>
        <a:ln w="25400">
          <a:noFill/>
        </a:ln>
      </c:spPr>
    </c:title>
    <c:autoTitleDeleted val="0"/>
    <c:plotArea>
      <c:layout>
        <c:manualLayout>
          <c:layoutTarget val="inner"/>
          <c:xMode val="edge"/>
          <c:yMode val="edge"/>
          <c:x val="0.231368241469816"/>
          <c:y val="0.133565621370499"/>
          <c:w val="0.743584776902888"/>
          <c:h val="0.62792621755614"/>
        </c:manualLayout>
      </c:layout>
      <c:barChart>
        <c:barDir val="col"/>
        <c:grouping val="clustered"/>
        <c:varyColors val="0"/>
        <c:ser>
          <c:idx val="0"/>
          <c:order val="0"/>
          <c:tx>
            <c:strRef>
              <c:f>对比分析!$A$27</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对比分析!$B$26:$D$26</c:f>
              <c:strCache>
                <c:ptCount val="3"/>
                <c:pt idx="0">
                  <c:v>Ⅰ</c:v>
                </c:pt>
                <c:pt idx="1">
                  <c:v>Ⅱ</c:v>
                </c:pt>
                <c:pt idx="2">
                  <c:v>Ⅲ</c:v>
                </c:pt>
              </c:strCache>
            </c:strRef>
          </c:cat>
          <c:val>
            <c:numRef>
              <c:f>对比分析!$B$27:$D$27</c:f>
              <c:numCache>
                <c:formatCode>0_);[Red]\(0\)</c:formatCode>
                <c:ptCount val="3"/>
                <c:pt idx="0">
                  <c:v>612</c:v>
                </c:pt>
                <c:pt idx="1">
                  <c:v>565</c:v>
                </c:pt>
                <c:pt idx="2">
                  <c:v>444</c:v>
                </c:pt>
              </c:numCache>
            </c:numRef>
          </c:val>
        </c:ser>
        <c:ser>
          <c:idx val="1"/>
          <c:order val="1"/>
          <c:tx>
            <c:strRef>
              <c:f>对比分析!$A$28</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对比分析!$B$26:$D$26</c:f>
              <c:strCache>
                <c:ptCount val="3"/>
                <c:pt idx="0">
                  <c:v>Ⅰ</c:v>
                </c:pt>
                <c:pt idx="1">
                  <c:v>Ⅱ</c:v>
                </c:pt>
                <c:pt idx="2">
                  <c:v>Ⅲ</c:v>
                </c:pt>
              </c:strCache>
            </c:strRef>
          </c:cat>
          <c:val>
            <c:numRef>
              <c:f>对比分析!$B$28:$D$28</c:f>
              <c:numCache>
                <c:formatCode>0_);[Red]\(0\)</c:formatCode>
                <c:ptCount val="3"/>
                <c:pt idx="0">
                  <c:v>455</c:v>
                </c:pt>
                <c:pt idx="1">
                  <c:v>398</c:v>
                </c:pt>
                <c:pt idx="2">
                  <c:v>333</c:v>
                </c:pt>
              </c:numCache>
            </c:numRef>
          </c:val>
        </c:ser>
        <c:dLbls>
          <c:showLegendKey val="0"/>
          <c:showVal val="1"/>
          <c:showCatName val="0"/>
          <c:showSerName val="0"/>
          <c:showPercent val="0"/>
          <c:showBubbleSize val="0"/>
        </c:dLbls>
        <c:gapWidth val="150"/>
        <c:axId val="327229440"/>
        <c:axId val="327230976"/>
      </c:barChart>
      <c:catAx>
        <c:axId val="327229440"/>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27230976"/>
        <c:crosses val="autoZero"/>
        <c:auto val="1"/>
        <c:lblAlgn val="ctr"/>
        <c:lblOffset val="100"/>
        <c:tickLblSkip val="1"/>
        <c:noMultiLvlLbl val="0"/>
      </c:catAx>
      <c:valAx>
        <c:axId val="327230976"/>
        <c:scaling>
          <c:orientation val="minMax"/>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267740809855415"/>
              <c:y val="0.326180690828281"/>
            </c:manualLayout>
          </c:layout>
          <c:overlay val="0"/>
          <c:spPr>
            <a:noFill/>
            <a:ln w="25400">
              <a:noFill/>
            </a:ln>
          </c:spPr>
        </c:title>
        <c:numFmt formatCode="0_);[Red]\(0\)"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2722944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工矿仓储用地</a:t>
            </a:r>
            <a:endParaRPr lang="zh-CN" altLang="en-US"/>
          </a:p>
        </c:rich>
      </c:tx>
      <c:layout>
        <c:manualLayout>
          <c:xMode val="edge"/>
          <c:yMode val="edge"/>
          <c:x val="0.365172575971357"/>
          <c:y val="4.49943757030371e-5"/>
        </c:manualLayout>
      </c:layout>
      <c:overlay val="0"/>
      <c:spPr>
        <a:noFill/>
        <a:ln w="25400">
          <a:noFill/>
        </a:ln>
      </c:spPr>
    </c:title>
    <c:autoTitleDeleted val="0"/>
    <c:plotArea>
      <c:layout>
        <c:manualLayout>
          <c:layoutTarget val="inner"/>
          <c:xMode val="edge"/>
          <c:yMode val="edge"/>
          <c:x val="0.23106809873179"/>
          <c:y val="0.149825783972126"/>
          <c:w val="0.743884965215726"/>
          <c:h val="0.606040089864114"/>
        </c:manualLayout>
      </c:layout>
      <c:barChart>
        <c:barDir val="col"/>
        <c:grouping val="clustered"/>
        <c:varyColors val="0"/>
        <c:ser>
          <c:idx val="0"/>
          <c:order val="0"/>
          <c:tx>
            <c:strRef>
              <c:f>对比分析!$A$32</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对比分析!$B$31:$D$31</c:f>
              <c:strCache>
                <c:ptCount val="3"/>
                <c:pt idx="0">
                  <c:v>Ⅰ</c:v>
                </c:pt>
                <c:pt idx="1">
                  <c:v>Ⅱ</c:v>
                </c:pt>
                <c:pt idx="2">
                  <c:v>Ⅲ</c:v>
                </c:pt>
              </c:strCache>
            </c:strRef>
          </c:cat>
          <c:val>
            <c:numRef>
              <c:f>对比分析!$B$32:$D$32</c:f>
              <c:numCache>
                <c:formatCode>General</c:formatCode>
                <c:ptCount val="3"/>
                <c:pt idx="1" c:formatCode="0_);[Red]\(0\)">
                  <c:v>318</c:v>
                </c:pt>
                <c:pt idx="2" c:formatCode="0_);[Red]\(0\)">
                  <c:v>248</c:v>
                </c:pt>
              </c:numCache>
            </c:numRef>
          </c:val>
        </c:ser>
        <c:ser>
          <c:idx val="1"/>
          <c:order val="1"/>
          <c:tx>
            <c:strRef>
              <c:f>对比分析!$A$33</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对比分析!$B$31:$D$31</c:f>
              <c:strCache>
                <c:ptCount val="3"/>
                <c:pt idx="0">
                  <c:v>Ⅰ</c:v>
                </c:pt>
                <c:pt idx="1">
                  <c:v>Ⅱ</c:v>
                </c:pt>
                <c:pt idx="2">
                  <c:v>Ⅲ</c:v>
                </c:pt>
              </c:strCache>
            </c:strRef>
          </c:cat>
          <c:val>
            <c:numRef>
              <c:f>对比分析!$B$33:$D$33</c:f>
              <c:numCache>
                <c:formatCode>General</c:formatCode>
                <c:ptCount val="3"/>
                <c:pt idx="1" c:formatCode="0_);[Red]\(0\)">
                  <c:v>378</c:v>
                </c:pt>
                <c:pt idx="2" c:formatCode="0_);[Red]\(0\)">
                  <c:v>302</c:v>
                </c:pt>
              </c:numCache>
            </c:numRef>
          </c:val>
        </c:ser>
        <c:dLbls>
          <c:showLegendKey val="0"/>
          <c:showVal val="1"/>
          <c:showCatName val="0"/>
          <c:showSerName val="0"/>
          <c:showPercent val="0"/>
          <c:showBubbleSize val="0"/>
        </c:dLbls>
        <c:gapWidth val="150"/>
        <c:axId val="327311744"/>
        <c:axId val="327313280"/>
      </c:barChart>
      <c:catAx>
        <c:axId val="327311744"/>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27313280"/>
        <c:crosses val="autoZero"/>
        <c:auto val="1"/>
        <c:lblAlgn val="ctr"/>
        <c:lblOffset val="100"/>
        <c:tickLblSkip val="1"/>
        <c:noMultiLvlLbl val="0"/>
      </c:catAx>
      <c:valAx>
        <c:axId val="327313280"/>
        <c:scaling>
          <c:orientation val="minMax"/>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360001820581676"/>
              <c:y val="0.326179959212416"/>
            </c:manualLayout>
          </c:layout>
          <c:overlay val="0"/>
          <c:spPr>
            <a:noFill/>
            <a:ln w="25400">
              <a:noFill/>
            </a:ln>
          </c:spPr>
        </c:title>
        <c:numFmt formatCode="General"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2731174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住宅用地</a:t>
            </a:r>
            <a:endParaRPr lang="zh-CN" altLang="en-US"/>
          </a:p>
        </c:rich>
      </c:tx>
      <c:layout>
        <c:manualLayout>
          <c:xMode val="edge"/>
          <c:yMode val="edge"/>
          <c:x val="0.376159580052494"/>
          <c:y val="0.0206621231169633"/>
        </c:manualLayout>
      </c:layout>
      <c:overlay val="0"/>
      <c:spPr>
        <a:noFill/>
        <a:ln w="25400">
          <a:noFill/>
        </a:ln>
      </c:spPr>
    </c:title>
    <c:autoTitleDeleted val="0"/>
    <c:plotArea>
      <c:layout>
        <c:manualLayout>
          <c:layoutTarget val="inner"/>
          <c:xMode val="edge"/>
          <c:yMode val="edge"/>
          <c:x val="0.186666666666667"/>
          <c:y val="0.130183204711351"/>
          <c:w val="0.771333333333334"/>
          <c:h val="0.644279390449329"/>
        </c:manualLayout>
      </c:layout>
      <c:barChart>
        <c:barDir val="col"/>
        <c:grouping val="clustered"/>
        <c:varyColors val="0"/>
        <c:ser>
          <c:idx val="0"/>
          <c:order val="0"/>
          <c:tx>
            <c:strRef>
              <c:f>比较分析!$A$31</c:f>
              <c:strCache>
                <c:ptCount val="1"/>
                <c:pt idx="0">
                  <c:v>2020</c:v>
                </c:pt>
              </c:strCache>
            </c:strRef>
          </c:tx>
          <c:spPr>
            <a:solidFill>
              <a:srgbClr val="FFC000"/>
            </a:solidFill>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比较分析!$B$30:$F$30</c:f>
              <c:strCache>
                <c:ptCount val="5"/>
                <c:pt idx="0">
                  <c:v>Ⅰ</c:v>
                </c:pt>
                <c:pt idx="1">
                  <c:v>Ⅱ</c:v>
                </c:pt>
                <c:pt idx="2">
                  <c:v>Ⅲ</c:v>
                </c:pt>
                <c:pt idx="3">
                  <c:v>Ⅳ</c:v>
                </c:pt>
                <c:pt idx="4">
                  <c:v>Ⅴ</c:v>
                </c:pt>
              </c:strCache>
            </c:strRef>
          </c:cat>
          <c:val>
            <c:numRef>
              <c:f>比较分析!$B$31:$E$31</c:f>
              <c:numCache>
                <c:formatCode>0_);[Red]\(0\)</c:formatCode>
                <c:ptCount val="4"/>
                <c:pt idx="0">
                  <c:v>1748</c:v>
                </c:pt>
                <c:pt idx="1">
                  <c:v>1180</c:v>
                </c:pt>
                <c:pt idx="2">
                  <c:v>815</c:v>
                </c:pt>
                <c:pt idx="3">
                  <c:v>636</c:v>
                </c:pt>
              </c:numCache>
            </c:numRef>
          </c:val>
        </c:ser>
        <c:ser>
          <c:idx val="1"/>
          <c:order val="1"/>
          <c:tx>
            <c:strRef>
              <c:f>比较分析!$A$32</c:f>
              <c:strCache>
                <c:ptCount val="1"/>
                <c:pt idx="0">
                  <c:v>2014</c:v>
                </c:pt>
              </c:strCache>
            </c:strRef>
          </c:tx>
          <c:spPr>
            <a:solidFill>
              <a:srgbClr val="00B050"/>
            </a:solidFill>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比较分析!$B$30:$F$30</c:f>
              <c:strCache>
                <c:ptCount val="5"/>
                <c:pt idx="0">
                  <c:v>Ⅰ</c:v>
                </c:pt>
                <c:pt idx="1">
                  <c:v>Ⅱ</c:v>
                </c:pt>
                <c:pt idx="2">
                  <c:v>Ⅲ</c:v>
                </c:pt>
                <c:pt idx="3">
                  <c:v>Ⅳ</c:v>
                </c:pt>
                <c:pt idx="4">
                  <c:v>Ⅴ</c:v>
                </c:pt>
              </c:strCache>
            </c:strRef>
          </c:cat>
          <c:val>
            <c:numRef>
              <c:f>比较分析!$B$32:$E$32</c:f>
              <c:numCache>
                <c:formatCode>0_);[Red]\(0\)</c:formatCode>
                <c:ptCount val="4"/>
                <c:pt idx="0">
                  <c:v>1500</c:v>
                </c:pt>
                <c:pt idx="1">
                  <c:v>950</c:v>
                </c:pt>
                <c:pt idx="2">
                  <c:v>600</c:v>
                </c:pt>
                <c:pt idx="3">
                  <c:v>480</c:v>
                </c:pt>
              </c:numCache>
            </c:numRef>
          </c:val>
        </c:ser>
        <c:dLbls>
          <c:showLegendKey val="0"/>
          <c:showVal val="1"/>
          <c:showCatName val="0"/>
          <c:showSerName val="0"/>
          <c:showPercent val="0"/>
          <c:showBubbleSize val="0"/>
        </c:dLbls>
        <c:gapWidth val="150"/>
        <c:axId val="157272320"/>
        <c:axId val="160932992"/>
      </c:barChart>
      <c:catAx>
        <c:axId val="157272320"/>
        <c:scaling>
          <c:orientation val="minMax"/>
        </c:scaling>
        <c:delete val="0"/>
        <c:axPos val="b"/>
        <c:numFmt formatCode="General" sourceLinked="1"/>
        <c:majorTickMark val="out"/>
        <c:minorTickMark val="none"/>
        <c:tickLblPos val="low"/>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0932992"/>
        <c:crosses val="autoZero"/>
        <c:auto val="1"/>
        <c:lblAlgn val="ctr"/>
        <c:lblOffset val="100"/>
        <c:tickLblSkip val="1"/>
        <c:noMultiLvlLbl val="0"/>
      </c:catAx>
      <c:valAx>
        <c:axId val="160932992"/>
        <c:scaling>
          <c:orientation val="minMax"/>
        </c:scaling>
        <c:delete val="0"/>
        <c:axPos val="l"/>
        <c:majorGridlines>
          <c:spPr>
            <a:ln w="3175" cap="flat" cmpd="sng" algn="ctr">
              <a:solidFill>
                <a:srgbClr val="808080"/>
              </a:solidFill>
              <a:prstDash val="solid"/>
              <a:round/>
            </a:ln>
          </c:spPr>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152909186351706"/>
              <c:y val="0.252077313865179"/>
            </c:manualLayout>
          </c:layout>
          <c:overlay val="0"/>
          <c:spPr>
            <a:noFill/>
            <a:ln w="25400">
              <a:noFill/>
            </a:ln>
          </c:spPr>
        </c:title>
        <c:numFmt formatCode="#,##0;[Red]\-#,##0" sourceLinked="0"/>
        <c:majorTickMark val="out"/>
        <c:minorTickMark val="none"/>
        <c:tickLblPos val="nextTo"/>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57272320"/>
        <c:crosses val="autoZero"/>
        <c:crossBetween val="between"/>
      </c:valAx>
      <c:dTable>
        <c:showHorzBorder val="1"/>
        <c:showVertBorder val="1"/>
        <c:showOutline val="1"/>
        <c:showKeys val="1"/>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spPr>
    <a:solidFill>
      <a:srgbClr val="FFFFFF"/>
    </a:solidFill>
    <a:ln w="3175" cap="flat" cmpd="sng" algn="ctr">
      <a:solidFill>
        <a:srgbClr val="808080"/>
      </a:solid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工矿仓储用地</a:t>
            </a:r>
            <a:endParaRPr lang="zh-CN" altLang="en-US"/>
          </a:p>
        </c:rich>
      </c:tx>
      <c:layout>
        <c:manualLayout>
          <c:xMode val="edge"/>
          <c:yMode val="edge"/>
          <c:x val="0.38668405843209"/>
          <c:y val="0.00333064666129332"/>
        </c:manualLayout>
      </c:layout>
      <c:overlay val="0"/>
      <c:spPr>
        <a:noFill/>
        <a:ln w="25400">
          <a:noFill/>
        </a:ln>
      </c:spPr>
    </c:title>
    <c:autoTitleDeleted val="0"/>
    <c:plotArea>
      <c:layout>
        <c:manualLayout>
          <c:layoutTarget val="inner"/>
          <c:xMode val="edge"/>
          <c:yMode val="edge"/>
          <c:x val="0.1916903823941"/>
          <c:y val="0.107630775068779"/>
          <c:w val="0.761132322942245"/>
          <c:h val="0.65949494949495"/>
        </c:manualLayout>
      </c:layout>
      <c:barChart>
        <c:barDir val="col"/>
        <c:grouping val="clustered"/>
        <c:varyColors val="0"/>
        <c:ser>
          <c:idx val="0"/>
          <c:order val="0"/>
          <c:tx>
            <c:strRef>
              <c:f>比较分析!$A$36</c:f>
              <c:strCache>
                <c:ptCount val="1"/>
                <c:pt idx="0">
                  <c:v>2020</c:v>
                </c:pt>
              </c:strCache>
            </c:strRef>
          </c:tx>
          <c:spPr>
            <a:solidFill>
              <a:srgbClr val="FFC000"/>
            </a:solidFill>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比较分析!$B$35:$E$35</c:f>
              <c:strCache>
                <c:ptCount val="4"/>
                <c:pt idx="0">
                  <c:v>规划限制区</c:v>
                </c:pt>
                <c:pt idx="1">
                  <c:v>Ⅰ</c:v>
                </c:pt>
                <c:pt idx="2">
                  <c:v>Ⅱ</c:v>
                </c:pt>
                <c:pt idx="3">
                  <c:v>Ⅲ</c:v>
                </c:pt>
              </c:strCache>
            </c:strRef>
          </c:cat>
          <c:val>
            <c:numRef>
              <c:f>比较分析!$B$36:$E$36</c:f>
              <c:numCache>
                <c:formatCode>General</c:formatCode>
                <c:ptCount val="4"/>
                <c:pt idx="1" c:formatCode="0_);[Red]\(0\)">
                  <c:v>468</c:v>
                </c:pt>
                <c:pt idx="2" c:formatCode="0_);[Red]\(0\)">
                  <c:v>410</c:v>
                </c:pt>
                <c:pt idx="3" c:formatCode="0_);[Red]\(0\)">
                  <c:v>321</c:v>
                </c:pt>
              </c:numCache>
            </c:numRef>
          </c:val>
        </c:ser>
        <c:ser>
          <c:idx val="1"/>
          <c:order val="1"/>
          <c:tx>
            <c:strRef>
              <c:f>比较分析!$A$37</c:f>
              <c:strCache>
                <c:ptCount val="1"/>
                <c:pt idx="0">
                  <c:v>2014</c:v>
                </c:pt>
              </c:strCache>
            </c:strRef>
          </c:tx>
          <c:spPr>
            <a:solidFill>
              <a:srgbClr val="00B050"/>
            </a:solidFill>
          </c:spPr>
          <c:invertIfNegative val="0"/>
          <c:dLbls>
            <c:spPr>
              <a:noFill/>
              <a:ln w="25400">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比较分析!$B$35:$E$35</c:f>
              <c:strCache>
                <c:ptCount val="4"/>
                <c:pt idx="0">
                  <c:v>规划限制区</c:v>
                </c:pt>
                <c:pt idx="1">
                  <c:v>Ⅰ</c:v>
                </c:pt>
                <c:pt idx="2">
                  <c:v>Ⅱ</c:v>
                </c:pt>
                <c:pt idx="3">
                  <c:v>Ⅲ</c:v>
                </c:pt>
              </c:strCache>
            </c:strRef>
          </c:cat>
          <c:val>
            <c:numRef>
              <c:f>比较分析!$B$37:$E$37</c:f>
              <c:numCache>
                <c:formatCode>General</c:formatCode>
                <c:ptCount val="4"/>
                <c:pt idx="1" c:formatCode="0_);[Red]\(0\)">
                  <c:v>522</c:v>
                </c:pt>
                <c:pt idx="2" c:formatCode="0_);[Red]\(0\)">
                  <c:v>462</c:v>
                </c:pt>
                <c:pt idx="3" c:formatCode="0_);[Red]\(0\)">
                  <c:v>384</c:v>
                </c:pt>
              </c:numCache>
            </c:numRef>
          </c:val>
        </c:ser>
        <c:dLbls>
          <c:showLegendKey val="0"/>
          <c:showVal val="1"/>
          <c:showCatName val="0"/>
          <c:showSerName val="0"/>
          <c:showPercent val="0"/>
          <c:showBubbleSize val="0"/>
        </c:dLbls>
        <c:gapWidth val="150"/>
        <c:axId val="228360192"/>
        <c:axId val="228361728"/>
      </c:barChart>
      <c:catAx>
        <c:axId val="228360192"/>
        <c:scaling>
          <c:orientation val="minMax"/>
        </c:scaling>
        <c:delete val="0"/>
        <c:axPos val="b"/>
        <c:numFmt formatCode="General" sourceLinked="1"/>
        <c:majorTickMark val="out"/>
        <c:minorTickMark val="none"/>
        <c:tickLblPos val="low"/>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28361728"/>
        <c:crosses val="autoZero"/>
        <c:auto val="1"/>
        <c:lblAlgn val="ctr"/>
        <c:lblOffset val="100"/>
        <c:tickLblSkip val="1"/>
        <c:noMultiLvlLbl val="0"/>
      </c:catAx>
      <c:valAx>
        <c:axId val="228361728"/>
        <c:scaling>
          <c:orientation val="minMax"/>
        </c:scaling>
        <c:delete val="0"/>
        <c:axPos val="l"/>
        <c:majorGridlines>
          <c:spPr>
            <a:ln w="3175" cap="flat" cmpd="sng" algn="ctr">
              <a:solidFill>
                <a:srgbClr val="808080"/>
              </a:solidFill>
              <a:prstDash val="solid"/>
              <a:round/>
            </a:ln>
          </c:spPr>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152907553222514"/>
              <c:y val="0.252077624155248"/>
            </c:manualLayout>
          </c:layout>
          <c:overlay val="0"/>
          <c:spPr>
            <a:noFill/>
            <a:ln w="25400">
              <a:noFill/>
            </a:ln>
          </c:spPr>
        </c:title>
        <c:numFmt formatCode="#,##0;[Red]\-#,##0" sourceLinked="0"/>
        <c:majorTickMark val="out"/>
        <c:minorTickMark val="none"/>
        <c:tickLblPos val="nextTo"/>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28360192"/>
        <c:crosses val="autoZero"/>
        <c:crossBetween val="between"/>
      </c:valAx>
      <c:dTable>
        <c:showHorzBorder val="1"/>
        <c:showVertBorder val="1"/>
        <c:showOutline val="1"/>
        <c:showKeys val="1"/>
        <c:spPr>
          <a:ln w="3175" cap="flat" cmpd="sng" algn="ctr">
            <a:solidFill>
              <a:srgbClr val="80808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spPr>
    <a:solidFill>
      <a:srgbClr val="FFFFFF"/>
    </a:solidFill>
    <a:ln w="3175" cap="flat" cmpd="sng" algn="ctr">
      <a:solidFill>
        <a:srgbClr val="808080"/>
      </a:solid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商服用地</a:t>
            </a:r>
            <a:endParaRPr lang="zh-CN" altLang="en-US"/>
          </a:p>
        </c:rich>
      </c:tx>
      <c:layout>
        <c:manualLayout>
          <c:xMode val="edge"/>
          <c:yMode val="edge"/>
          <c:x val="0.36020965367134"/>
          <c:y val="0.010457654060848"/>
        </c:manualLayout>
      </c:layout>
      <c:overlay val="0"/>
      <c:spPr>
        <a:noFill/>
        <a:ln w="25400">
          <a:noFill/>
        </a:ln>
      </c:spPr>
    </c:title>
    <c:autoTitleDeleted val="0"/>
    <c:plotArea>
      <c:layout>
        <c:manualLayout>
          <c:layoutTarget val="inner"/>
          <c:xMode val="edge"/>
          <c:yMode val="edge"/>
          <c:x val="0.19005346553903"/>
          <c:y val="0.120836839839464"/>
          <c:w val="0.778744909972674"/>
          <c:h val="0.665685400436057"/>
        </c:manualLayout>
      </c:layout>
      <c:barChart>
        <c:barDir val="col"/>
        <c:grouping val="clustered"/>
        <c:varyColors val="0"/>
        <c:ser>
          <c:idx val="0"/>
          <c:order val="0"/>
          <c:tx>
            <c:strRef>
              <c:f>对比分析!$A$23</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对比分析!$B$22:$D$22</c:f>
              <c:strCache>
                <c:ptCount val="3"/>
                <c:pt idx="0">
                  <c:v>Ⅰ</c:v>
                </c:pt>
                <c:pt idx="1">
                  <c:v>Ⅱ</c:v>
                </c:pt>
                <c:pt idx="2">
                  <c:v>Ⅲ</c:v>
                </c:pt>
              </c:strCache>
            </c:strRef>
          </c:cat>
          <c:val>
            <c:numRef>
              <c:f>对比分析!$B$23:$D$23</c:f>
              <c:numCache>
                <c:formatCode>0_);[Red]\(0\)</c:formatCode>
                <c:ptCount val="3"/>
                <c:pt idx="0">
                  <c:v>1315</c:v>
                </c:pt>
                <c:pt idx="1">
                  <c:v>925</c:v>
                </c:pt>
                <c:pt idx="2">
                  <c:v>625</c:v>
                </c:pt>
              </c:numCache>
            </c:numRef>
          </c:val>
        </c:ser>
        <c:ser>
          <c:idx val="1"/>
          <c:order val="1"/>
          <c:tx>
            <c:strRef>
              <c:f>对比分析!$A$24</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对比分析!$B$22:$D$22</c:f>
              <c:strCache>
                <c:ptCount val="3"/>
                <c:pt idx="0">
                  <c:v>Ⅰ</c:v>
                </c:pt>
                <c:pt idx="1">
                  <c:v>Ⅱ</c:v>
                </c:pt>
                <c:pt idx="2">
                  <c:v>Ⅲ</c:v>
                </c:pt>
              </c:strCache>
            </c:strRef>
          </c:cat>
          <c:val>
            <c:numRef>
              <c:f>对比分析!$B$24:$D$24</c:f>
              <c:numCache>
                <c:formatCode>0_);[Red]\(0\)</c:formatCode>
                <c:ptCount val="3"/>
                <c:pt idx="0">
                  <c:v>1120</c:v>
                </c:pt>
                <c:pt idx="1">
                  <c:v>775</c:v>
                </c:pt>
                <c:pt idx="2">
                  <c:v>512</c:v>
                </c:pt>
              </c:numCache>
            </c:numRef>
          </c:val>
        </c:ser>
        <c:dLbls>
          <c:showLegendKey val="0"/>
          <c:showVal val="1"/>
          <c:showCatName val="0"/>
          <c:showSerName val="0"/>
          <c:showPercent val="0"/>
          <c:showBubbleSize val="0"/>
        </c:dLbls>
        <c:gapWidth val="150"/>
        <c:axId val="238351488"/>
        <c:axId val="240431488"/>
      </c:barChart>
      <c:catAx>
        <c:axId val="238351488"/>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40431488"/>
        <c:crosses val="autoZero"/>
        <c:auto val="1"/>
        <c:lblAlgn val="ctr"/>
        <c:lblOffset val="100"/>
        <c:tickLblSkip val="1"/>
        <c:noMultiLvlLbl val="0"/>
      </c:catAx>
      <c:valAx>
        <c:axId val="240431488"/>
        <c:scaling>
          <c:orientation val="minMax"/>
          <c:min val="0"/>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2159240765636"/>
              <c:y val="0.321888285091125"/>
            </c:manualLayout>
          </c:layout>
          <c:overlay val="0"/>
          <c:spPr>
            <a:noFill/>
            <a:ln w="25400">
              <a:noFill/>
            </a:ln>
          </c:spPr>
        </c:title>
        <c:numFmt formatCode="0_);[Red]\(0\)"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3835148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住宅用地</a:t>
            </a:r>
            <a:endParaRPr lang="zh-CN" altLang="en-US"/>
          </a:p>
        </c:rich>
      </c:tx>
      <c:layout>
        <c:manualLayout>
          <c:xMode val="edge"/>
          <c:yMode val="edge"/>
          <c:x val="0.370292051643834"/>
          <c:y val="0.0200437140479392"/>
        </c:manualLayout>
      </c:layout>
      <c:overlay val="0"/>
      <c:spPr>
        <a:noFill/>
        <a:ln w="25400">
          <a:noFill/>
        </a:ln>
      </c:spPr>
    </c:title>
    <c:autoTitleDeleted val="0"/>
    <c:plotArea>
      <c:layout>
        <c:manualLayout>
          <c:layoutTarget val="inner"/>
          <c:xMode val="edge"/>
          <c:yMode val="edge"/>
          <c:x val="0.203628405431064"/>
          <c:y val="0.133272275176129"/>
          <c:w val="0.756333406667647"/>
          <c:h val="0.650149744439841"/>
        </c:manualLayout>
      </c:layout>
      <c:barChart>
        <c:barDir val="col"/>
        <c:grouping val="clustered"/>
        <c:varyColors val="0"/>
        <c:ser>
          <c:idx val="0"/>
          <c:order val="0"/>
          <c:tx>
            <c:strRef>
              <c:f>对比分析!$A$27</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对比分析!$B$26:$D$26</c:f>
              <c:strCache>
                <c:ptCount val="3"/>
                <c:pt idx="0">
                  <c:v>Ⅰ</c:v>
                </c:pt>
                <c:pt idx="1">
                  <c:v>Ⅱ</c:v>
                </c:pt>
                <c:pt idx="2">
                  <c:v>Ⅲ</c:v>
                </c:pt>
              </c:strCache>
            </c:strRef>
          </c:cat>
          <c:val>
            <c:numRef>
              <c:f>对比分析!$B$27:$D$27</c:f>
              <c:numCache>
                <c:formatCode>0_);[Red]\(0\)</c:formatCode>
                <c:ptCount val="3"/>
                <c:pt idx="0">
                  <c:v>1080</c:v>
                </c:pt>
                <c:pt idx="1">
                  <c:v>710</c:v>
                </c:pt>
                <c:pt idx="2">
                  <c:v>482</c:v>
                </c:pt>
              </c:numCache>
            </c:numRef>
          </c:val>
        </c:ser>
        <c:ser>
          <c:idx val="1"/>
          <c:order val="1"/>
          <c:tx>
            <c:strRef>
              <c:f>对比分析!$A$28</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对比分析!$B$26:$D$26</c:f>
              <c:strCache>
                <c:ptCount val="3"/>
                <c:pt idx="0">
                  <c:v>Ⅰ</c:v>
                </c:pt>
                <c:pt idx="1">
                  <c:v>Ⅱ</c:v>
                </c:pt>
                <c:pt idx="2">
                  <c:v>Ⅲ</c:v>
                </c:pt>
              </c:strCache>
            </c:strRef>
          </c:cat>
          <c:val>
            <c:numRef>
              <c:f>对比分析!$B$28:$D$28</c:f>
              <c:numCache>
                <c:formatCode>0_);[Red]\(0\)</c:formatCode>
                <c:ptCount val="3"/>
                <c:pt idx="0">
                  <c:v>890</c:v>
                </c:pt>
                <c:pt idx="1">
                  <c:v>590</c:v>
                </c:pt>
                <c:pt idx="2">
                  <c:v>394</c:v>
                </c:pt>
              </c:numCache>
            </c:numRef>
          </c:val>
        </c:ser>
        <c:dLbls>
          <c:showLegendKey val="0"/>
          <c:showVal val="1"/>
          <c:showCatName val="0"/>
          <c:showSerName val="0"/>
          <c:showPercent val="0"/>
          <c:showBubbleSize val="0"/>
        </c:dLbls>
        <c:gapWidth val="150"/>
        <c:axId val="240629248"/>
        <c:axId val="240630784"/>
      </c:barChart>
      <c:catAx>
        <c:axId val="240629248"/>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40630784"/>
        <c:crosses val="autoZero"/>
        <c:auto val="1"/>
        <c:lblAlgn val="ctr"/>
        <c:lblOffset val="100"/>
        <c:tickLblSkip val="1"/>
        <c:noMultiLvlLbl val="0"/>
      </c:catAx>
      <c:valAx>
        <c:axId val="240630784"/>
        <c:scaling>
          <c:orientation val="minMax"/>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267740809855415"/>
              <c:y val="0.326180690828281"/>
            </c:manualLayout>
          </c:layout>
          <c:overlay val="0"/>
          <c:spPr>
            <a:noFill/>
            <a:ln w="25400">
              <a:noFill/>
            </a:ln>
          </c:spPr>
        </c:title>
        <c:numFmt formatCode="0_);[Red]\(0\)"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4062924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工矿仓储用地</a:t>
            </a:r>
            <a:endParaRPr lang="zh-CN" altLang="en-US"/>
          </a:p>
        </c:rich>
      </c:tx>
      <c:layout>
        <c:manualLayout>
          <c:xMode val="edge"/>
          <c:yMode val="edge"/>
          <c:x val="0.376733269612975"/>
          <c:y val="0.0232737980923116"/>
        </c:manualLayout>
      </c:layout>
      <c:overlay val="0"/>
      <c:spPr>
        <a:noFill/>
        <a:ln w="25400">
          <a:noFill/>
        </a:ln>
      </c:spPr>
    </c:title>
    <c:autoTitleDeleted val="0"/>
    <c:plotArea>
      <c:layout>
        <c:manualLayout>
          <c:layoutTarget val="inner"/>
          <c:xMode val="edge"/>
          <c:yMode val="edge"/>
          <c:x val="0.21224804730734"/>
          <c:y val="0.175365186681508"/>
          <c:w val="0.747290685049911"/>
          <c:h val="0.588990119690536"/>
        </c:manualLayout>
      </c:layout>
      <c:barChart>
        <c:barDir val="col"/>
        <c:grouping val="clustered"/>
        <c:varyColors val="0"/>
        <c:ser>
          <c:idx val="0"/>
          <c:order val="0"/>
          <c:tx>
            <c:strRef>
              <c:f>对比分析!$A$32</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对比分析!$B$31:$D$31</c:f>
              <c:strCache>
                <c:ptCount val="3"/>
                <c:pt idx="0">
                  <c:v>Ⅰ</c:v>
                </c:pt>
                <c:pt idx="1">
                  <c:v>Ⅱ</c:v>
                </c:pt>
                <c:pt idx="2">
                  <c:v>Ⅲ</c:v>
                </c:pt>
              </c:strCache>
            </c:strRef>
          </c:cat>
          <c:val>
            <c:numRef>
              <c:f>对比分析!$B$32:$D$32</c:f>
              <c:numCache>
                <c:formatCode>General</c:formatCode>
                <c:ptCount val="3"/>
                <c:pt idx="1" c:formatCode="0_);[Red]\(0\)">
                  <c:v>340</c:v>
                </c:pt>
                <c:pt idx="2" c:formatCode="0_);[Red]\(0\)">
                  <c:v>273</c:v>
                </c:pt>
              </c:numCache>
            </c:numRef>
          </c:val>
        </c:ser>
        <c:ser>
          <c:idx val="1"/>
          <c:order val="1"/>
          <c:tx>
            <c:strRef>
              <c:f>对比分析!$A$33</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对比分析!$B$31:$D$31</c:f>
              <c:strCache>
                <c:ptCount val="3"/>
                <c:pt idx="0">
                  <c:v>Ⅰ</c:v>
                </c:pt>
                <c:pt idx="1">
                  <c:v>Ⅱ</c:v>
                </c:pt>
                <c:pt idx="2">
                  <c:v>Ⅲ</c:v>
                </c:pt>
              </c:strCache>
            </c:strRef>
          </c:cat>
          <c:val>
            <c:numRef>
              <c:f>对比分析!$B$33:$D$33</c:f>
              <c:numCache>
                <c:formatCode>General</c:formatCode>
                <c:ptCount val="3"/>
                <c:pt idx="1" c:formatCode="0_);[Red]\(0\)">
                  <c:v>391</c:v>
                </c:pt>
                <c:pt idx="2" c:formatCode="0_);[Red]\(0\)">
                  <c:v>315</c:v>
                </c:pt>
              </c:numCache>
            </c:numRef>
          </c:val>
        </c:ser>
        <c:dLbls>
          <c:showLegendKey val="0"/>
          <c:showVal val="1"/>
          <c:showCatName val="0"/>
          <c:showSerName val="0"/>
          <c:showPercent val="0"/>
          <c:showBubbleSize val="0"/>
        </c:dLbls>
        <c:gapWidth val="150"/>
        <c:axId val="260745472"/>
        <c:axId val="278581248"/>
      </c:barChart>
      <c:catAx>
        <c:axId val="260745472"/>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78581248"/>
        <c:crosses val="autoZero"/>
        <c:auto val="1"/>
        <c:lblAlgn val="ctr"/>
        <c:lblOffset val="100"/>
        <c:tickLblSkip val="1"/>
        <c:noMultiLvlLbl val="0"/>
      </c:catAx>
      <c:valAx>
        <c:axId val="278581248"/>
        <c:scaling>
          <c:orientation val="minMax"/>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360001820581676"/>
              <c:y val="0.326179959212416"/>
            </c:manualLayout>
          </c:layout>
          <c:overlay val="0"/>
          <c:spPr>
            <a:noFill/>
            <a:ln w="25400">
              <a:noFill/>
            </a:ln>
          </c:spPr>
        </c:title>
        <c:numFmt formatCode="General"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074547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商服用地</a:t>
            </a:r>
            <a:endParaRPr lang="zh-CN" altLang="en-US"/>
          </a:p>
        </c:rich>
      </c:tx>
      <c:layout>
        <c:manualLayout>
          <c:xMode val="edge"/>
          <c:yMode val="edge"/>
          <c:x val="0.388664938224186"/>
          <c:y val="0.010457654060848"/>
        </c:manualLayout>
      </c:layout>
      <c:overlay val="0"/>
      <c:spPr>
        <a:noFill/>
        <a:ln w="25400">
          <a:noFill/>
        </a:ln>
      </c:spPr>
    </c:title>
    <c:autoTitleDeleted val="0"/>
    <c:plotArea>
      <c:layout>
        <c:manualLayout>
          <c:layoutTarget val="inner"/>
          <c:xMode val="edge"/>
          <c:yMode val="edge"/>
          <c:x val="0.225009277439292"/>
          <c:y val="0.141549221840228"/>
          <c:w val="0.741178470943061"/>
          <c:h val="0.619248974159921"/>
        </c:manualLayout>
      </c:layout>
      <c:barChart>
        <c:barDir val="col"/>
        <c:grouping val="clustered"/>
        <c:varyColors val="0"/>
        <c:ser>
          <c:idx val="0"/>
          <c:order val="0"/>
          <c:tx>
            <c:strRef>
              <c:f>对比分析!$A$23</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对比分析!$B$22:$D$22</c:f>
              <c:strCache>
                <c:ptCount val="3"/>
                <c:pt idx="0">
                  <c:v>Ⅰ</c:v>
                </c:pt>
                <c:pt idx="1">
                  <c:v>Ⅱ</c:v>
                </c:pt>
                <c:pt idx="2">
                  <c:v>Ⅲ</c:v>
                </c:pt>
              </c:strCache>
            </c:strRef>
          </c:cat>
          <c:val>
            <c:numRef>
              <c:f>对比分析!$B$23:$D$23</c:f>
              <c:numCache>
                <c:formatCode>0_);[Red]\(0\)</c:formatCode>
                <c:ptCount val="3"/>
                <c:pt idx="0">
                  <c:v>765</c:v>
                </c:pt>
                <c:pt idx="1">
                  <c:v>645</c:v>
                </c:pt>
                <c:pt idx="2">
                  <c:v>530</c:v>
                </c:pt>
              </c:numCache>
            </c:numRef>
          </c:val>
        </c:ser>
        <c:ser>
          <c:idx val="1"/>
          <c:order val="1"/>
          <c:tx>
            <c:strRef>
              <c:f>对比分析!$A$24</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对比分析!$B$22:$D$22</c:f>
              <c:strCache>
                <c:ptCount val="3"/>
                <c:pt idx="0">
                  <c:v>Ⅰ</c:v>
                </c:pt>
                <c:pt idx="1">
                  <c:v>Ⅱ</c:v>
                </c:pt>
                <c:pt idx="2">
                  <c:v>Ⅲ</c:v>
                </c:pt>
              </c:strCache>
            </c:strRef>
          </c:cat>
          <c:val>
            <c:numRef>
              <c:f>对比分析!$B$24:$D$24</c:f>
              <c:numCache>
                <c:formatCode>0_);[Red]\(0\)</c:formatCode>
                <c:ptCount val="3"/>
                <c:pt idx="0">
                  <c:v>560</c:v>
                </c:pt>
                <c:pt idx="1">
                  <c:v>450</c:v>
                </c:pt>
                <c:pt idx="2">
                  <c:v>372</c:v>
                </c:pt>
              </c:numCache>
            </c:numRef>
          </c:val>
        </c:ser>
        <c:dLbls>
          <c:showLegendKey val="0"/>
          <c:showVal val="1"/>
          <c:showCatName val="0"/>
          <c:showSerName val="0"/>
          <c:showPercent val="0"/>
          <c:showBubbleSize val="0"/>
        </c:dLbls>
        <c:gapWidth val="150"/>
        <c:axId val="327221248"/>
        <c:axId val="327222784"/>
      </c:barChart>
      <c:catAx>
        <c:axId val="327221248"/>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27222784"/>
        <c:crosses val="autoZero"/>
        <c:auto val="1"/>
        <c:lblAlgn val="ctr"/>
        <c:lblOffset val="100"/>
        <c:tickLblSkip val="1"/>
        <c:noMultiLvlLbl val="0"/>
      </c:catAx>
      <c:valAx>
        <c:axId val="327222784"/>
        <c:scaling>
          <c:orientation val="minMax"/>
          <c:min val="0"/>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2159240765636"/>
              <c:y val="0.321888285091125"/>
            </c:manualLayout>
          </c:layout>
          <c:overlay val="0"/>
          <c:spPr>
            <a:noFill/>
            <a:ln w="25400">
              <a:noFill/>
            </a:ln>
          </c:spPr>
        </c:title>
        <c:numFmt formatCode="0_);[Red]\(0\)"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2722124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住宅用地</a:t>
            </a:r>
            <a:endParaRPr lang="zh-CN" altLang="en-US"/>
          </a:p>
        </c:rich>
      </c:tx>
      <c:layout>
        <c:manualLayout>
          <c:xMode val="edge"/>
          <c:yMode val="edge"/>
          <c:x val="0.389559874379865"/>
          <c:y val="0.0107521925612957"/>
        </c:manualLayout>
      </c:layout>
      <c:overlay val="0"/>
      <c:spPr>
        <a:noFill/>
        <a:ln w="25400">
          <a:noFill/>
        </a:ln>
      </c:spPr>
    </c:title>
    <c:autoTitleDeleted val="0"/>
    <c:plotArea>
      <c:layout>
        <c:manualLayout>
          <c:layoutTarget val="inner"/>
          <c:xMode val="edge"/>
          <c:yMode val="edge"/>
          <c:x val="0.21859422022509"/>
          <c:y val="0.139970046117117"/>
          <c:w val="0.740218218795949"/>
          <c:h val="0.618634280884382"/>
        </c:manualLayout>
      </c:layout>
      <c:barChart>
        <c:barDir val="col"/>
        <c:grouping val="clustered"/>
        <c:varyColors val="0"/>
        <c:ser>
          <c:idx val="0"/>
          <c:order val="0"/>
          <c:tx>
            <c:strRef>
              <c:f>对比分析!$A$27</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对比分析!$B$26:$D$26</c:f>
              <c:strCache>
                <c:ptCount val="3"/>
                <c:pt idx="0">
                  <c:v>Ⅰ</c:v>
                </c:pt>
                <c:pt idx="1">
                  <c:v>Ⅱ</c:v>
                </c:pt>
                <c:pt idx="2">
                  <c:v>Ⅲ</c:v>
                </c:pt>
              </c:strCache>
            </c:strRef>
          </c:cat>
          <c:val>
            <c:numRef>
              <c:f>对比分析!$B$27:$D$27</c:f>
              <c:numCache>
                <c:formatCode>0_);[Red]\(0\)</c:formatCode>
                <c:ptCount val="3"/>
                <c:pt idx="0">
                  <c:v>625</c:v>
                </c:pt>
                <c:pt idx="1">
                  <c:v>580</c:v>
                </c:pt>
                <c:pt idx="2">
                  <c:v>468</c:v>
                </c:pt>
              </c:numCache>
            </c:numRef>
          </c:val>
        </c:ser>
        <c:ser>
          <c:idx val="1"/>
          <c:order val="1"/>
          <c:tx>
            <c:strRef>
              <c:f>对比分析!$A$28</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对比分析!$B$26:$D$26</c:f>
              <c:strCache>
                <c:ptCount val="3"/>
                <c:pt idx="0">
                  <c:v>Ⅰ</c:v>
                </c:pt>
                <c:pt idx="1">
                  <c:v>Ⅱ</c:v>
                </c:pt>
                <c:pt idx="2">
                  <c:v>Ⅲ</c:v>
                </c:pt>
              </c:strCache>
            </c:strRef>
          </c:cat>
          <c:val>
            <c:numRef>
              <c:f>对比分析!$B$28:$D$28</c:f>
              <c:numCache>
                <c:formatCode>0_);[Red]\(0\)</c:formatCode>
                <c:ptCount val="3"/>
                <c:pt idx="0">
                  <c:v>466</c:v>
                </c:pt>
                <c:pt idx="1">
                  <c:v>400</c:v>
                </c:pt>
                <c:pt idx="2">
                  <c:v>347</c:v>
                </c:pt>
              </c:numCache>
            </c:numRef>
          </c:val>
        </c:ser>
        <c:dLbls>
          <c:showLegendKey val="0"/>
          <c:showVal val="1"/>
          <c:showCatName val="0"/>
          <c:showSerName val="0"/>
          <c:showPercent val="0"/>
          <c:showBubbleSize val="0"/>
        </c:dLbls>
        <c:gapWidth val="150"/>
        <c:axId val="383238912"/>
        <c:axId val="383244544"/>
      </c:barChart>
      <c:catAx>
        <c:axId val="383238912"/>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83244544"/>
        <c:crosses val="autoZero"/>
        <c:auto val="1"/>
        <c:lblAlgn val="ctr"/>
        <c:lblOffset val="100"/>
        <c:tickLblSkip val="1"/>
        <c:noMultiLvlLbl val="0"/>
      </c:catAx>
      <c:valAx>
        <c:axId val="383244544"/>
        <c:scaling>
          <c:orientation val="minMax"/>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267740809855415"/>
              <c:y val="0.326180690828281"/>
            </c:manualLayout>
          </c:layout>
          <c:overlay val="0"/>
          <c:spPr>
            <a:noFill/>
            <a:ln w="25400">
              <a:noFill/>
            </a:ln>
          </c:spPr>
        </c:title>
        <c:numFmt formatCode="0_);[Red]\(0\)"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8323891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工矿仓储用地</a:t>
            </a:r>
            <a:endParaRPr lang="zh-CN" altLang="en-US"/>
          </a:p>
        </c:rich>
      </c:tx>
      <c:layout>
        <c:manualLayout>
          <c:xMode val="edge"/>
          <c:yMode val="edge"/>
          <c:x val="0.396001092349006"/>
          <c:y val="0.0139822766056682"/>
        </c:manualLayout>
      </c:layout>
      <c:overlay val="0"/>
      <c:spPr>
        <a:noFill/>
        <a:ln w="25400">
          <a:noFill/>
        </a:ln>
      </c:spPr>
    </c:title>
    <c:autoTitleDeleted val="0"/>
    <c:plotArea>
      <c:layout>
        <c:manualLayout>
          <c:layoutTarget val="inner"/>
          <c:xMode val="edge"/>
          <c:yMode val="edge"/>
          <c:x val="0.232390661693604"/>
          <c:y val="0.140534262485482"/>
          <c:w val="0.726458626882166"/>
          <c:h val="0.620496033501431"/>
        </c:manualLayout>
      </c:layout>
      <c:barChart>
        <c:barDir val="col"/>
        <c:grouping val="clustered"/>
        <c:varyColors val="0"/>
        <c:ser>
          <c:idx val="0"/>
          <c:order val="0"/>
          <c:tx>
            <c:strRef>
              <c:f>对比分析!$A$32</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对比分析!$B$31:$D$31</c:f>
              <c:strCache>
                <c:ptCount val="3"/>
                <c:pt idx="0">
                  <c:v>Ⅰ</c:v>
                </c:pt>
                <c:pt idx="1">
                  <c:v>Ⅱ</c:v>
                </c:pt>
                <c:pt idx="2">
                  <c:v>Ⅲ</c:v>
                </c:pt>
              </c:strCache>
            </c:strRef>
          </c:cat>
          <c:val>
            <c:numRef>
              <c:f>对比分析!$B$32:$D$32</c:f>
              <c:numCache>
                <c:formatCode>General</c:formatCode>
                <c:ptCount val="3"/>
                <c:pt idx="1" c:formatCode="0_);[Red]\(0\)">
                  <c:v>327</c:v>
                </c:pt>
                <c:pt idx="2" c:formatCode="0_);[Red]\(0\)">
                  <c:v>257</c:v>
                </c:pt>
              </c:numCache>
            </c:numRef>
          </c:val>
        </c:ser>
        <c:ser>
          <c:idx val="1"/>
          <c:order val="1"/>
          <c:tx>
            <c:strRef>
              <c:f>对比分析!$A$33</c:f>
              <c:strCache>
                <c:ptCount val="1"/>
                <c:pt idx="0">
                  <c:v>2014</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对比分析!$B$31:$D$31</c:f>
              <c:strCache>
                <c:ptCount val="3"/>
                <c:pt idx="0">
                  <c:v>Ⅰ</c:v>
                </c:pt>
                <c:pt idx="1">
                  <c:v>Ⅱ</c:v>
                </c:pt>
                <c:pt idx="2">
                  <c:v>Ⅲ</c:v>
                </c:pt>
              </c:strCache>
            </c:strRef>
          </c:cat>
          <c:val>
            <c:numRef>
              <c:f>对比分析!$B$33:$D$33</c:f>
              <c:numCache>
                <c:formatCode>General</c:formatCode>
                <c:ptCount val="3"/>
                <c:pt idx="1" c:formatCode="0_);[Red]\(0\)">
                  <c:v>372</c:v>
                </c:pt>
                <c:pt idx="2" c:formatCode="0_);[Red]\(0\)">
                  <c:v>296</c:v>
                </c:pt>
              </c:numCache>
            </c:numRef>
          </c:val>
        </c:ser>
        <c:dLbls>
          <c:showLegendKey val="0"/>
          <c:showVal val="1"/>
          <c:showCatName val="0"/>
          <c:showSerName val="0"/>
          <c:showPercent val="0"/>
          <c:showBubbleSize val="0"/>
        </c:dLbls>
        <c:gapWidth val="150"/>
        <c:axId val="390413312"/>
        <c:axId val="390543232"/>
      </c:barChart>
      <c:catAx>
        <c:axId val="390413312"/>
        <c:scaling>
          <c:orientation val="minMax"/>
        </c:scaling>
        <c:delete val="0"/>
        <c:axPos val="b"/>
        <c:numFmt formatCode="General" sourceLinked="1"/>
        <c:majorTickMark val="out"/>
        <c:minorTickMark val="none"/>
        <c:tickLblPos val="low"/>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90543232"/>
        <c:crosses val="autoZero"/>
        <c:auto val="1"/>
        <c:lblAlgn val="ctr"/>
        <c:lblOffset val="100"/>
        <c:tickLblSkip val="1"/>
        <c:noMultiLvlLbl val="0"/>
      </c:catAx>
      <c:valAx>
        <c:axId val="390543232"/>
        <c:scaling>
          <c:orientation val="minMax"/>
        </c:scaling>
        <c:delete val="0"/>
        <c:axPos val="l"/>
        <c:majorGridlines/>
        <c:title>
          <c:tx>
            <c:rich>
              <a:bodyPr rot="0" spcFirstLastPara="0" vertOverflow="ellipsis" vert="wordArtVertRtl" wrap="square" anchor="ctr" anchorCtr="1"/>
              <a:lstStyle/>
              <a:p>
                <a:pPr algn="ctr">
                  <a:defRPr lang="zh-CN" sz="1400" b="1"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土地价格</a:t>
                </a:r>
                <a:endParaRPr lang="zh-CN" altLang="en-US"/>
              </a:p>
            </c:rich>
          </c:tx>
          <c:layout>
            <c:manualLayout>
              <c:xMode val="edge"/>
              <c:yMode val="edge"/>
              <c:x val="0.0360001820581676"/>
              <c:y val="0.326179959212416"/>
            </c:manualLayout>
          </c:layout>
          <c:overlay val="0"/>
          <c:spPr>
            <a:noFill/>
            <a:ln w="25400">
              <a:noFill/>
            </a:ln>
          </c:spPr>
        </c:title>
        <c:numFmt formatCode="General"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9041331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E7E7E7"/>
        </a:solidFill>
        <a:ln w="25400">
          <a:noFill/>
        </a:ln>
      </c:spPr>
    </c:plotArea>
    <c:plotVisOnly val="1"/>
    <c:dispBlanksAs val="gap"/>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1713</Words>
  <Characters>9769</Characters>
  <Lines>81</Lines>
  <Paragraphs>22</Paragraphs>
  <TotalTime>4</TotalTime>
  <ScaleCrop>false</ScaleCrop>
  <LinksUpToDate>false</LinksUpToDate>
  <CharactersWithSpaces>11460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2020-09-15T08:47:00Z</dcterms:created>
  <dc:creator>微软用户</dc:creator>
  <cp:lastModifiedBy>梁贵江</cp:lastModifiedBy>
  <dcterms:modified xsi:type="dcterms:W3CDTF">2024-05-07T01:00:39Z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50307ED022484043BB3B437FA297173C</vt:lpwstr>
  </property>
</Properties>
</file>