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6"/>
        <w:ind w:left="120" w:right="0" w:firstLine="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sz w:val="32"/>
          <w:szCs w:val="32"/>
        </w:rPr>
        <w:t>：</w:t>
      </w:r>
    </w:p>
    <w:p>
      <w:pPr>
        <w:keepNext w:val="0"/>
        <w:keepLines w:val="0"/>
        <w:pageBreakBefore w:val="0"/>
        <w:widowControl w:val="0"/>
        <w:kinsoku/>
        <w:wordWrap/>
        <w:overflowPunct/>
        <w:topLinePunct w:val="0"/>
        <w:autoSpaceDE/>
        <w:autoSpaceDN/>
        <w:bidi w:val="0"/>
        <w:adjustRightInd/>
        <w:snapToGrid/>
        <w:spacing w:after="256" w:afterLines="80" w:line="640" w:lineRule="exact"/>
        <w:ind w:left="0" w:right="0" w:firstLine="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双通道</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定点零售药店</w:t>
      </w:r>
      <w:r>
        <w:rPr>
          <w:rFonts w:hint="default" w:ascii="Times New Roman" w:hAnsi="Times New Roman" w:eastAsia="方正小标宋_GBK" w:cs="Times New Roman"/>
          <w:color w:val="000000" w:themeColor="text1"/>
          <w:sz w:val="44"/>
          <w:szCs w:val="44"/>
          <w14:textFill>
            <w14:solidFill>
              <w14:schemeClr w14:val="tx1"/>
            </w14:solidFill>
          </w14:textFill>
        </w:rPr>
        <w:t>评分标准</w:t>
      </w:r>
    </w:p>
    <w:tbl>
      <w:tblPr>
        <w:tblStyle w:val="9"/>
        <w:tblW w:w="14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096"/>
        <w:gridCol w:w="1258"/>
        <w:gridCol w:w="4258"/>
        <w:gridCol w:w="6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00" w:type="dxa"/>
            <w:vAlign w:val="center"/>
          </w:tcPr>
          <w:p>
            <w:pPr>
              <w:pStyle w:val="4"/>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评分项目</w:t>
            </w:r>
          </w:p>
        </w:tc>
        <w:tc>
          <w:tcPr>
            <w:tcW w:w="1096" w:type="dxa"/>
            <w:vAlign w:val="center"/>
          </w:tcPr>
          <w:p>
            <w:pPr>
              <w:pStyle w:val="4"/>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标准分</w:t>
            </w:r>
          </w:p>
        </w:tc>
        <w:tc>
          <w:tcPr>
            <w:tcW w:w="1258" w:type="dxa"/>
            <w:vAlign w:val="center"/>
          </w:tcPr>
          <w:p>
            <w:pPr>
              <w:pStyle w:val="4"/>
              <w:jc w:val="center"/>
              <w:rPr>
                <w:rFonts w:hint="default" w:ascii="Times New Roman" w:hAnsi="Times New Roman" w:cs="Times New Roman" w:eastAsiaTheme="minorEastAsia"/>
                <w:b/>
                <w:bCs/>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评分分项</w:t>
            </w:r>
          </w:p>
        </w:tc>
        <w:tc>
          <w:tcPr>
            <w:tcW w:w="4258" w:type="dxa"/>
            <w:vAlign w:val="center"/>
          </w:tcPr>
          <w:p>
            <w:pPr>
              <w:pStyle w:val="4"/>
              <w:jc w:val="center"/>
              <w:rPr>
                <w:rFonts w:hint="default" w:ascii="Times New Roman" w:hAnsi="Times New Roman" w:cs="Times New Roman" w:eastAsiaTheme="minorEastAsia"/>
                <w:b/>
                <w:bCs/>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评分内容</w:t>
            </w:r>
          </w:p>
        </w:tc>
        <w:tc>
          <w:tcPr>
            <w:tcW w:w="6819" w:type="dxa"/>
            <w:vAlign w:val="center"/>
          </w:tcPr>
          <w:p>
            <w:pPr>
              <w:pStyle w:val="4"/>
              <w:jc w:val="center"/>
              <w:rPr>
                <w:rFonts w:hint="default" w:ascii="Times New Roman" w:hAnsi="Times New Roman" w:cs="Times New Roman" w:eastAsiaTheme="minorEastAsia"/>
                <w:b/>
                <w:bCs/>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1200" w:type="dxa"/>
            <w:vMerge w:val="restart"/>
            <w:vAlign w:val="center"/>
          </w:tcPr>
          <w:p>
            <w:pPr>
              <w:pStyle w:val="11"/>
              <w:spacing w:before="1" w:line="323" w:lineRule="exact"/>
              <w:ind w:left="0" w:leftChars="0" w:firstLine="0" w:firstLineChars="0"/>
              <w:jc w:val="both"/>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基本条件</w:t>
            </w:r>
          </w:p>
          <w:p>
            <w:pPr>
              <w:pStyle w:val="4"/>
              <w:jc w:val="center"/>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（25分</w:t>
            </w:r>
            <w:r>
              <w:rPr>
                <w:rFonts w:hint="default" w:ascii="Times New Roman" w:hAnsi="Times New Roman" w:cs="Times New Roman" w:eastAsiaTheme="minorEastAsia"/>
                <w:b/>
                <w:bCs/>
                <w:color w:val="000000" w:themeColor="text1"/>
                <w:sz w:val="21"/>
                <w:szCs w:val="21"/>
                <w14:textFill>
                  <w14:solidFill>
                    <w14:schemeClr w14:val="tx1"/>
                  </w14:solidFill>
                </w14:textFill>
              </w:rPr>
              <w:t>）</w:t>
            </w:r>
          </w:p>
        </w:tc>
        <w:tc>
          <w:tcPr>
            <w:tcW w:w="1096" w:type="dxa"/>
            <w:vAlign w:val="center"/>
          </w:tcPr>
          <w:p>
            <w:pPr>
              <w:pStyle w:val="4"/>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w w:val="99"/>
                <w:sz w:val="21"/>
                <w:szCs w:val="21"/>
                <w:lang w:val="en-US" w:eastAsia="zh-CN"/>
                <w14:textFill>
                  <w14:solidFill>
                    <w14:schemeClr w14:val="tx1"/>
                  </w14:solidFill>
                </w14:textFill>
              </w:rPr>
              <w:t>10</w:t>
            </w:r>
          </w:p>
        </w:tc>
        <w:tc>
          <w:tcPr>
            <w:tcW w:w="1258" w:type="dxa"/>
            <w:vAlign w:val="center"/>
          </w:tcPr>
          <w:p>
            <w:pPr>
              <w:pStyle w:val="4"/>
              <w:jc w:val="center"/>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bCs/>
                <w:color w:val="000000" w:themeColor="text1"/>
                <w:sz w:val="21"/>
                <w:szCs w:val="21"/>
                <w14:textFill>
                  <w14:solidFill>
                    <w14:schemeClr w14:val="tx1"/>
                  </w14:solidFill>
                </w14:textFill>
              </w:rPr>
              <w:t>人员资质</w:t>
            </w:r>
          </w:p>
        </w:tc>
        <w:tc>
          <w:tcPr>
            <w:tcW w:w="4258" w:type="dxa"/>
            <w:vAlign w:val="center"/>
          </w:tcPr>
          <w:p>
            <w:pPr>
              <w:pStyle w:val="3"/>
              <w:pageBreakBefore w:val="0"/>
              <w:widowControl w:val="0"/>
              <w:numPr>
                <w:ilvl w:val="0"/>
                <w:numId w:val="1"/>
              </w:numPr>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202</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3</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年12月31日前，在申请药店注册并签订劳动合同一年（含）以上且在合同期内的执业药师1人(含）以上的得4分，2人(含）及以上的得5分。</w:t>
            </w:r>
          </w:p>
          <w:p>
            <w:pPr>
              <w:pStyle w:val="3"/>
              <w:pageBreakBefore w:val="0"/>
              <w:widowControl w:val="0"/>
              <w:numPr>
                <w:ilvl w:val="0"/>
                <w:numId w:val="1"/>
              </w:numPr>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申报门店配备员工（不含执业药师）2人得4分，3人及以上得5分。</w:t>
            </w:r>
          </w:p>
        </w:tc>
        <w:tc>
          <w:tcPr>
            <w:tcW w:w="6819" w:type="dxa"/>
            <w:vAlign w:val="center"/>
          </w:tcPr>
          <w:p>
            <w:pPr>
              <w:pStyle w:val="3"/>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1.提供注册在申报门店的执业药师名单、身份证及执业注册证复印件</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p>
          <w:p>
            <w:pPr>
              <w:pStyle w:val="3"/>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2.检查药师执业注册证，“执业单位”必须为申报门店</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p>
          <w:p>
            <w:pPr>
              <w:pStyle w:val="3"/>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3.检查药师执业注册证，“注册日期”必须在 202</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3年</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12月31日之前</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p>
          <w:p>
            <w:pPr>
              <w:pStyle w:val="3"/>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4.提供社保参保缴费记录，确认参保时间符合规定时限；注册药师如为退休人员，则不检查参保记录。</w:t>
            </w:r>
          </w:p>
          <w:p>
            <w:pPr>
              <w:pStyle w:val="3"/>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 xml:space="preserve">5.查看药师执业注册证与参保缴费记录。                          </w:t>
            </w:r>
          </w:p>
          <w:p>
            <w:pPr>
              <w:pStyle w:val="3"/>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6.查看员工劳动合同签订及排班表等资料。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1200" w:type="dxa"/>
            <w:vMerge w:val="continue"/>
            <w:vAlign w:val="center"/>
          </w:tcPr>
          <w:p>
            <w:pPr>
              <w:pStyle w:val="4"/>
              <w:jc w:val="center"/>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p>
        </w:tc>
        <w:tc>
          <w:tcPr>
            <w:tcW w:w="1096" w:type="dxa"/>
            <w:vAlign w:val="center"/>
          </w:tcPr>
          <w:p>
            <w:pPr>
              <w:pStyle w:val="4"/>
              <w:jc w:val="cente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w w:val="99"/>
                <w:sz w:val="21"/>
                <w:szCs w:val="21"/>
                <w:lang w:val="en-US" w:eastAsia="zh-CN"/>
                <w14:textFill>
                  <w14:solidFill>
                    <w14:schemeClr w14:val="tx1"/>
                  </w14:solidFill>
                </w14:textFill>
              </w:rPr>
              <w:t>10</w:t>
            </w:r>
          </w:p>
        </w:tc>
        <w:tc>
          <w:tcPr>
            <w:tcW w:w="1258" w:type="dxa"/>
            <w:vAlign w:val="center"/>
          </w:tcPr>
          <w:p>
            <w:pPr>
              <w:pStyle w:val="4"/>
              <w:jc w:val="center"/>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仓储环境</w:t>
            </w:r>
          </w:p>
        </w:tc>
        <w:tc>
          <w:tcPr>
            <w:tcW w:w="4258" w:type="dxa"/>
            <w:vAlign w:val="center"/>
          </w:tcPr>
          <w:p>
            <w:pPr>
              <w:pStyle w:val="11"/>
              <w:numPr>
                <w:ilvl w:val="0"/>
                <w:numId w:val="2"/>
              </w:numPr>
              <w:spacing w:line="323" w:lineRule="exact"/>
              <w:ind w:left="0" w:leftChars="0" w:firstLine="0" w:firstLineChars="0"/>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申报门店设有冷链药品专业冷藏柜，350立升（含）以上的得5分；350立升以下的得4分。</w:t>
            </w:r>
          </w:p>
          <w:p>
            <w:pPr>
              <w:pStyle w:val="11"/>
              <w:numPr>
                <w:ilvl w:val="0"/>
                <w:numId w:val="2"/>
              </w:numPr>
              <w:spacing w:line="323" w:lineRule="exact"/>
              <w:ind w:left="0" w:leftChars="0" w:firstLine="0" w:firstLineChars="0"/>
              <w:jc w:val="both"/>
              <w:rPr>
                <w:rFonts w:hint="default" w:ascii="Times New Roman" w:hAnsi="Times New Roman" w:cs="Times New Roman" w:eastAsiaTheme="minorEastAsia"/>
                <w:color w:val="000000" w:themeColor="text1"/>
                <w:sz w:val="21"/>
                <w:szCs w:val="21"/>
                <w:vertAlign w:val="baseline"/>
                <w:lang w:val="en-US"/>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药品按储存条件分类陈列得5分，否则不得分。</w:t>
            </w:r>
          </w:p>
        </w:tc>
        <w:tc>
          <w:tcPr>
            <w:tcW w:w="6819" w:type="dxa"/>
            <w:vAlign w:val="center"/>
          </w:tcPr>
          <w:p>
            <w:pPr>
              <w:pStyle w:val="11"/>
              <w:spacing w:line="321"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合格冷藏室、冷藏柜的认定标准如下，全部满足方能得分。</w:t>
            </w:r>
          </w:p>
          <w:p>
            <w:pPr>
              <w:pStyle w:val="11"/>
              <w:numPr>
                <w:ilvl w:val="0"/>
                <w:numId w:val="0"/>
              </w:numPr>
              <w:tabs>
                <w:tab w:val="left" w:pos="652"/>
              </w:tabs>
              <w:spacing w:before="28" w:after="0" w:line="160" w:lineRule="auto"/>
              <w:ind w:left="108" w:leftChars="0" w:right="96" w:rightChars="0"/>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1.符合GSP认证管理要求</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p>
          <w:p>
            <w:pPr>
              <w:pStyle w:val="11"/>
              <w:numPr>
                <w:ilvl w:val="0"/>
                <w:numId w:val="0"/>
              </w:numPr>
              <w:tabs>
                <w:tab w:val="left" w:pos="652"/>
              </w:tabs>
              <w:spacing w:before="2" w:after="0" w:line="160" w:lineRule="auto"/>
              <w:ind w:left="108" w:leftChars="0" w:right="98" w:rightChars="0"/>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2.需要配备专用应急电源，需要有温湿度实时监控设备。评审时查看相关照片。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200" w:type="dxa"/>
            <w:vMerge w:val="continue"/>
            <w:vAlign w:val="center"/>
          </w:tcPr>
          <w:p>
            <w:pPr>
              <w:pStyle w:val="4"/>
              <w:jc w:val="center"/>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p>
        </w:tc>
        <w:tc>
          <w:tcPr>
            <w:tcW w:w="1096" w:type="dxa"/>
            <w:vAlign w:val="center"/>
          </w:tcPr>
          <w:p>
            <w:pPr>
              <w:pStyle w:val="4"/>
              <w:jc w:val="center"/>
              <w:rPr>
                <w:rFonts w:hint="default" w:ascii="Times New Roman" w:hAnsi="Times New Roman" w:cs="Times New Roman" w:eastAsiaTheme="minorEastAsia"/>
                <w:color w:val="000000" w:themeColor="text1"/>
                <w:sz w:val="21"/>
                <w:szCs w:val="21"/>
                <w:vertAlign w:val="baseline"/>
                <w:lang w:eastAsia="zh-CN"/>
                <w14:textFill>
                  <w14:solidFill>
                    <w14:schemeClr w14:val="tx1"/>
                  </w14:solidFill>
                </w14:textFill>
              </w:rPr>
            </w:pPr>
            <w:r>
              <w:rPr>
                <w:rFonts w:hint="default" w:ascii="Times New Roman" w:hAnsi="Times New Roman" w:cs="Times New Roman" w:eastAsiaTheme="minorEastAsia"/>
                <w:color w:val="000000" w:themeColor="text1"/>
                <w:w w:val="99"/>
                <w:sz w:val="21"/>
                <w:szCs w:val="21"/>
                <w:lang w:val="en-US" w:eastAsia="zh-CN"/>
                <w14:textFill>
                  <w14:solidFill>
                    <w14:schemeClr w14:val="tx1"/>
                  </w14:solidFill>
                </w14:textFill>
              </w:rPr>
              <w:t>5</w:t>
            </w:r>
          </w:p>
        </w:tc>
        <w:tc>
          <w:tcPr>
            <w:tcW w:w="1258" w:type="dxa"/>
            <w:vAlign w:val="center"/>
          </w:tcPr>
          <w:p>
            <w:pPr>
              <w:pStyle w:val="4"/>
              <w:jc w:val="center"/>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服务环境</w:t>
            </w:r>
          </w:p>
        </w:tc>
        <w:tc>
          <w:tcPr>
            <w:tcW w:w="4258" w:type="dxa"/>
            <w:vAlign w:val="center"/>
          </w:tcPr>
          <w:p>
            <w:pPr>
              <w:pStyle w:val="4"/>
              <w:jc w:val="left"/>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经营门店有一定规模并设有</w:t>
            </w:r>
            <w:r>
              <w:rPr>
                <w:rFonts w:hint="default" w:ascii="Times New Roman" w:hAnsi="Times New Roman" w:cs="Times New Roman" w:eastAsiaTheme="minorEastAsia"/>
                <w:color w:val="000000" w:themeColor="text1"/>
                <w:sz w:val="21"/>
                <w:szCs w:val="21"/>
                <w14:textFill>
                  <w14:solidFill>
                    <w14:schemeClr w14:val="tx1"/>
                  </w14:solidFill>
                </w14:textFill>
              </w:rPr>
              <w:t>参保患者专用咨询台</w:t>
            </w:r>
            <w:r>
              <w:rPr>
                <w:rFonts w:hint="default" w:ascii="Times New Roman" w:hAnsi="Times New Roman" w:cs="Times New Roman" w:eastAsiaTheme="minorEastAsia"/>
                <w:color w:val="000000" w:themeColor="text1"/>
                <w:w w:val="95"/>
                <w:sz w:val="21"/>
                <w:szCs w:val="21"/>
                <w14:textFill>
                  <w14:solidFill>
                    <w14:schemeClr w14:val="tx1"/>
                  </w14:solidFill>
                </w14:textFill>
              </w:rPr>
              <w:t>的得</w:t>
            </w:r>
            <w:r>
              <w:rPr>
                <w:rFonts w:hint="default" w:ascii="Times New Roman" w:hAnsi="Times New Roman" w:cs="Times New Roman" w:eastAsiaTheme="minorEastAsia"/>
                <w:color w:val="000000" w:themeColor="text1"/>
                <w:w w:val="95"/>
                <w:sz w:val="2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分</w:t>
            </w:r>
            <w:r>
              <w:rPr>
                <w:rFonts w:hint="default" w:ascii="Times New Roman" w:hAnsi="Times New Roman" w:cs="Times New Roman" w:eastAsiaTheme="minorEastAsia"/>
                <w:color w:val="000000" w:themeColor="text1"/>
                <w:spacing w:val="-4"/>
                <w:sz w:val="21"/>
                <w:szCs w:val="21"/>
                <w:lang w:eastAsia="zh-CN"/>
                <w14:textFill>
                  <w14:solidFill>
                    <w14:schemeClr w14:val="tx1"/>
                  </w14:solidFill>
                </w14:textFill>
              </w:rPr>
              <w:t>；未设置参保患者专用咨询台的得</w:t>
            </w:r>
            <w:r>
              <w:rPr>
                <w:rFonts w:hint="default" w:ascii="Times New Roman" w:hAnsi="Times New Roman" w:cs="Times New Roman" w:eastAsiaTheme="minorEastAsia"/>
                <w:color w:val="000000" w:themeColor="text1"/>
                <w:spacing w:val="-4"/>
                <w:sz w:val="21"/>
                <w:szCs w:val="21"/>
                <w:lang w:val="en-US" w:eastAsia="zh-CN"/>
                <w14:textFill>
                  <w14:solidFill>
                    <w14:schemeClr w14:val="tx1"/>
                  </w14:solidFill>
                </w14:textFill>
              </w:rPr>
              <w:t>2分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w:t>
            </w:r>
          </w:p>
        </w:tc>
        <w:tc>
          <w:tcPr>
            <w:tcW w:w="6819" w:type="dxa"/>
            <w:vAlign w:val="center"/>
          </w:tcPr>
          <w:p>
            <w:pPr>
              <w:pStyle w:val="4"/>
              <w:jc w:val="left"/>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提供相关平面图和相关区域照片。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00" w:type="dxa"/>
            <w:vAlign w:val="center"/>
          </w:tcPr>
          <w:p>
            <w:pPr>
              <w:pStyle w:val="4"/>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评分项目</w:t>
            </w:r>
          </w:p>
        </w:tc>
        <w:tc>
          <w:tcPr>
            <w:tcW w:w="1096" w:type="dxa"/>
            <w:vAlign w:val="center"/>
          </w:tcPr>
          <w:p>
            <w:pPr>
              <w:pStyle w:val="4"/>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标准分</w:t>
            </w:r>
          </w:p>
        </w:tc>
        <w:tc>
          <w:tcPr>
            <w:tcW w:w="1258" w:type="dxa"/>
            <w:vAlign w:val="center"/>
          </w:tcPr>
          <w:p>
            <w:pPr>
              <w:pStyle w:val="4"/>
              <w:jc w:val="center"/>
              <w:rPr>
                <w:rFonts w:hint="default" w:ascii="Times New Roman" w:hAnsi="Times New Roman" w:cs="Times New Roman" w:eastAsiaTheme="minorEastAsia"/>
                <w:b/>
                <w:bCs/>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评分分项</w:t>
            </w:r>
          </w:p>
        </w:tc>
        <w:tc>
          <w:tcPr>
            <w:tcW w:w="4258" w:type="dxa"/>
            <w:vAlign w:val="center"/>
          </w:tcPr>
          <w:p>
            <w:pPr>
              <w:pStyle w:val="4"/>
              <w:jc w:val="center"/>
              <w:rPr>
                <w:rFonts w:hint="default" w:ascii="Times New Roman" w:hAnsi="Times New Roman" w:cs="Times New Roman" w:eastAsiaTheme="minorEastAsia"/>
                <w:b/>
                <w:bCs/>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评分内容</w:t>
            </w:r>
          </w:p>
        </w:tc>
        <w:tc>
          <w:tcPr>
            <w:tcW w:w="6819" w:type="dxa"/>
            <w:vAlign w:val="center"/>
          </w:tcPr>
          <w:p>
            <w:pPr>
              <w:pStyle w:val="4"/>
              <w:jc w:val="center"/>
              <w:rPr>
                <w:rFonts w:hint="default" w:ascii="Times New Roman" w:hAnsi="Times New Roman" w:cs="Times New Roman" w:eastAsiaTheme="minorEastAsia"/>
                <w:b/>
                <w:bCs/>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1200" w:type="dxa"/>
            <w:vMerge w:val="restart"/>
            <w:vAlign w:val="center"/>
          </w:tcPr>
          <w:p>
            <w:pPr>
              <w:pStyle w:val="11"/>
              <w:spacing w:before="1" w:line="323" w:lineRule="exact"/>
              <w:ind w:left="0" w:leftChars="0" w:firstLine="0" w:firstLineChars="0"/>
              <w:jc w:val="both"/>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管理能力</w:t>
            </w:r>
          </w:p>
          <w:p>
            <w:pPr>
              <w:pStyle w:val="11"/>
              <w:spacing w:before="1" w:line="323" w:lineRule="exact"/>
              <w:ind w:left="0" w:leftChars="0" w:firstLine="0" w:firstLineChars="0"/>
              <w:jc w:val="both"/>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w:t>
            </w:r>
            <w:r>
              <w:rPr>
                <w:rFonts w:hint="eastAsia"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50</w:t>
            </w:r>
            <w:bookmarkStart w:id="0" w:name="_GoBack"/>
            <w:bookmarkEnd w:id="0"/>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分）</w:t>
            </w:r>
          </w:p>
        </w:tc>
        <w:tc>
          <w:tcPr>
            <w:tcW w:w="1096" w:type="dxa"/>
            <w:vAlign w:val="center"/>
          </w:tcPr>
          <w:p>
            <w:pPr>
              <w:pStyle w:val="4"/>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5</w:t>
            </w:r>
          </w:p>
        </w:tc>
        <w:tc>
          <w:tcPr>
            <w:tcW w:w="1258" w:type="dxa"/>
            <w:vAlign w:val="center"/>
          </w:tcPr>
          <w:p>
            <w:pPr>
              <w:pStyle w:val="4"/>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规章制度</w:t>
            </w:r>
          </w:p>
        </w:tc>
        <w:tc>
          <w:tcPr>
            <w:tcW w:w="4258" w:type="dxa"/>
            <w:vAlign w:val="center"/>
          </w:tcPr>
          <w:p>
            <w:pPr>
              <w:pStyle w:val="3"/>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申报门店有针对</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“双通道”药品</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零售管理和服务相关岗位设置、规章制度的得5分。</w:t>
            </w:r>
          </w:p>
        </w:tc>
        <w:tc>
          <w:tcPr>
            <w:tcW w:w="6819" w:type="dxa"/>
            <w:vAlign w:val="center"/>
          </w:tcPr>
          <w:p>
            <w:pPr>
              <w:pStyle w:val="11"/>
              <w:numPr>
                <w:ilvl w:val="0"/>
                <w:numId w:val="0"/>
              </w:numPr>
              <w:tabs>
                <w:tab w:val="left" w:pos="652"/>
              </w:tabs>
              <w:spacing w:before="28" w:after="0" w:line="160" w:lineRule="auto"/>
              <w:ind w:leftChars="0" w:right="96" w:rightChars="0"/>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1.检查相关岗位清单、岗位说明、规章制度汇编文件，提供复印件</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p>
          <w:p>
            <w:pPr>
              <w:pStyle w:val="11"/>
              <w:numPr>
                <w:ilvl w:val="0"/>
                <w:numId w:val="0"/>
              </w:numPr>
              <w:tabs>
                <w:tab w:val="left" w:pos="652"/>
              </w:tabs>
              <w:spacing w:before="28" w:after="0" w:line="160" w:lineRule="auto"/>
              <w:ind w:leftChars="0" w:right="96" w:rightChars="0"/>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2.重点检查国家谈判药服务相关的规程制度，包括“配送管理制度”、“冷链储存应急预案”、“冷链药品配送操作规程”、“患者服务流程及制度”，如有缺失，每少一项扣1分。</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（国家谈判药品）</w:t>
            </w:r>
          </w:p>
          <w:p>
            <w:pPr>
              <w:pStyle w:val="3"/>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申报门店属于连锁企业门店的，该企业的相关规章制度可作为申报门店评分依据。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200" w:type="dxa"/>
            <w:vMerge w:val="continue"/>
            <w:vAlign w:val="center"/>
          </w:tcPr>
          <w:p>
            <w:pPr>
              <w:pStyle w:val="4"/>
              <w:jc w:val="center"/>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p>
        </w:tc>
        <w:tc>
          <w:tcPr>
            <w:tcW w:w="1096" w:type="dxa"/>
            <w:vAlign w:val="center"/>
          </w:tcPr>
          <w:p>
            <w:pPr>
              <w:pStyle w:val="4"/>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10</w:t>
            </w:r>
          </w:p>
        </w:tc>
        <w:tc>
          <w:tcPr>
            <w:tcW w:w="1258" w:type="dxa"/>
            <w:vAlign w:val="center"/>
          </w:tcPr>
          <w:p>
            <w:pPr>
              <w:pStyle w:val="4"/>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台账管理</w:t>
            </w:r>
          </w:p>
        </w:tc>
        <w:tc>
          <w:tcPr>
            <w:tcW w:w="4258" w:type="dxa"/>
            <w:vAlign w:val="center"/>
          </w:tcPr>
          <w:p>
            <w:pPr>
              <w:pStyle w:val="11"/>
              <w:numPr>
                <w:ilvl w:val="0"/>
                <w:numId w:val="3"/>
              </w:numPr>
              <w:spacing w:before="99" w:line="160" w:lineRule="auto"/>
              <w:ind w:right="64"/>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 xml:space="preserve"> </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建立健全药品进、销、存台账，且账账相符的得7分。</w:t>
            </w:r>
          </w:p>
          <w:p>
            <w:pPr>
              <w:pStyle w:val="11"/>
              <w:numPr>
                <w:ilvl w:val="0"/>
                <w:numId w:val="3"/>
              </w:numPr>
              <w:spacing w:before="99" w:line="160" w:lineRule="auto"/>
              <w:ind w:right="64"/>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 xml:space="preserve"> </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处方分类装订</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存档1年的得2分</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存档2年的得3分。</w:t>
            </w:r>
          </w:p>
        </w:tc>
        <w:tc>
          <w:tcPr>
            <w:tcW w:w="6819" w:type="dxa"/>
            <w:vAlign w:val="center"/>
          </w:tcPr>
          <w:p>
            <w:pPr>
              <w:pStyle w:val="4"/>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申报门店提供 202</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 xml:space="preserve"> 年至今的台账和处方册</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（或电子处方）</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1200" w:type="dxa"/>
            <w:vMerge w:val="continue"/>
            <w:vAlign w:val="center"/>
          </w:tcPr>
          <w:p>
            <w:pPr>
              <w:pStyle w:val="4"/>
              <w:jc w:val="center"/>
              <w:rPr>
                <w:rFonts w:hint="default" w:ascii="Times New Roman" w:hAnsi="Times New Roman" w:cs="Times New Roman" w:eastAsiaTheme="minorEastAsia"/>
                <w:color w:val="000000" w:themeColor="text1"/>
                <w:sz w:val="21"/>
                <w:szCs w:val="21"/>
                <w:vertAlign w:val="baseline"/>
                <w14:textFill>
                  <w14:solidFill>
                    <w14:schemeClr w14:val="tx1"/>
                  </w14:solidFill>
                </w14:textFill>
              </w:rPr>
            </w:pPr>
          </w:p>
        </w:tc>
        <w:tc>
          <w:tcPr>
            <w:tcW w:w="1096" w:type="dxa"/>
            <w:vAlign w:val="center"/>
          </w:tcPr>
          <w:p>
            <w:pPr>
              <w:pStyle w:val="4"/>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5</w:t>
            </w:r>
          </w:p>
        </w:tc>
        <w:tc>
          <w:tcPr>
            <w:tcW w:w="1258" w:type="dxa"/>
            <w:vAlign w:val="center"/>
          </w:tcPr>
          <w:p>
            <w:pPr>
              <w:pStyle w:val="4"/>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服务资质</w:t>
            </w:r>
          </w:p>
        </w:tc>
        <w:tc>
          <w:tcPr>
            <w:tcW w:w="4258" w:type="dxa"/>
            <w:vAlign w:val="center"/>
          </w:tcPr>
          <w:p>
            <w:pPr>
              <w:pStyle w:val="4"/>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申报门店获得医保定点资格定点2年（含）以上的得5分。</w:t>
            </w:r>
          </w:p>
        </w:tc>
        <w:tc>
          <w:tcPr>
            <w:tcW w:w="6819" w:type="dxa"/>
            <w:vAlign w:val="center"/>
          </w:tcPr>
          <w:p>
            <w:pPr>
              <w:pStyle w:val="4"/>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提供医保服务协议复印件。</w:t>
            </w:r>
          </w:p>
        </w:tc>
      </w:tr>
    </w:tbl>
    <w:p>
      <w:pPr>
        <w:pStyle w:val="4"/>
        <w:rPr>
          <w:rFonts w:hint="default" w:ascii="Times New Roman" w:hAnsi="Times New Roman" w:cs="Times New Roman"/>
          <w:color w:val="000000" w:themeColor="text1"/>
          <w:sz w:val="21"/>
          <w:szCs w:val="21"/>
          <w14:textFill>
            <w14:solidFill>
              <w14:schemeClr w14:val="tx1"/>
            </w14:solidFill>
          </w14:textFill>
        </w:rPr>
      </w:pPr>
    </w:p>
    <w:p>
      <w:pPr>
        <w:pStyle w:val="4"/>
        <w:rPr>
          <w:rFonts w:hint="default" w:ascii="Times New Roman" w:hAnsi="Times New Roman" w:cs="Times New Roman"/>
          <w:color w:val="000000" w:themeColor="text1"/>
          <w:sz w:val="21"/>
          <w:szCs w:val="21"/>
          <w14:textFill>
            <w14:solidFill>
              <w14:schemeClr w14:val="tx1"/>
            </w14:solidFill>
          </w14:textFill>
        </w:rPr>
      </w:pPr>
    </w:p>
    <w:p>
      <w:pPr>
        <w:pStyle w:val="4"/>
        <w:rPr>
          <w:rFonts w:hint="default" w:ascii="Times New Roman" w:hAnsi="Times New Roman" w:cs="Times New Roman"/>
          <w:color w:val="000000" w:themeColor="text1"/>
          <w:sz w:val="21"/>
          <w:szCs w:val="21"/>
          <w14:textFill>
            <w14:solidFill>
              <w14:schemeClr w14:val="tx1"/>
            </w14:solidFill>
          </w14:textFill>
        </w:rPr>
      </w:pP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223"/>
        <w:gridCol w:w="1581"/>
        <w:gridCol w:w="3300"/>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62"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评分项目</w:t>
            </w:r>
          </w:p>
        </w:tc>
        <w:tc>
          <w:tcPr>
            <w:tcW w:w="1223"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标准分</w:t>
            </w:r>
          </w:p>
        </w:tc>
        <w:tc>
          <w:tcPr>
            <w:tcW w:w="1581"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评分分项</w:t>
            </w:r>
          </w:p>
        </w:tc>
        <w:tc>
          <w:tcPr>
            <w:tcW w:w="3300"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评分内容</w:t>
            </w:r>
          </w:p>
        </w:tc>
        <w:tc>
          <w:tcPr>
            <w:tcW w:w="6308"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6" w:hRule="atLeast"/>
        </w:trPr>
        <w:tc>
          <w:tcPr>
            <w:tcW w:w="1762" w:type="dxa"/>
            <w:vAlign w:val="center"/>
          </w:tcPr>
          <w:p>
            <w:pPr>
              <w:pStyle w:val="11"/>
              <w:spacing w:before="1" w:line="323" w:lineRule="exact"/>
              <w:ind w:left="0" w:leftChars="0" w:firstLine="0" w:firstLine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管理能力</w:t>
            </w:r>
          </w:p>
          <w:p>
            <w:pPr>
              <w:pStyle w:val="11"/>
              <w:spacing w:before="1" w:line="323" w:lineRule="exact"/>
              <w:ind w:left="0" w:leftChars="0" w:firstLine="0" w:firstLineChars="0"/>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w:t>
            </w:r>
            <w:r>
              <w:rPr>
                <w:rFonts w:hint="eastAsia"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50</w:t>
            </w: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 xml:space="preserve"> 分）</w:t>
            </w:r>
          </w:p>
        </w:tc>
        <w:tc>
          <w:tcPr>
            <w:tcW w:w="1223"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10</w:t>
            </w:r>
          </w:p>
        </w:tc>
        <w:tc>
          <w:tcPr>
            <w:tcW w:w="1581"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信息化管理</w:t>
            </w:r>
          </w:p>
        </w:tc>
        <w:tc>
          <w:tcPr>
            <w:tcW w:w="3300" w:type="dxa"/>
            <w:vAlign w:val="center"/>
          </w:tcPr>
          <w:p>
            <w:pPr>
              <w:pStyle w:val="4"/>
              <w:numPr>
                <w:ilvl w:val="0"/>
                <w:numId w:val="4"/>
              </w:numPr>
              <w:jc w:val="left"/>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申报门店有药房至患者侧配送管理及冷链全程记录的得5分</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p>
          <w:p>
            <w:pPr>
              <w:pStyle w:val="4"/>
              <w:numPr>
                <w:ilvl w:val="0"/>
                <w:numId w:val="4"/>
              </w:numPr>
              <w:jc w:val="left"/>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为患者提供用药提醒、用药指导、随访跟踪等服务管理的得5分。</w:t>
            </w:r>
          </w:p>
        </w:tc>
        <w:tc>
          <w:tcPr>
            <w:tcW w:w="6308" w:type="dxa"/>
            <w:vAlign w:val="center"/>
          </w:tcPr>
          <w:p>
            <w:pPr>
              <w:pStyle w:val="11"/>
              <w:spacing w:before="23" w:line="160" w:lineRule="auto"/>
              <w:ind w:right="96"/>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药房至患者侧配送管理及冷链全程记录：包括能够管理到药品销售使用全过程，从而能够分辨配送给患者的是哪一盒药；对于药品配送有清晰的记录，配送给谁、谁送货、何时出发、何时送到；能够查看专用冷链箱在配送途中的温度和位置；对于冷链药品，在配送管理中能够清晰展现配送全程的途中温度状况及配送路线，从而确保药品出库地点和配送起止时间和实际情况匹配；配送管理能够对配送途中的超温情况给出提醒。</w:t>
            </w:r>
          </w:p>
          <w:p>
            <w:pPr>
              <w:pStyle w:val="11"/>
              <w:spacing w:line="238"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以上没有信息化管理得0分，有但功能不健全，每少一项扣1分，扣完为止。</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（国家谈判药品）</w:t>
            </w:r>
          </w:p>
          <w:p>
            <w:pPr>
              <w:pStyle w:val="11"/>
              <w:spacing w:before="27" w:line="160" w:lineRule="auto"/>
              <w:ind w:right="-15"/>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2.患者服务管理信息化：包括能够清楚记录哪个患者购买了何种药品，以便于随后围绕此患者使用的具体药品情况开展售后服务； 能够管理维护针对患者的服务计划；能够根据患者服务计划创建服务任务，并将任务分配给指定客服人员或执业药师开展服务；能够清晰记录开展的一系列服务情况，如谁什么时候联系了患者，做了什么服务（用药提醒、用药指导、随访跟踪、赠药提醒等）；能够提供患者服务执行的时效管理，对于超过服务时限的任务能够给予药房管理人员明显地提醒。</w:t>
            </w:r>
          </w:p>
          <w:p>
            <w:pPr>
              <w:pStyle w:val="11"/>
              <w:spacing w:line="238" w:lineRule="exact"/>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以上没有信息化管理得0分，有但功能不健全，每少一项扣1分，扣完为止。</w:t>
            </w:r>
          </w:p>
        </w:tc>
      </w:tr>
    </w:tbl>
    <w:p>
      <w:pPr>
        <w:rPr>
          <w:rFonts w:hint="default" w:ascii="Times New Roman" w:hAnsi="Times New Roman" w:cs="Times New Roman"/>
          <w:color w:val="000000" w:themeColor="text1"/>
          <w:sz w:val="21"/>
          <w:szCs w:val="21"/>
          <w14:textFill>
            <w14:solidFill>
              <w14:schemeClr w14:val="tx1"/>
            </w14:solidFill>
          </w14:textFill>
        </w:rPr>
        <w:sectPr>
          <w:footerReference r:id="rId3" w:type="default"/>
          <w:pgSz w:w="16838" w:h="11905" w:orient="landscape"/>
          <w:pgMar w:top="1803" w:right="1440" w:bottom="1803" w:left="1440" w:header="850" w:footer="992" w:gutter="0"/>
          <w:pgBorders>
            <w:top w:val="none" w:sz="0" w:space="0"/>
            <w:left w:val="none" w:sz="0" w:space="0"/>
            <w:bottom w:val="none" w:sz="0" w:space="0"/>
            <w:right w:val="none" w:sz="0" w:space="0"/>
          </w:pgBorders>
          <w:cols w:space="0" w:num="1"/>
          <w:rtlGutter w:val="0"/>
          <w:docGrid w:type="lines" w:linePitch="319" w:charSpace="0"/>
        </w:sectPr>
      </w:pPr>
    </w:p>
    <w:tbl>
      <w:tblPr>
        <w:tblStyle w:val="9"/>
        <w:tblW w:w="14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57"/>
        <w:gridCol w:w="1373"/>
        <w:gridCol w:w="4870"/>
        <w:gridCol w:w="5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16"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评分项目</w:t>
            </w:r>
          </w:p>
        </w:tc>
        <w:tc>
          <w:tcPr>
            <w:tcW w:w="957"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标准分</w:t>
            </w:r>
          </w:p>
        </w:tc>
        <w:tc>
          <w:tcPr>
            <w:tcW w:w="1373"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评分分项</w:t>
            </w:r>
          </w:p>
        </w:tc>
        <w:tc>
          <w:tcPr>
            <w:tcW w:w="4870"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评分内容</w:t>
            </w:r>
          </w:p>
        </w:tc>
        <w:tc>
          <w:tcPr>
            <w:tcW w:w="5605" w:type="dxa"/>
            <w:vAlign w:val="center"/>
          </w:tcPr>
          <w:p>
            <w:pPr>
              <w:pStyle w:val="4"/>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1416" w:type="dxa"/>
            <w:vMerge w:val="restart"/>
            <w:vAlign w:val="center"/>
          </w:tcPr>
          <w:p>
            <w:pPr>
              <w:pStyle w:val="11"/>
              <w:spacing w:before="1" w:line="323" w:lineRule="exact"/>
              <w:ind w:left="0" w:leftChars="0" w:firstLine="0" w:firstLine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管理能力</w:t>
            </w:r>
          </w:p>
          <w:p>
            <w:pPr>
              <w:pStyle w:val="11"/>
              <w:spacing w:before="1" w:line="323" w:lineRule="exact"/>
              <w:ind w:left="0" w:leftChars="0" w:firstLine="0" w:firstLineChars="0"/>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w:t>
            </w:r>
            <w:r>
              <w:rPr>
                <w:rFonts w:hint="eastAsia"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50</w:t>
            </w: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分）</w:t>
            </w:r>
          </w:p>
        </w:tc>
        <w:tc>
          <w:tcPr>
            <w:tcW w:w="957"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5</w:t>
            </w:r>
          </w:p>
        </w:tc>
        <w:tc>
          <w:tcPr>
            <w:tcW w:w="1373"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系统对接</w:t>
            </w:r>
          </w:p>
        </w:tc>
        <w:tc>
          <w:tcPr>
            <w:tcW w:w="4870" w:type="dxa"/>
            <w:shd w:val="clear" w:color="auto" w:fill="auto"/>
            <w:vAlign w:val="center"/>
          </w:tcPr>
          <w:p>
            <w:pPr>
              <w:pStyle w:val="7"/>
              <w:numPr>
                <w:ilvl w:val="0"/>
                <w:numId w:val="0"/>
              </w:numPr>
              <w:shd w:val="clear"/>
              <w:spacing w:before="0" w:beforeAutospacing="0" w:after="0" w:afterAutospacing="0"/>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做好信息系统对接，依托全省统一的处方流转平台，进一步强化医保结算功能、人证相符审核、电子处方认证等信息模块运用，实现处方流转外购药品“一站式”结算。鼓励定点医疗机构和“双通道”药店依托云南医保移动支付平台，促进“双通道”用药保障机制和移动支付有效结合，开通网上支付、移动支付等功能，提供“双通道”药品医保直接结算服务。</w:t>
            </w:r>
          </w:p>
          <w:p>
            <w:pPr>
              <w:pStyle w:val="7"/>
              <w:numPr>
                <w:ilvl w:val="0"/>
                <w:numId w:val="0"/>
              </w:numPr>
              <w:shd w:val="clear"/>
              <w:spacing w:before="0" w:beforeAutospacing="0" w:after="0" w:afterAutospacing="0"/>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2.鼓励定点医疗机构和“双通道”药店提供“互联网+”药品流通服务，打通线上线下服务通道，实现“网订店取”或“网订店送”。</w:t>
            </w:r>
          </w:p>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tc>
        <w:tc>
          <w:tcPr>
            <w:tcW w:w="5605"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未完成信息系统对接得0分；完成信息系统对接，但不能提供“互联网+”药品流通服务的扣1分。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416" w:type="dxa"/>
            <w:vMerge w:val="continue"/>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tc>
        <w:tc>
          <w:tcPr>
            <w:tcW w:w="957"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5</w:t>
            </w:r>
          </w:p>
        </w:tc>
        <w:tc>
          <w:tcPr>
            <w:tcW w:w="1373"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违规情况</w:t>
            </w:r>
          </w:p>
        </w:tc>
        <w:tc>
          <w:tcPr>
            <w:tcW w:w="4870"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2022年1月1日以来，无医保违规记录，无重大违法行为外的行业主管部门处罚记录的得5分。</w:t>
            </w:r>
          </w:p>
        </w:tc>
        <w:tc>
          <w:tcPr>
            <w:tcW w:w="5605"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药品经营连锁企业县市辖区内门店有医保违规或行政处罚记录的，每发生一例扣2分，扣完5分为止。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16" w:type="dxa"/>
            <w:vMerge w:val="continue"/>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tc>
        <w:tc>
          <w:tcPr>
            <w:tcW w:w="957"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5</w:t>
            </w:r>
          </w:p>
        </w:tc>
        <w:tc>
          <w:tcPr>
            <w:tcW w:w="1373"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医保管理</w:t>
            </w:r>
          </w:p>
        </w:tc>
        <w:tc>
          <w:tcPr>
            <w:tcW w:w="4870"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参加医保组织的培训或会议、按质按量配合完成医保安排的各项工作的得5分。</w:t>
            </w:r>
          </w:p>
        </w:tc>
        <w:tc>
          <w:tcPr>
            <w:tcW w:w="5605"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未参加或未配合完成一次扣</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416" w:type="dxa"/>
            <w:vMerge w:val="continue"/>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tc>
        <w:tc>
          <w:tcPr>
            <w:tcW w:w="957"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5</w:t>
            </w:r>
          </w:p>
        </w:tc>
        <w:tc>
          <w:tcPr>
            <w:tcW w:w="1373" w:type="dxa"/>
            <w:vAlign w:val="center"/>
          </w:tcPr>
          <w:p>
            <w:pPr>
              <w:pStyle w:val="11"/>
              <w:spacing w:line="259" w:lineRule="exact"/>
              <w:jc w:val="cente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管理要求</w:t>
            </w:r>
          </w:p>
        </w:tc>
        <w:tc>
          <w:tcPr>
            <w:tcW w:w="4870"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申报门店要提供“双通道”用药管理方案，应严格按药品分类管理的要求销售药品，不得以任何形式变相向患者推销其他药品、医疗器械、保健品等，切实保障患者权益和用药安全。</w:t>
            </w:r>
          </w:p>
        </w:tc>
        <w:tc>
          <w:tcPr>
            <w:tcW w:w="5605"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提供谈判药管理方案，综合介绍与谈判药管理、服务紧密相关的内容。评委根据管理方案的完整、优化合理程度及执行情况综合评分，较好得4-5分，一般得2-3分，较差得1分，没有不得分。</w:t>
            </w:r>
          </w:p>
        </w:tc>
      </w:tr>
    </w:tbl>
    <w:p>
      <w:pPr>
        <w:pStyle w:val="4"/>
        <w:rPr>
          <w:rFonts w:hint="default" w:ascii="Times New Roman" w:hAnsi="Times New Roman" w:cs="Times New Roman"/>
          <w:color w:val="000000" w:themeColor="text1"/>
          <w:sz w:val="21"/>
          <w:szCs w:val="21"/>
          <w14:textFill>
            <w14:solidFill>
              <w14:schemeClr w14:val="tx1"/>
            </w14:solidFill>
          </w14:textFill>
        </w:rPr>
      </w:pPr>
    </w:p>
    <w:tbl>
      <w:tblPr>
        <w:tblStyle w:val="8"/>
        <w:tblW w:w="13950"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1093"/>
        <w:gridCol w:w="1719"/>
        <w:gridCol w:w="3141"/>
        <w:gridCol w:w="6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13" w:type="dxa"/>
            <w:vAlign w:val="center"/>
          </w:tcPr>
          <w:p>
            <w:pPr>
              <w:pStyle w:val="11"/>
              <w:spacing w:before="86"/>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评分项目</w:t>
            </w:r>
          </w:p>
        </w:tc>
        <w:tc>
          <w:tcPr>
            <w:tcW w:w="1093" w:type="dxa"/>
            <w:vAlign w:val="center"/>
          </w:tcPr>
          <w:p>
            <w:pPr>
              <w:pStyle w:val="11"/>
              <w:spacing w:before="86"/>
              <w:ind w:right="23" w:right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标准分</w:t>
            </w:r>
          </w:p>
        </w:tc>
        <w:tc>
          <w:tcPr>
            <w:tcW w:w="1719" w:type="dxa"/>
            <w:vAlign w:val="center"/>
          </w:tcPr>
          <w:p>
            <w:pPr>
              <w:pStyle w:val="11"/>
              <w:spacing w:before="86"/>
              <w:ind w:right="29" w:right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评分分项</w:t>
            </w:r>
          </w:p>
        </w:tc>
        <w:tc>
          <w:tcPr>
            <w:tcW w:w="3141" w:type="dxa"/>
            <w:vAlign w:val="center"/>
          </w:tcPr>
          <w:p>
            <w:pPr>
              <w:pStyle w:val="11"/>
              <w:spacing w:before="86"/>
              <w:ind w:left="0" w:leftChars="0" w:right="-29" w:rightChars="0" w:firstLine="0" w:firstLine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评分内容</w:t>
            </w:r>
          </w:p>
        </w:tc>
        <w:tc>
          <w:tcPr>
            <w:tcW w:w="6584" w:type="dxa"/>
            <w:vAlign w:val="center"/>
          </w:tcPr>
          <w:p>
            <w:pPr>
              <w:pStyle w:val="11"/>
              <w:spacing w:before="86"/>
              <w:ind w:right="54" w:right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1413" w:type="dxa"/>
            <w:vMerge w:val="restart"/>
            <w:vAlign w:val="center"/>
          </w:tcPr>
          <w:p>
            <w:pPr>
              <w:pStyle w:val="11"/>
              <w:spacing w:before="1" w:line="323" w:lineRule="exact"/>
              <w:ind w:left="0" w:leftChars="0" w:firstLine="0" w:firstLine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服务能力</w:t>
            </w:r>
          </w:p>
          <w:p>
            <w:pPr>
              <w:pStyle w:val="11"/>
              <w:spacing w:before="1" w:line="323" w:lineRule="exact"/>
              <w:ind w:left="0" w:leftChars="0" w:firstLine="0" w:firstLineChars="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w:t>
            </w:r>
            <w:r>
              <w:rPr>
                <w:rFonts w:hint="eastAsia"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25</w:t>
            </w: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分）</w:t>
            </w:r>
          </w:p>
        </w:tc>
        <w:tc>
          <w:tcPr>
            <w:tcW w:w="1093"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5</w:t>
            </w:r>
          </w:p>
        </w:tc>
        <w:tc>
          <w:tcPr>
            <w:tcW w:w="1719" w:type="dxa"/>
            <w:vAlign w:val="center"/>
          </w:tcPr>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配送服务</w:t>
            </w:r>
          </w:p>
        </w:tc>
        <w:tc>
          <w:tcPr>
            <w:tcW w:w="3141" w:type="dxa"/>
            <w:vAlign w:val="center"/>
          </w:tcPr>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申报门店具备将谈判药按时保质配送到患者家里或指定地点的能力。有明确的配送操作规程的得1分，有近一年的配送服务信息化记录的得</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分，有零售专用冷链配送设备的得</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2</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分。</w:t>
            </w:r>
          </w:p>
        </w:tc>
        <w:tc>
          <w:tcPr>
            <w:tcW w:w="6584"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提供配送操作规程，有清晰完整配送操作规程制度文件的得1分；冷链箱能够通过移动网络实时传送配送途中的箱内温度和位置数据给药房管理系统的得</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分；冷链箱通过第三方验证，保证能够有良好的温控效果的得</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分；检查第三方冷链认证的证明文件复印件；</w:t>
            </w:r>
          </w:p>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提供实际配送记录复印件：患者签收单据和配送管理系统（和前述的信息化系统为同一个系统）的记录能够匹配。符合要求的得</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3</w:t>
            </w: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6" w:hRule="atLeast"/>
        </w:trPr>
        <w:tc>
          <w:tcPr>
            <w:tcW w:w="1413" w:type="dxa"/>
            <w:vMerge w:val="continue"/>
            <w:tcBorders>
              <w:top w:val="nil"/>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093"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15</w:t>
            </w:r>
          </w:p>
        </w:tc>
        <w:tc>
          <w:tcPr>
            <w:tcW w:w="1719" w:type="dxa"/>
            <w:vAlign w:val="center"/>
          </w:tcPr>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谈判药配备率</w:t>
            </w:r>
          </w:p>
        </w:tc>
        <w:tc>
          <w:tcPr>
            <w:tcW w:w="3141" w:type="dxa"/>
            <w:vAlign w:val="center"/>
          </w:tcPr>
          <w:p>
            <w:pPr>
              <w:pStyle w:val="11"/>
              <w:numPr>
                <w:ilvl w:val="0"/>
                <w:numId w:val="5"/>
              </w:numPr>
              <w:spacing w:line="259" w:lineRule="exact"/>
              <w:jc w:val="both"/>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国家医保谈判药品品种配备≧30%的得10分</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w:t>
            </w:r>
          </w:p>
          <w:p>
            <w:pPr>
              <w:pStyle w:val="11"/>
              <w:numPr>
                <w:ilvl w:val="0"/>
                <w:numId w:val="5"/>
              </w:numPr>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现场配备品种≧30个品种的得5分；≧20个品种的得3分；少于20个品种的不得分。</w:t>
            </w:r>
          </w:p>
        </w:tc>
        <w:tc>
          <w:tcPr>
            <w:tcW w:w="6584" w:type="dxa"/>
            <w:vAlign w:val="center"/>
          </w:tcPr>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查看国家医保谈判药品进销存发票（单据）或台账，进销发票（单据）与进销存系统记录保持一致；提供国家医保谈判药品品种配备能力清单及相关证明材料。</w:t>
            </w:r>
            <w:r>
              <w:rPr>
                <w:rFonts w:hint="eastAsia"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（国家谈判药品）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3" w:hRule="atLeast"/>
        </w:trPr>
        <w:tc>
          <w:tcPr>
            <w:tcW w:w="1413" w:type="dxa"/>
            <w:vMerge w:val="continue"/>
            <w:tcBorders>
              <w:top w:val="nil"/>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093" w:type="dxa"/>
            <w:vAlign w:val="center"/>
          </w:tcPr>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cente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5</w:t>
            </w:r>
          </w:p>
        </w:tc>
        <w:tc>
          <w:tcPr>
            <w:tcW w:w="1719" w:type="dxa"/>
            <w:vAlign w:val="center"/>
          </w:tcPr>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p>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药品追溯机制</w:t>
            </w:r>
          </w:p>
        </w:tc>
        <w:tc>
          <w:tcPr>
            <w:tcW w:w="3141" w:type="dxa"/>
            <w:vAlign w:val="center"/>
          </w:tcPr>
          <w:p>
            <w:pPr>
              <w:pStyle w:val="11"/>
              <w:spacing w:line="259" w:lineRule="exact"/>
              <w:jc w:val="both"/>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按照国家有关规定使用药品电子追溯码，且能通过扫码的方式实时将进、销、存数据上传至云南省医保信息平台，并按照药品监督管理部门药品追溯工作要求，建立完善药品追溯工作机制。</w:t>
            </w:r>
          </w:p>
        </w:tc>
        <w:tc>
          <w:tcPr>
            <w:tcW w:w="6584" w:type="dxa"/>
            <w:vAlign w:val="center"/>
          </w:tcPr>
          <w:p>
            <w:pPr>
              <w:pStyle w:val="11"/>
              <w:spacing w:line="259" w:lineRule="exact"/>
              <w:jc w:val="left"/>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1"/>
                <w:szCs w:val="21"/>
                <w:lang w:val="en-US" w:eastAsia="zh-CN" w:bidi="ar-SA"/>
                <w14:textFill>
                  <w14:solidFill>
                    <w14:schemeClr w14:val="tx1"/>
                  </w14:solidFill>
                </w14:textFill>
              </w:rPr>
              <w:t>未使用药品电子追溯码的得0分；已使用药品电子追溯码，但未上传至云南省医保信息平台或上传信息不全的扣2分；未建立药品追溯工作机制的扣2分。</w:t>
            </w:r>
          </w:p>
        </w:tc>
      </w:tr>
    </w:tbl>
    <w:p/>
    <w:sectPr>
      <w:footerReference r:id="rId4" w:type="default"/>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5278755</wp:posOffset>
              </wp:positionH>
              <wp:positionV relativeFrom="page">
                <wp:posOffset>6745605</wp:posOffset>
              </wp:positionV>
              <wp:extent cx="530860" cy="3225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0860" cy="322580"/>
                      </a:xfrm>
                      <a:prstGeom prst="rect">
                        <a:avLst/>
                      </a:prstGeom>
                      <a:noFill/>
                      <a:ln>
                        <a:noFill/>
                      </a:ln>
                    </wps:spPr>
                    <wps:txbx>
                      <w:txbxContent>
                        <w:p>
                          <w:pPr>
                            <w:spacing w:before="0" w:line="203" w:lineRule="exact"/>
                            <w:ind w:left="60" w:right="0" w:firstLine="0"/>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p>
                      </w:txbxContent>
                    </wps:txbx>
                    <wps:bodyPr lIns="0" tIns="0" rIns="0" bIns="0" upright="1"/>
                  </wps:wsp>
                </a:graphicData>
              </a:graphic>
            </wp:anchor>
          </w:drawing>
        </mc:Choice>
        <mc:Fallback>
          <w:pict>
            <v:shape id="_x0000_s1026" o:spid="_x0000_s1026" o:spt="202" type="#_x0000_t202" style="position:absolute;left:0pt;margin-left:415.65pt;margin-top:531.15pt;height:25.4pt;width:41.8pt;mso-position-horizontal-relative:page;mso-position-vertical-relative:page;z-index:-251657216;mso-width-relative:page;mso-height-relative:page;" filled="f" stroked="f" coordsize="21600,21600" o:gfxdata="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FXVQz2gAAAA0BAAAPAAAAAAAAAAEAIAAAACIAAABkcnMvZG93bnJldi54bWxQSwEC&#10;FAAUAAAACACHTuJA5qJcHbkBAABxAwAADgAAAAAAAAABACAAAAApAQAAZHJzL2Uyb0RvYy54bWxQ&#10;SwUGAAAAAAYABgBZAQAAVAUAAAAA&#10;">
              <v:fill on="f" focussize="0,0"/>
              <v:stroke on="f"/>
              <v:imagedata o:title=""/>
              <o:lock v:ext="edit" aspectratio="f"/>
              <v:textbox inset="0mm,0mm,0mm,0mm">
                <w:txbxContent>
                  <w:p>
                    <w:pPr>
                      <w:spacing w:before="0" w:line="203" w:lineRule="exact"/>
                      <w:ind w:left="60" w:right="0" w:firstLine="0"/>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5278755</wp:posOffset>
              </wp:positionH>
              <wp:positionV relativeFrom="page">
                <wp:posOffset>6745605</wp:posOffset>
              </wp:positionV>
              <wp:extent cx="530860" cy="3225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0860" cy="322580"/>
                      </a:xfrm>
                      <a:prstGeom prst="rect">
                        <a:avLst/>
                      </a:prstGeom>
                      <a:noFill/>
                      <a:ln>
                        <a:noFill/>
                      </a:ln>
                    </wps:spPr>
                    <wps:txbx>
                      <w:txbxContent>
                        <w:p>
                          <w:pPr>
                            <w:spacing w:before="0" w:line="203" w:lineRule="exact"/>
                            <w:ind w:left="60" w:right="0" w:firstLine="0"/>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p>
                      </w:txbxContent>
                    </wps:txbx>
                    <wps:bodyPr lIns="0" tIns="0" rIns="0" bIns="0" upright="1"/>
                  </wps:wsp>
                </a:graphicData>
              </a:graphic>
            </wp:anchor>
          </w:drawing>
        </mc:Choice>
        <mc:Fallback>
          <w:pict>
            <v:shape id="_x0000_s1026" o:spid="_x0000_s1026" o:spt="202" type="#_x0000_t202" style="position:absolute;left:0pt;margin-left:415.65pt;margin-top:531.15pt;height:25.4pt;width:41.8pt;mso-position-horizontal-relative:page;mso-position-vertical-relative:page;z-index:-251657216;mso-width-relative:page;mso-height-relative:page;" filled="f" stroked="f" coordsize="21600,21600" o:gfxdata="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FXVQz2gAAAA0BAAAPAAAAAAAAAAEAIAAAACIAAABkcnMvZG93bnJldi54bWxQSwEC&#10;FAAUAAAACACHTuJATUd+gLkBAABxAwAADgAAAAAAAAABACAAAAApAQAAZHJzL2Uyb0RvYy54bWxQ&#10;SwUGAAAAAAYABgBZAQAAVAUAAAAA&#10;">
              <v:fill on="f" focussize="0,0"/>
              <v:stroke on="f"/>
              <v:imagedata o:title=""/>
              <o:lock v:ext="edit" aspectratio="f"/>
              <v:textbox inset="0mm,0mm,0mm,0mm">
                <w:txbxContent>
                  <w:p>
                    <w:pPr>
                      <w:spacing w:before="0" w:line="203" w:lineRule="exact"/>
                      <w:ind w:left="60" w:right="0" w:firstLine="0"/>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8A48B"/>
    <w:multiLevelType w:val="singleLevel"/>
    <w:tmpl w:val="8B68A48B"/>
    <w:lvl w:ilvl="0" w:tentative="0">
      <w:start w:val="1"/>
      <w:numFmt w:val="decimal"/>
      <w:suff w:val="space"/>
      <w:lvlText w:val="%1."/>
      <w:lvlJc w:val="left"/>
    </w:lvl>
  </w:abstractNum>
  <w:abstractNum w:abstractNumId="1">
    <w:nsid w:val="F94C4113"/>
    <w:multiLevelType w:val="singleLevel"/>
    <w:tmpl w:val="F94C4113"/>
    <w:lvl w:ilvl="0" w:tentative="0">
      <w:start w:val="1"/>
      <w:numFmt w:val="decimal"/>
      <w:suff w:val="space"/>
      <w:lvlText w:val="%1."/>
      <w:lvlJc w:val="left"/>
    </w:lvl>
  </w:abstractNum>
  <w:abstractNum w:abstractNumId="2">
    <w:nsid w:val="19CC3CA3"/>
    <w:multiLevelType w:val="singleLevel"/>
    <w:tmpl w:val="19CC3CA3"/>
    <w:lvl w:ilvl="0" w:tentative="0">
      <w:start w:val="1"/>
      <w:numFmt w:val="decimal"/>
      <w:lvlText w:val="%1."/>
      <w:lvlJc w:val="left"/>
      <w:pPr>
        <w:tabs>
          <w:tab w:val="left" w:pos="312"/>
        </w:tabs>
      </w:pPr>
    </w:lvl>
  </w:abstractNum>
  <w:abstractNum w:abstractNumId="3">
    <w:nsid w:val="2533CF70"/>
    <w:multiLevelType w:val="singleLevel"/>
    <w:tmpl w:val="2533CF70"/>
    <w:lvl w:ilvl="0" w:tentative="0">
      <w:start w:val="1"/>
      <w:numFmt w:val="decimal"/>
      <w:lvlText w:val="%1."/>
      <w:lvlJc w:val="left"/>
      <w:pPr>
        <w:tabs>
          <w:tab w:val="left" w:pos="312"/>
        </w:tabs>
      </w:pPr>
    </w:lvl>
  </w:abstractNum>
  <w:abstractNum w:abstractNumId="4">
    <w:nsid w:val="71F8FAC1"/>
    <w:multiLevelType w:val="singleLevel"/>
    <w:tmpl w:val="71F8FAC1"/>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MDc2ZDZhZDIzZjM0OTI2Nzg1ZmMxYzFhMmQ3NTgifQ=="/>
  </w:docVars>
  <w:rsids>
    <w:rsidRoot w:val="366822D7"/>
    <w:rsid w:val="009F4351"/>
    <w:rsid w:val="106263D6"/>
    <w:rsid w:val="164C41FF"/>
    <w:rsid w:val="2A0323E4"/>
    <w:rsid w:val="366822D7"/>
    <w:rsid w:val="42E859D2"/>
    <w:rsid w:val="5DB045DC"/>
    <w:rsid w:val="6B085C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3">
    <w:name w:val="heading 4"/>
    <w:basedOn w:val="1"/>
    <w:next w:val="1"/>
    <w:unhideWhenUsed/>
    <w:qFormat/>
    <w:uiPriority w:val="0"/>
    <w:pPr>
      <w:keepNext/>
      <w:keepLines/>
      <w:spacing w:beforeLines="0" w:beforeAutospacing="0" w:afterLines="0" w:afterAutospacing="0" w:line="240" w:lineRule="auto"/>
      <w:jc w:val="left"/>
      <w:outlineLvl w:val="3"/>
    </w:pPr>
    <w:rPr>
      <w:rFonts w:ascii="Arial" w:hAnsi="Arial" w:eastAsia="宋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宋体" w:hAnsi="宋体" w:eastAsia="宋体" w:cs="宋体"/>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pPr>
      <w:ind w:left="108"/>
    </w:pPr>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5</Pages>
  <Words>2625</Words>
  <Characters>2683</Characters>
  <Lines>0</Lines>
  <Paragraphs>0</Paragraphs>
  <TotalTime>128</TotalTime>
  <ScaleCrop>false</ScaleCrop>
  <LinksUpToDate>false</LinksUpToDate>
  <CharactersWithSpaces>2717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2022-04-29T03:28:00Z</dcterms:created>
  <dc:creator>Administrator</dc:creator>
  <cp:lastModifiedBy>WPS_1489575492</cp:lastModifiedBy>
  <cp:lastPrinted>2024-07-01T01:21:00Z</cp:lastPrinted>
  <dcterms:modified xsi:type="dcterms:W3CDTF">2024-07-01T07:14:06Z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B5B9440487204AD499EF705F53AB7ECA_13</vt:lpwstr>
  </property>
</Properties>
</file>