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ascii="方正小标宋_GBK" w:hAnsi="方正小标宋_GBK" w:eastAsia="方正小标宋_GBK" w:cs="方正小标宋_GBK"/>
          <w:b w:val="0"/>
          <w:bCs w:val="0"/>
          <w:sz w:val="44"/>
          <w:szCs w:val="44"/>
        </w:rPr>
      </w:pPr>
      <w:bookmarkStart w:id="0" w:name="_GoBack"/>
      <w:bookmarkEnd w:id="0"/>
      <w:r>
        <w:rPr>
          <w:rFonts w:hint="eastAsia" w:ascii="方正小标宋_GBK" w:hAnsi="方正小标宋_GBK" w:eastAsia="方正小标宋_GBK" w:cs="方正小标宋_GBK"/>
          <w:b w:val="0"/>
          <w:bCs w:val="0"/>
          <w:sz w:val="44"/>
          <w:szCs w:val="44"/>
        </w:rPr>
        <w:t>玉溪市江川区</w:t>
      </w:r>
      <w:r>
        <w:rPr>
          <w:rFonts w:hint="eastAsia" w:ascii="方正小标宋_GBK" w:hAnsi="方正小标宋_GBK" w:eastAsia="方正小标宋_GBK" w:cs="方正小标宋_GBK"/>
          <w:b w:val="0"/>
          <w:bCs w:val="0"/>
          <w:sz w:val="44"/>
          <w:szCs w:val="44"/>
          <w:lang w:eastAsia="zh-CN"/>
        </w:rPr>
        <w:t>“双通道”</w:t>
      </w:r>
      <w:r>
        <w:rPr>
          <w:rFonts w:hint="eastAsia" w:ascii="方正小标宋_GBK" w:hAnsi="方正小标宋_GBK" w:eastAsia="方正小标宋_GBK" w:cs="方正小标宋_GBK"/>
          <w:b w:val="0"/>
          <w:bCs w:val="0"/>
          <w:sz w:val="44"/>
          <w:szCs w:val="44"/>
        </w:rPr>
        <w:t>定点零售药店</w:t>
      </w: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准入评估工作实施方案</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为贯彻落实《云南省医疗保障局 云南省卫生健康委员会 云南省药品监督管理局关于建立完善国家医保谈判药品</w:t>
      </w:r>
      <w:r>
        <w:rPr>
          <w:rFonts w:hint="eastAsia" w:ascii="Times New Roman" w:hAnsi="Times New Roman" w:eastAsia="方正仿宋_GBK" w:cs="Times New Roman"/>
          <w:sz w:val="32"/>
          <w:szCs w:val="32"/>
          <w:lang w:eastAsia="zh-CN"/>
        </w:rPr>
        <w:t>“双通道”</w:t>
      </w:r>
      <w:r>
        <w:rPr>
          <w:rFonts w:hint="default" w:ascii="Times New Roman" w:hAnsi="Times New Roman" w:eastAsia="方正仿宋_GBK" w:cs="Times New Roman"/>
          <w:sz w:val="32"/>
          <w:szCs w:val="32"/>
        </w:rPr>
        <w:t>管理机制的通知》(云医保〔2021〕130号）、《云南省医疗保障定点管理经办规程（暂行）》（云医保〔2022〕6号）和《玉溪市医疗保障局 玉溪市卫生健康委员会 玉溪市市场监督管理局关于建立完善药品</w:t>
      </w:r>
      <w:r>
        <w:rPr>
          <w:rFonts w:hint="eastAsia" w:ascii="Times New Roman" w:hAnsi="Times New Roman" w:eastAsia="方正仿宋_GBK" w:cs="Times New Roman"/>
          <w:sz w:val="32"/>
          <w:szCs w:val="32"/>
          <w:lang w:eastAsia="zh-CN"/>
        </w:rPr>
        <w:t>“双通道”</w:t>
      </w:r>
      <w:r>
        <w:rPr>
          <w:rFonts w:hint="default" w:ascii="Times New Roman" w:hAnsi="Times New Roman" w:eastAsia="方正仿宋_GBK" w:cs="Times New Roman"/>
          <w:sz w:val="32"/>
          <w:szCs w:val="32"/>
        </w:rPr>
        <w:t>管理机制的通知》（玉医保发〔2022〕10号）文件精神，确保国家谈判药品政策落地见效，发挥定点零售药店在医保药品供应保障方面的积极作用，保障参保人员便利购药需求，结合江川实际制定本方案。</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一、基本原则</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坚持</w:t>
      </w:r>
      <w:r>
        <w:rPr>
          <w:rFonts w:hint="eastAsia" w:ascii="方正仿宋_GBK" w:hAnsi="方正仿宋_GBK" w:eastAsia="方正仿宋_GBK" w:cs="方正仿宋_GBK"/>
          <w:color w:val="auto"/>
          <w:sz w:val="32"/>
          <w:szCs w:val="32"/>
          <w:lang w:val="en-US" w:eastAsia="zh-CN"/>
        </w:rPr>
        <w:t>以人民健康为中心，遵循保障基本、公平公正、动态平衡、</w:t>
      </w:r>
      <w:r>
        <w:rPr>
          <w:rFonts w:hint="eastAsia" w:ascii="方正仿宋_GBK" w:hAnsi="方正仿宋_GBK" w:eastAsia="方正仿宋_GBK" w:cs="方正仿宋_GBK"/>
          <w:color w:val="auto"/>
          <w:sz w:val="32"/>
          <w:szCs w:val="32"/>
        </w:rPr>
        <w:t>合理布点</w:t>
      </w:r>
      <w:r>
        <w:rPr>
          <w:rFonts w:hint="eastAsia" w:ascii="方正仿宋_GBK" w:hAnsi="方正仿宋_GBK" w:eastAsia="方正仿宋_GBK" w:cs="方正仿宋_GBK"/>
          <w:color w:val="auto"/>
          <w:sz w:val="32"/>
          <w:szCs w:val="32"/>
          <w:lang w:val="en-US" w:eastAsia="zh-CN"/>
        </w:rPr>
        <w:t>的原则</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综合考虑参保患者购药的便利性，</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lang w:val="en-US" w:eastAsia="zh-CN"/>
        </w:rPr>
        <w:t>江川</w:t>
      </w:r>
      <w:r>
        <w:rPr>
          <w:rFonts w:hint="eastAsia" w:ascii="方正仿宋_GBK" w:hAnsi="方正仿宋_GBK" w:eastAsia="方正仿宋_GBK" w:cs="方正仿宋_GBK"/>
          <w:color w:val="auto"/>
          <w:sz w:val="32"/>
          <w:szCs w:val="32"/>
        </w:rPr>
        <w:t>区范围内</w:t>
      </w:r>
      <w:r>
        <w:rPr>
          <w:rFonts w:hint="eastAsia" w:ascii="方正仿宋_GBK" w:hAnsi="方正仿宋_GBK" w:eastAsia="方正仿宋_GBK" w:cs="方正仿宋_GBK"/>
          <w:color w:val="auto"/>
          <w:sz w:val="32"/>
          <w:szCs w:val="32"/>
          <w:lang w:val="en-US" w:eastAsia="zh-CN"/>
        </w:rPr>
        <w:t>新增一批“双通道”定点零售药店（包括国家医保</w:t>
      </w:r>
      <w:r>
        <w:rPr>
          <w:rFonts w:hint="eastAsia" w:ascii="方正仿宋_GBK" w:hAnsi="方正仿宋_GBK" w:eastAsia="方正仿宋_GBK" w:cs="方正仿宋_GBK"/>
          <w:color w:val="auto"/>
          <w:sz w:val="32"/>
          <w:szCs w:val="32"/>
        </w:rPr>
        <w:t>谈判药品</w:t>
      </w:r>
      <w:r>
        <w:rPr>
          <w:rFonts w:hint="eastAsia" w:ascii="方正仿宋_GBK" w:hAnsi="方正仿宋_GBK" w:eastAsia="方正仿宋_GBK" w:cs="方正仿宋_GBK"/>
          <w:color w:val="auto"/>
          <w:sz w:val="32"/>
          <w:szCs w:val="32"/>
          <w:lang w:val="en-US" w:eastAsia="zh-CN"/>
        </w:rPr>
        <w:t>、门诊慢性病用药）。</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二、申请范围</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玉溪市江川区符合条件的医疗保险定点零售药店均可自愿申请，国家谈判药</w:t>
      </w:r>
      <w:r>
        <w:rPr>
          <w:rFonts w:hint="default" w:ascii="Times New Roman" w:hAnsi="Times New Roman" w:eastAsia="方正仿宋_GBK" w:cs="Times New Roman"/>
          <w:sz w:val="32"/>
          <w:szCs w:val="32"/>
          <w:lang w:val="en-US" w:eastAsia="zh-CN"/>
        </w:rPr>
        <w:t>品、门诊慢性病用药</w:t>
      </w:r>
      <w:r>
        <w:rPr>
          <w:rFonts w:hint="eastAsia" w:ascii="Times New Roman" w:hAnsi="Times New Roman" w:eastAsia="方正仿宋_GBK" w:cs="Times New Roman"/>
          <w:sz w:val="32"/>
          <w:szCs w:val="32"/>
          <w:lang w:val="en-US" w:eastAsia="zh-CN"/>
        </w:rPr>
        <w:t>“双通道”</w:t>
      </w:r>
      <w:r>
        <w:rPr>
          <w:rFonts w:hint="default" w:ascii="Times New Roman" w:hAnsi="Times New Roman" w:eastAsia="方正仿宋_GBK" w:cs="Times New Roman"/>
          <w:sz w:val="32"/>
          <w:szCs w:val="32"/>
          <w:lang w:val="en-US" w:eastAsia="zh-CN"/>
        </w:rPr>
        <w:t>业务可同时申请，也可只申请其中一项业务。</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三、申报条件</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rPr>
        <w:t>）已取得2年以上定点零售药店资格，202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年1月1日以来没有因医保违法行为被医保行政部门行政处罚且在经营活动中没有重大违法记录</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）截至202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年12月31日，在申请药店注册并签订劳动合同一年以上且在合同期内的执业药师1人以上</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）配备国家医保谈判药品种不低于30%</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建立健全药品进销存制度，台账管理清晰；能按照国家规定使用药品电子追溯码，且能通过扫码的方式实时将进、销、存数据上传至云南省医保信息平台，建立完善药品追溯工作机制</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（五）具有国家GSP冷链认证资质的冷链药品专业冷冻柜（库）或冷藏柜，配备专用应急电源，具备有温湿度实时监控的器材，具备冷链药品配送、储存管理制度和应急预案以及冷链药品配送相关设备</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（六）具备完善的内部管理制度，包括配送管理制度、冷链储存应急预案、冷链药品配送操作规程、患者服务流程管理办法</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（七）具备药店到患者的配送管理及冷链服务能力；具有为患者提供用药提醒、用药指导和随访跟踪等服务管理的能力；建有信息化管理系统</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四、实施步骤</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（一）申报方式。由符合条件的定点零售药店自行向</w:t>
      </w:r>
      <w:r>
        <w:rPr>
          <w:rFonts w:hint="eastAsia" w:ascii="Times New Roman" w:hAnsi="Times New Roman" w:eastAsia="方正仿宋_GBK" w:cs="Times New Roman"/>
          <w:sz w:val="32"/>
          <w:szCs w:val="32"/>
          <w:lang w:val="en-US" w:eastAsia="zh-CN"/>
        </w:rPr>
        <w:t>玉溪市</w:t>
      </w:r>
      <w:r>
        <w:rPr>
          <w:rFonts w:hint="default" w:ascii="Times New Roman" w:hAnsi="Times New Roman" w:eastAsia="方正仿宋_GBK" w:cs="Times New Roman"/>
          <w:sz w:val="32"/>
          <w:szCs w:val="32"/>
        </w:rPr>
        <w:t>江川区</w:t>
      </w:r>
      <w:r>
        <w:rPr>
          <w:rFonts w:hint="eastAsia" w:ascii="Times New Roman" w:hAnsi="Times New Roman" w:eastAsia="方正仿宋_GBK" w:cs="Times New Roman"/>
          <w:sz w:val="32"/>
          <w:szCs w:val="32"/>
          <w:lang w:val="en-US" w:eastAsia="zh-CN"/>
        </w:rPr>
        <w:t>医疗保险</w:t>
      </w:r>
      <w:r>
        <w:rPr>
          <w:rFonts w:hint="default" w:ascii="Times New Roman" w:hAnsi="Times New Roman" w:eastAsia="方正仿宋_GBK" w:cs="Times New Roman"/>
          <w:sz w:val="32"/>
          <w:szCs w:val="32"/>
        </w:rPr>
        <w:t>中心申报，申报材料需提供以下材料：</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1.申请</w:t>
      </w:r>
      <w:r>
        <w:rPr>
          <w:rFonts w:hint="eastAsia" w:ascii="Times New Roman" w:hAnsi="Times New Roman" w:eastAsia="方正仿宋_GBK" w:cs="Times New Roman"/>
          <w:sz w:val="32"/>
          <w:szCs w:val="32"/>
          <w:lang w:eastAsia="zh-CN"/>
        </w:rPr>
        <w:t>“双通道”</w:t>
      </w:r>
      <w:r>
        <w:rPr>
          <w:rFonts w:hint="default" w:ascii="Times New Roman" w:hAnsi="Times New Roman" w:eastAsia="方正仿宋_GBK" w:cs="Times New Roman"/>
          <w:sz w:val="32"/>
          <w:szCs w:val="32"/>
        </w:rPr>
        <w:t>定点零售药店申请表（附件1</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2.承诺书（附件2</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3.国家医保谈判药品配备清单（附件3)</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4.药店上一年度业务收支情况</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5.药品经营许可证、营业执照和法定代表人、主要负责人或实际控制人身份证复印件</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6.执业药师资格证书、注册证书及其参保凭证复印件</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7.职工参保凭证</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8.法定代表人委托书</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9.具备纳入</w:t>
      </w:r>
      <w:r>
        <w:rPr>
          <w:rFonts w:hint="eastAsia" w:ascii="Times New Roman" w:hAnsi="Times New Roman" w:eastAsia="方正仿宋_GBK" w:cs="Times New Roman"/>
          <w:sz w:val="32"/>
          <w:szCs w:val="32"/>
          <w:lang w:eastAsia="zh-CN"/>
        </w:rPr>
        <w:t>“双通道”</w:t>
      </w:r>
      <w:r>
        <w:rPr>
          <w:rFonts w:hint="default" w:ascii="Times New Roman" w:hAnsi="Times New Roman" w:eastAsia="方正仿宋_GBK" w:cs="Times New Roman"/>
          <w:sz w:val="32"/>
          <w:szCs w:val="32"/>
        </w:rPr>
        <w:t>保障能力的有关材料。</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（二）受理时间。</w:t>
      </w:r>
      <w:r>
        <w:rPr>
          <w:rFonts w:hint="eastAsia" w:ascii="Times New Roman" w:hAnsi="Times New Roman" w:eastAsia="方正仿宋_GBK" w:cs="Times New Roman"/>
          <w:sz w:val="32"/>
          <w:szCs w:val="32"/>
          <w:lang w:val="en-US" w:eastAsia="zh-CN"/>
        </w:rPr>
        <w:t>自公告发布10个工作日</w:t>
      </w:r>
      <w:r>
        <w:rPr>
          <w:rFonts w:hint="default" w:ascii="Times New Roman" w:hAnsi="Times New Roman" w:eastAsia="方正仿宋_GBK" w:cs="Times New Roman"/>
          <w:sz w:val="32"/>
          <w:szCs w:val="32"/>
        </w:rPr>
        <w:t>为集中受理期，今后如有调整按具体要求办理。</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（三）现场核查。评审小组对申请药店进行现场核实，重点核实是否具</w:t>
      </w:r>
      <w:r>
        <w:rPr>
          <w:rFonts w:hint="default" w:ascii="Times New Roman" w:hAnsi="Times New Roman" w:eastAsia="方正仿宋_GBK" w:cs="Times New Roman"/>
          <w:sz w:val="32"/>
          <w:szCs w:val="32"/>
          <w:lang w:val="en-US" w:eastAsia="zh-CN"/>
        </w:rPr>
        <w:t>备</w:t>
      </w:r>
      <w:r>
        <w:rPr>
          <w:rFonts w:hint="eastAsia" w:ascii="Times New Roman" w:hAnsi="Times New Roman" w:eastAsia="方正仿宋_GBK" w:cs="Times New Roman"/>
          <w:sz w:val="32"/>
          <w:szCs w:val="32"/>
          <w:lang w:val="en-US" w:eastAsia="zh-CN"/>
        </w:rPr>
        <w:t>“双通道”</w:t>
      </w:r>
      <w:r>
        <w:rPr>
          <w:rFonts w:hint="default" w:ascii="Times New Roman" w:hAnsi="Times New Roman" w:eastAsia="方正仿宋_GBK" w:cs="Times New Roman"/>
          <w:sz w:val="32"/>
          <w:szCs w:val="32"/>
          <w:lang w:val="en-US" w:eastAsia="zh-CN"/>
        </w:rPr>
        <w:t>保障药品</w:t>
      </w:r>
      <w:r>
        <w:rPr>
          <w:rFonts w:hint="default" w:ascii="Times New Roman" w:hAnsi="Times New Roman" w:eastAsia="方正仿宋_GBK" w:cs="Times New Roman"/>
          <w:sz w:val="32"/>
          <w:szCs w:val="32"/>
        </w:rPr>
        <w:t>的购销存和相关保障能力。</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（四）评估认定。评审小组对申报</w:t>
      </w:r>
      <w:r>
        <w:rPr>
          <w:rFonts w:hint="eastAsia" w:ascii="Times New Roman" w:hAnsi="Times New Roman" w:eastAsia="方正仿宋_GBK" w:cs="Times New Roman"/>
          <w:sz w:val="32"/>
          <w:szCs w:val="32"/>
          <w:lang w:eastAsia="zh-CN"/>
        </w:rPr>
        <w:t>“双通道”</w:t>
      </w:r>
      <w:r>
        <w:rPr>
          <w:rFonts w:hint="default" w:ascii="Times New Roman" w:hAnsi="Times New Roman" w:eastAsia="方正仿宋_GBK" w:cs="Times New Roman"/>
          <w:sz w:val="32"/>
          <w:szCs w:val="32"/>
        </w:rPr>
        <w:t>定点零售药店开展评估。评估内容为资格条件、经营品种、管理方案、现场核实情况等。根据《</w:t>
      </w:r>
      <w:r>
        <w:rPr>
          <w:rFonts w:hint="eastAsia" w:ascii="Times New Roman" w:hAnsi="Times New Roman" w:eastAsia="方正仿宋_GBK" w:cs="Times New Roman"/>
          <w:sz w:val="32"/>
          <w:szCs w:val="32"/>
          <w:lang w:eastAsia="zh-CN"/>
        </w:rPr>
        <w:t>“双通道”</w:t>
      </w:r>
      <w:r>
        <w:rPr>
          <w:rFonts w:hint="default" w:ascii="Times New Roman" w:hAnsi="Times New Roman" w:eastAsia="方正仿宋_GBK" w:cs="Times New Roman"/>
          <w:sz w:val="32"/>
          <w:szCs w:val="32"/>
        </w:rPr>
        <w:t>定点零售药店评分标准》（附件4）由评审小组进行评分，评分在85分以上为合格。示最终确定的</w:t>
      </w:r>
      <w:r>
        <w:rPr>
          <w:rFonts w:hint="eastAsia" w:ascii="Times New Roman" w:hAnsi="Times New Roman" w:eastAsia="方正仿宋_GBK" w:cs="Times New Roman"/>
          <w:sz w:val="32"/>
          <w:szCs w:val="32"/>
          <w:lang w:eastAsia="zh-CN"/>
        </w:rPr>
        <w:t>“双通道”</w:t>
      </w:r>
      <w:r>
        <w:rPr>
          <w:rFonts w:hint="default" w:ascii="Times New Roman" w:hAnsi="Times New Roman" w:eastAsia="方正仿宋_GBK" w:cs="Times New Roman"/>
          <w:sz w:val="32"/>
          <w:szCs w:val="32"/>
        </w:rPr>
        <w:t>定点零售药店名单。</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（五）结果公示。由医保部门根据评估结果，在公开媒体上</w:t>
      </w:r>
      <w:r>
        <w:rPr>
          <w:rFonts w:hint="default" w:ascii="Times New Roman" w:hAnsi="Times New Roman" w:eastAsia="方正仿宋_GBK" w:cs="Times New Roman"/>
          <w:sz w:val="32"/>
          <w:szCs w:val="32"/>
          <w:lang w:val="en-US" w:eastAsia="zh-CN"/>
        </w:rPr>
        <w:t>公示最终确定的</w:t>
      </w:r>
      <w:r>
        <w:rPr>
          <w:rFonts w:hint="eastAsia" w:ascii="Times New Roman" w:hAnsi="Times New Roman" w:eastAsia="方正仿宋_GBK" w:cs="Times New Roman"/>
          <w:sz w:val="32"/>
          <w:szCs w:val="32"/>
          <w:lang w:val="en-US" w:eastAsia="zh-CN"/>
        </w:rPr>
        <w:t>“双通道”（或门诊慢性病）</w:t>
      </w:r>
      <w:r>
        <w:rPr>
          <w:rFonts w:hint="default" w:ascii="Times New Roman" w:hAnsi="Times New Roman" w:eastAsia="方正仿宋_GBK" w:cs="Times New Roman"/>
          <w:sz w:val="32"/>
          <w:szCs w:val="32"/>
          <w:lang w:val="en-US" w:eastAsia="zh-CN"/>
        </w:rPr>
        <w:t>定点零售药店名单。</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（六）</w:t>
      </w:r>
      <w:r>
        <w:rPr>
          <w:rFonts w:hint="default" w:ascii="Times New Roman" w:hAnsi="Times New Roman" w:eastAsia="方正仿宋_GBK" w:cs="Times New Roman"/>
          <w:sz w:val="32"/>
          <w:szCs w:val="32"/>
          <w:lang w:val="en-US" w:eastAsia="zh-CN"/>
        </w:rPr>
        <w:t>开通系统</w:t>
      </w:r>
      <w:r>
        <w:rPr>
          <w:rFonts w:hint="default" w:ascii="Times New Roman" w:hAnsi="Times New Roman" w:eastAsia="方正仿宋_GBK" w:cs="Times New Roman"/>
          <w:sz w:val="32"/>
          <w:szCs w:val="32"/>
        </w:rPr>
        <w:t>。公示期结束，对公示结果无异议的，由医疗保险经办机构开通</w:t>
      </w:r>
      <w:r>
        <w:rPr>
          <w:rFonts w:hint="eastAsia" w:ascii="Times New Roman" w:hAnsi="Times New Roman" w:eastAsia="方正仿宋_GBK" w:cs="Times New Roman"/>
          <w:sz w:val="32"/>
          <w:szCs w:val="32"/>
          <w:lang w:eastAsia="zh-CN"/>
        </w:rPr>
        <w:t>“双通道”（</w:t>
      </w:r>
      <w:r>
        <w:rPr>
          <w:rFonts w:hint="eastAsia" w:ascii="Times New Roman" w:hAnsi="Times New Roman" w:eastAsia="方正仿宋_GBK" w:cs="Times New Roman"/>
          <w:sz w:val="32"/>
          <w:szCs w:val="32"/>
          <w:lang w:val="en-US" w:eastAsia="zh-CN"/>
        </w:rPr>
        <w:t>或门诊慢性病</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医保支付系统。</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（七）悬挂标识。</w:t>
      </w:r>
      <w:r>
        <w:rPr>
          <w:rFonts w:hint="eastAsia" w:ascii="Times New Roman" w:hAnsi="Times New Roman" w:eastAsia="方正仿宋_GBK" w:cs="Times New Roman"/>
          <w:sz w:val="32"/>
          <w:szCs w:val="32"/>
          <w:lang w:val="en-US" w:eastAsia="zh-CN"/>
        </w:rPr>
        <w:t>开通“双通道”（或门诊慢性病）支付系统后</w:t>
      </w:r>
      <w:r>
        <w:rPr>
          <w:rFonts w:hint="default" w:ascii="Times New Roman" w:hAnsi="Times New Roman" w:eastAsia="方正仿宋_GBK" w:cs="Times New Roman"/>
          <w:sz w:val="32"/>
          <w:szCs w:val="32"/>
        </w:rPr>
        <w:t>，定点零售药店应及时根据医保部门提供的</w:t>
      </w:r>
      <w:r>
        <w:rPr>
          <w:rFonts w:hint="eastAsia" w:ascii="Times New Roman" w:hAnsi="Times New Roman" w:eastAsia="方正仿宋_GBK" w:cs="Times New Roman"/>
          <w:sz w:val="32"/>
          <w:szCs w:val="32"/>
          <w:lang w:eastAsia="zh-CN"/>
        </w:rPr>
        <w:t>“双通道”</w:t>
      </w:r>
      <w:r>
        <w:rPr>
          <w:rFonts w:hint="eastAsia" w:ascii="Times New Roman" w:hAnsi="Times New Roman" w:eastAsia="方正仿宋_GBK" w:cs="Times New Roman"/>
          <w:sz w:val="32"/>
          <w:szCs w:val="32"/>
          <w:lang w:val="en-US" w:eastAsia="zh-CN"/>
        </w:rPr>
        <w:t>（或门诊慢性病）</w:t>
      </w:r>
      <w:r>
        <w:rPr>
          <w:rFonts w:hint="default" w:ascii="Times New Roman" w:hAnsi="Times New Roman" w:eastAsia="方正仿宋_GBK" w:cs="Times New Roman"/>
          <w:sz w:val="32"/>
          <w:szCs w:val="32"/>
        </w:rPr>
        <w:t>医保标识样式制作标识牌匾并悬挂在门店醒目位置。鼓励有条件的药店公告所保障的国家谈判药品品种等信息。</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五、日常管理</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w:t>
      </w:r>
      <w:r>
        <w:rPr>
          <w:rFonts w:hint="eastAsia" w:ascii="Times New Roman" w:hAnsi="Times New Roman" w:eastAsia="方正仿宋_GBK" w:cs="Times New Roman"/>
          <w:sz w:val="32"/>
          <w:szCs w:val="32"/>
          <w:lang w:eastAsia="zh-CN"/>
        </w:rPr>
        <w:t>“双通道”</w:t>
      </w:r>
      <w:r>
        <w:rPr>
          <w:rFonts w:hint="default" w:ascii="Times New Roman" w:hAnsi="Times New Roman" w:eastAsia="方正仿宋_GBK" w:cs="Times New Roman"/>
          <w:sz w:val="32"/>
          <w:szCs w:val="32"/>
        </w:rPr>
        <w:t>定点零售药店严格执行准入和退出机制，适度竞争、能进能出、动态调整。</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违反医保服务协议被取消</w:t>
      </w:r>
      <w:r>
        <w:rPr>
          <w:rFonts w:hint="eastAsia" w:ascii="Times New Roman" w:hAnsi="Times New Roman" w:eastAsia="方正仿宋_GBK" w:cs="Times New Roman"/>
          <w:sz w:val="32"/>
          <w:szCs w:val="32"/>
          <w:lang w:eastAsia="zh-CN"/>
        </w:rPr>
        <w:t>“双通道”</w:t>
      </w:r>
      <w:r>
        <w:rPr>
          <w:rFonts w:hint="default" w:ascii="Times New Roman" w:hAnsi="Times New Roman" w:eastAsia="方正仿宋_GBK" w:cs="Times New Roman"/>
          <w:sz w:val="32"/>
          <w:szCs w:val="32"/>
        </w:rPr>
        <w:t>定点零售药店资格的两年内不</w:t>
      </w:r>
      <w:r>
        <w:rPr>
          <w:rFonts w:hint="default" w:ascii="Times New Roman" w:hAnsi="Times New Roman" w:eastAsia="方正仿宋_GBK" w:cs="Times New Roman"/>
          <w:sz w:val="32"/>
          <w:szCs w:val="32"/>
          <w:lang w:val="en-US" w:eastAsia="zh-CN"/>
        </w:rPr>
        <w:t>得</w:t>
      </w:r>
      <w:r>
        <w:rPr>
          <w:rFonts w:hint="default" w:ascii="Times New Roman" w:hAnsi="Times New Roman" w:eastAsia="方正仿宋_GBK" w:cs="Times New Roman"/>
          <w:sz w:val="32"/>
          <w:szCs w:val="32"/>
        </w:rPr>
        <w:t>申请。</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rPr>
        <w:t>六、其它工作要</w:t>
      </w:r>
      <w:r>
        <w:rPr>
          <w:rFonts w:hint="eastAsia" w:ascii="方正黑体_GBK" w:hAnsi="方正黑体_GBK" w:eastAsia="方正黑体_GBK" w:cs="方正黑体_GBK"/>
          <w:b w:val="0"/>
          <w:bCs w:val="0"/>
          <w:sz w:val="32"/>
          <w:szCs w:val="32"/>
          <w:lang w:val="en-US" w:eastAsia="zh-CN"/>
        </w:rPr>
        <w:t>求</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其它未尽事宜，按照《关于转发云南省医疗保障局 云南省卫生健康委员会 云南省药品监督管理局 建立完善国家医保谈判药品</w:t>
      </w:r>
      <w:r>
        <w:rPr>
          <w:rFonts w:hint="eastAsia" w:ascii="Times New Roman" w:hAnsi="Times New Roman" w:eastAsia="方正仿宋_GBK" w:cs="Times New Roman"/>
          <w:sz w:val="32"/>
          <w:szCs w:val="32"/>
          <w:lang w:eastAsia="zh-CN"/>
        </w:rPr>
        <w:t>“双通道”</w:t>
      </w:r>
      <w:r>
        <w:rPr>
          <w:rFonts w:hint="default" w:ascii="Times New Roman" w:hAnsi="Times New Roman" w:eastAsia="方正仿宋_GBK" w:cs="Times New Roman"/>
          <w:sz w:val="32"/>
          <w:szCs w:val="32"/>
        </w:rPr>
        <w:t>管理机制的通知》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玉医保发〔2022〕10号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，以及国家、省、市</w:t>
      </w:r>
      <w:r>
        <w:rPr>
          <w:rFonts w:hint="eastAsia" w:ascii="Times New Roman" w:hAnsi="Times New Roman" w:eastAsia="方正仿宋_GBK" w:cs="Times New Roman"/>
          <w:sz w:val="32"/>
          <w:szCs w:val="32"/>
          <w:lang w:eastAsia="zh-CN"/>
        </w:rPr>
        <w:t>“双通道”</w:t>
      </w:r>
      <w:r>
        <w:rPr>
          <w:rFonts w:hint="default" w:ascii="Times New Roman" w:hAnsi="Times New Roman" w:eastAsia="方正仿宋_GBK" w:cs="Times New Roman"/>
          <w:sz w:val="32"/>
          <w:szCs w:val="32"/>
        </w:rPr>
        <w:t>文件执行。</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1.玉溪市</w:t>
      </w:r>
      <w:r>
        <w:rPr>
          <w:rFonts w:hint="eastAsia" w:ascii="Times New Roman" w:hAnsi="Times New Roman" w:eastAsia="方正仿宋_GBK" w:cs="Times New Roman"/>
          <w:sz w:val="32"/>
          <w:szCs w:val="32"/>
          <w:lang w:eastAsia="zh-CN"/>
        </w:rPr>
        <w:t>“双通道”</w:t>
      </w:r>
      <w:r>
        <w:rPr>
          <w:rFonts w:hint="default" w:ascii="Times New Roman" w:hAnsi="Times New Roman" w:eastAsia="方正仿宋_GBK" w:cs="Times New Roman"/>
          <w:sz w:val="32"/>
          <w:szCs w:val="32"/>
        </w:rPr>
        <w:t>定点零售药店申请表</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2.承诺书</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3.国家谈判药品配备清单</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“双通道”</w:t>
      </w:r>
      <w:r>
        <w:rPr>
          <w:rFonts w:hint="default" w:ascii="Times New Roman" w:hAnsi="Times New Roman" w:eastAsia="方正仿宋_GBK" w:cs="Times New Roman"/>
          <w:sz w:val="32"/>
          <w:szCs w:val="32"/>
          <w:lang w:val="en-US" w:eastAsia="zh-CN"/>
        </w:rPr>
        <w:t>定点零售药店评分表</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1600" w:firstLineChars="500"/>
        <w:textAlignment w:val="auto"/>
        <w:rPr>
          <w:rFonts w:hint="default" w:ascii="Times New Roman" w:hAnsi="Times New Roman" w:eastAsia="方正仿宋_GBK" w:cs="Times New Roman"/>
          <w:sz w:val="32"/>
          <w:szCs w:val="32"/>
          <w:lang w:val="en-US" w:eastAsia="zh-CN"/>
        </w:rPr>
      </w:pPr>
      <w:r>
        <w:rPr>
          <w:sz w:val="32"/>
        </w:rPr>
        <w:pict>
          <v:shape id="_x0000_s1026" o:spid="_x0000_s1026" o:spt="201" type="#_x0000_t201" style="position:absolute;left:0pt;margin-left:274.15pt;margin-top:1.9pt;height:113pt;width:113pt;z-index:-251658240;mso-width-relative:page;mso-height-relative:page;" o:ole="t" filled="f" o:preferrelative="t" stroked="f" coordsize="21600,21600">
            <v:path/>
            <v:fill on="f" focussize="0,0"/>
            <v:stroke on="f"/>
            <v:imagedata r:id="rId7" o:title=""/>
            <o:lock v:ext="edit" aspectratio="f"/>
          </v:shape>
          <w:control r:id="rId6" w:name="CWordOLECtrl1" w:shapeid="_x0000_s1026"/>
        </w:pic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1600" w:firstLineChars="500"/>
        <w:jc w:val="righ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玉溪市江川区医疗保障局</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5440" w:firstLineChars="17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2024年</w:t>
      </w:r>
      <w:r>
        <w:rPr>
          <w:rFonts w:hint="default"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lang w:val="en-US" w:eastAsia="zh-CN"/>
        </w:rPr>
        <w:t>月1日</w:t>
      </w:r>
    </w:p>
    <w:p>
      <w:pPr>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br w:type="page"/>
      </w:r>
    </w:p>
    <w:p>
      <w:pPr>
        <w:pageBreakBefore w:val="0"/>
        <w:widowControl w:val="0"/>
        <w:kinsoku/>
        <w:wordWrap/>
        <w:overflowPunct/>
        <w:topLinePunct w:val="0"/>
        <w:autoSpaceDE/>
        <w:autoSpaceDN/>
        <w:bidi w:val="0"/>
        <w:adjustRightInd/>
        <w:snapToGrid/>
        <w:spacing w:line="596" w:lineRule="exac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附件1</w:t>
      </w:r>
    </w:p>
    <w:tbl>
      <w:tblPr>
        <w:tblStyle w:val="8"/>
        <w:tblW w:w="89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11"/>
        <w:gridCol w:w="2370"/>
        <w:gridCol w:w="432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80" w:hRule="atLeast"/>
        </w:trPr>
        <w:tc>
          <w:tcPr>
            <w:tcW w:w="1211" w:type="dxa"/>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2370" w:type="dxa"/>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4320" w:type="dxa"/>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1080" w:type="dxa"/>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8981" w:type="dxa"/>
            <w:gridSpan w:val="4"/>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8981" w:type="dxa"/>
            <w:gridSpan w:val="4"/>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_GBK" w:cs="Times New Roman"/>
                <w:i w:val="0"/>
                <w:color w:val="auto"/>
                <w:kern w:val="0"/>
                <w:sz w:val="56"/>
                <w:szCs w:val="56"/>
                <w:u w:val="none"/>
                <w:lang w:val="en-US" w:eastAsia="zh-CN" w:bidi="ar"/>
              </w:rPr>
            </w:pPr>
            <w:r>
              <w:rPr>
                <w:rFonts w:hint="default" w:ascii="Times New Roman" w:hAnsi="Times New Roman" w:eastAsia="方正小标宋_GBK" w:cs="Times New Roman"/>
                <w:i w:val="0"/>
                <w:color w:val="auto"/>
                <w:kern w:val="0"/>
                <w:sz w:val="56"/>
                <w:szCs w:val="56"/>
                <w:u w:val="none"/>
                <w:lang w:val="en-US" w:eastAsia="zh-CN" w:bidi="ar"/>
              </w:rPr>
              <w:t>玉溪市</w:t>
            </w:r>
            <w:r>
              <w:rPr>
                <w:rFonts w:hint="eastAsia" w:ascii="Times New Roman" w:hAnsi="Times New Roman" w:eastAsia="方正小标宋_GBK" w:cs="Times New Roman"/>
                <w:i w:val="0"/>
                <w:color w:val="auto"/>
                <w:kern w:val="0"/>
                <w:sz w:val="56"/>
                <w:szCs w:val="56"/>
                <w:u w:val="none"/>
                <w:lang w:val="en-US" w:eastAsia="zh-CN" w:bidi="ar"/>
              </w:rPr>
              <w:t>“</w:t>
            </w:r>
            <w:r>
              <w:rPr>
                <w:rFonts w:hint="default" w:ascii="Times New Roman" w:hAnsi="Times New Roman" w:eastAsia="方正小标宋_GBK" w:cs="Times New Roman"/>
                <w:i w:val="0"/>
                <w:color w:val="auto"/>
                <w:kern w:val="0"/>
                <w:sz w:val="56"/>
                <w:szCs w:val="56"/>
                <w:u w:val="none"/>
                <w:lang w:val="en-US" w:eastAsia="zh-CN" w:bidi="ar"/>
              </w:rPr>
              <w:t>双通道</w:t>
            </w:r>
            <w:r>
              <w:rPr>
                <w:rFonts w:hint="eastAsia" w:ascii="Times New Roman" w:hAnsi="Times New Roman" w:eastAsia="方正小标宋_GBK" w:cs="Times New Roman"/>
                <w:i w:val="0"/>
                <w:color w:val="auto"/>
                <w:kern w:val="0"/>
                <w:sz w:val="56"/>
                <w:szCs w:val="56"/>
                <w:u w:val="none"/>
                <w:lang w:val="en-US" w:eastAsia="zh-CN" w:bidi="ar"/>
              </w:rPr>
              <w:t>”</w:t>
            </w:r>
            <w:r>
              <w:rPr>
                <w:rFonts w:hint="default" w:ascii="Times New Roman" w:hAnsi="Times New Roman" w:eastAsia="方正小标宋_GBK" w:cs="Times New Roman"/>
                <w:i w:val="0"/>
                <w:color w:val="auto"/>
                <w:kern w:val="0"/>
                <w:sz w:val="56"/>
                <w:szCs w:val="56"/>
                <w:u w:val="none"/>
                <w:lang w:val="en-US" w:eastAsia="zh-CN" w:bidi="ar"/>
              </w:rPr>
              <w:t>定点零售药店</w:t>
            </w:r>
          </w:p>
          <w:p>
            <w:pPr>
              <w:keepNext w:val="0"/>
              <w:keepLines w:val="0"/>
              <w:widowControl/>
              <w:suppressLineNumbers w:val="0"/>
              <w:jc w:val="center"/>
              <w:textAlignment w:val="center"/>
              <w:rPr>
                <w:rFonts w:hint="default" w:ascii="Times New Roman" w:hAnsi="Times New Roman" w:eastAsia="宋体" w:cs="Times New Roman"/>
                <w:i w:val="0"/>
                <w:color w:val="auto"/>
                <w:sz w:val="56"/>
                <w:szCs w:val="56"/>
                <w:u w:val="none"/>
              </w:rPr>
            </w:pPr>
            <w:r>
              <w:rPr>
                <w:rFonts w:hint="default" w:ascii="Times New Roman" w:hAnsi="Times New Roman" w:eastAsia="方正小标宋_GBK" w:cs="Times New Roman"/>
                <w:i w:val="0"/>
                <w:color w:val="auto"/>
                <w:kern w:val="0"/>
                <w:sz w:val="56"/>
                <w:szCs w:val="56"/>
                <w:u w:val="none"/>
                <w:lang w:val="en-US" w:eastAsia="zh-CN" w:bidi="ar"/>
              </w:rPr>
              <w:t>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11" w:type="dxa"/>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2370" w:type="dxa"/>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4320" w:type="dxa"/>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1080" w:type="dxa"/>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40" w:hRule="atLeast"/>
        </w:trPr>
        <w:tc>
          <w:tcPr>
            <w:tcW w:w="1211" w:type="dxa"/>
            <w:tcBorders>
              <w:bottom w:val="nil"/>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2370" w:type="dxa"/>
            <w:tcBorders>
              <w:bottom w:val="nil"/>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4320" w:type="dxa"/>
            <w:tcBorders>
              <w:bottom w:val="nil"/>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1080" w:type="dxa"/>
            <w:tcBorders>
              <w:bottom w:val="nil"/>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211" w:type="dxa"/>
            <w:tcBorders>
              <w:top w:val="nil"/>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2370" w:type="dxa"/>
            <w:tcBorders>
              <w:top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40"/>
                <w:szCs w:val="40"/>
                <w:u w:val="none"/>
              </w:rPr>
            </w:pPr>
            <w:r>
              <w:rPr>
                <w:rFonts w:hint="eastAsia" w:ascii="方正仿宋_GBK" w:hAnsi="方正仿宋_GBK" w:eastAsia="方正仿宋_GBK" w:cs="方正仿宋_GBK"/>
                <w:i w:val="0"/>
                <w:color w:val="auto"/>
                <w:kern w:val="0"/>
                <w:sz w:val="40"/>
                <w:szCs w:val="40"/>
                <w:u w:val="none"/>
                <w:lang w:val="en-US" w:eastAsia="zh-CN" w:bidi="ar"/>
              </w:rPr>
              <w:t>申 请 单 位</w:t>
            </w:r>
          </w:p>
        </w:tc>
        <w:tc>
          <w:tcPr>
            <w:tcW w:w="4320" w:type="dxa"/>
            <w:tcBorders>
              <w:top w:val="nil"/>
              <w:bottom w:val="single" w:color="auto" w:sz="4" w:space="0"/>
            </w:tcBorders>
            <w:shd w:val="clear" w:color="auto" w:fill="auto"/>
            <w:tcMar>
              <w:top w:w="15" w:type="dxa"/>
              <w:left w:w="15" w:type="dxa"/>
              <w:right w:w="15" w:type="dxa"/>
            </w:tcMar>
            <w:vAlign w:val="center"/>
          </w:tcPr>
          <w:p>
            <w:pPr>
              <w:rPr>
                <w:rFonts w:hint="eastAsia" w:ascii="方正仿宋_GBK" w:hAnsi="方正仿宋_GBK" w:eastAsia="方正仿宋_GBK" w:cs="方正仿宋_GBK"/>
                <w:i w:val="0"/>
                <w:color w:val="auto"/>
                <w:sz w:val="24"/>
                <w:szCs w:val="24"/>
                <w:u w:val="single"/>
              </w:rPr>
            </w:pPr>
          </w:p>
        </w:tc>
        <w:tc>
          <w:tcPr>
            <w:tcW w:w="1080" w:type="dxa"/>
            <w:tcBorders>
              <w:top w:val="nil"/>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211" w:type="dxa"/>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2370" w:type="dxa"/>
            <w:shd w:val="clear" w:color="auto" w:fill="auto"/>
            <w:tcMar>
              <w:top w:w="15" w:type="dxa"/>
              <w:left w:w="15" w:type="dxa"/>
              <w:right w:w="15" w:type="dxa"/>
            </w:tcMar>
            <w:vAlign w:val="center"/>
          </w:tcPr>
          <w:p>
            <w:pPr>
              <w:rPr>
                <w:rFonts w:hint="eastAsia" w:ascii="方正仿宋_GBK" w:hAnsi="方正仿宋_GBK" w:eastAsia="方正仿宋_GBK" w:cs="方正仿宋_GBK"/>
                <w:i w:val="0"/>
                <w:color w:val="auto"/>
                <w:sz w:val="40"/>
                <w:szCs w:val="40"/>
                <w:u w:val="none"/>
              </w:rPr>
            </w:pPr>
          </w:p>
        </w:tc>
        <w:tc>
          <w:tcPr>
            <w:tcW w:w="4320" w:type="dxa"/>
            <w:tcBorders>
              <w:top w:val="single" w:color="auto" w:sz="4" w:space="0"/>
            </w:tcBorders>
            <w:shd w:val="clear" w:color="auto" w:fill="auto"/>
            <w:tcMar>
              <w:top w:w="15" w:type="dxa"/>
              <w:left w:w="15" w:type="dxa"/>
              <w:right w:w="15" w:type="dxa"/>
            </w:tcMar>
            <w:vAlign w:val="center"/>
          </w:tcPr>
          <w:p>
            <w:pPr>
              <w:rPr>
                <w:rFonts w:hint="eastAsia" w:ascii="方正仿宋_GBK" w:hAnsi="方正仿宋_GBK" w:eastAsia="方正仿宋_GBK" w:cs="方正仿宋_GBK"/>
                <w:i w:val="0"/>
                <w:color w:val="auto"/>
                <w:sz w:val="24"/>
                <w:szCs w:val="24"/>
                <w:u w:val="none"/>
              </w:rPr>
            </w:pPr>
          </w:p>
        </w:tc>
        <w:tc>
          <w:tcPr>
            <w:tcW w:w="1080" w:type="dxa"/>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211" w:type="dxa"/>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237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40"/>
                <w:szCs w:val="40"/>
                <w:u w:val="none"/>
              </w:rPr>
            </w:pPr>
            <w:r>
              <w:rPr>
                <w:rFonts w:hint="eastAsia" w:ascii="方正仿宋_GBK" w:hAnsi="方正仿宋_GBK" w:eastAsia="方正仿宋_GBK" w:cs="方正仿宋_GBK"/>
                <w:i w:val="0"/>
                <w:color w:val="auto"/>
                <w:kern w:val="0"/>
                <w:sz w:val="40"/>
                <w:szCs w:val="40"/>
                <w:u w:val="none"/>
                <w:lang w:val="en-US" w:eastAsia="zh-CN" w:bidi="ar"/>
              </w:rPr>
              <w:t>申 请 时 间</w:t>
            </w:r>
          </w:p>
        </w:tc>
        <w:tc>
          <w:tcPr>
            <w:tcW w:w="4320" w:type="dxa"/>
            <w:tcBorders>
              <w:bottom w:val="single" w:color="auto" w:sz="4" w:space="0"/>
            </w:tcBorders>
            <w:shd w:val="clear" w:color="auto" w:fill="auto"/>
            <w:tcMar>
              <w:top w:w="15" w:type="dxa"/>
              <w:left w:w="15" w:type="dxa"/>
              <w:right w:w="15" w:type="dxa"/>
            </w:tcMar>
            <w:vAlign w:val="center"/>
          </w:tcPr>
          <w:p>
            <w:pPr>
              <w:rPr>
                <w:rFonts w:hint="eastAsia" w:ascii="方正仿宋_GBK" w:hAnsi="方正仿宋_GBK" w:eastAsia="方正仿宋_GBK" w:cs="方正仿宋_GBK"/>
                <w:i w:val="0"/>
                <w:color w:val="auto"/>
                <w:sz w:val="24"/>
                <w:szCs w:val="24"/>
                <w:u w:val="none"/>
              </w:rPr>
            </w:pPr>
          </w:p>
        </w:tc>
        <w:tc>
          <w:tcPr>
            <w:tcW w:w="1080" w:type="dxa"/>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11" w:type="dxa"/>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2370" w:type="dxa"/>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4320" w:type="dxa"/>
            <w:tcBorders>
              <w:top w:val="single" w:color="auto"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1080" w:type="dxa"/>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40" w:hRule="atLeast"/>
        </w:trPr>
        <w:tc>
          <w:tcPr>
            <w:tcW w:w="1211" w:type="dxa"/>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2370" w:type="dxa"/>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4320" w:type="dxa"/>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1080" w:type="dxa"/>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8981" w:type="dxa"/>
            <w:gridSpan w:val="4"/>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32"/>
                <w:szCs w:val="32"/>
                <w:u w:val="none"/>
                <w:lang w:val="en-US" w:eastAsia="zh-CN" w:bidi="ar"/>
              </w:rPr>
              <w:t>玉溪市医疗保障局编制</w:t>
            </w:r>
          </w:p>
          <w:p>
            <w:pPr>
              <w:rPr>
                <w:rFonts w:hint="default" w:ascii="Times New Roman" w:hAnsi="Times New Roman" w:eastAsia="宋体" w:cs="Times New Roman"/>
                <w:i w:val="0"/>
                <w:color w:val="auto"/>
                <w:sz w:val="24"/>
                <w:szCs w:val="24"/>
                <w:u w:val="none"/>
              </w:rPr>
            </w:pPr>
          </w:p>
        </w:tc>
      </w:tr>
    </w:tbl>
    <w:p>
      <w:pPr>
        <w:rPr>
          <w:rFonts w:hint="default" w:ascii="Times New Roman" w:hAnsi="Times New Roman" w:eastAsia="仿宋_GB2312" w:cs="Times New Roman"/>
          <w:sz w:val="32"/>
          <w:szCs w:val="32"/>
          <w:lang w:val="en-US" w:eastAsia="zh-CN"/>
        </w:rPr>
      </w:pPr>
    </w:p>
    <w:p>
      <w:pPr>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填 写 要 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eastAsiaTheme="minorEastAsia"/>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一</w:t>
      </w:r>
      <w:r>
        <w:rPr>
          <w:rFonts w:hint="default" w:ascii="Times New Roman" w:hAnsi="Times New Roman" w:eastAsia="方正仿宋_GBK" w:cs="Times New Roman"/>
          <w:color w:val="auto"/>
          <w:sz w:val="32"/>
          <w:szCs w:val="32"/>
        </w:rPr>
        <w:t>、此表要求字迹工整清楚</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二</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所列相关数据应真实、准确</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“申请内容”一栏由</w:t>
      </w:r>
      <w:r>
        <w:rPr>
          <w:rFonts w:hint="default" w:ascii="Times New Roman" w:hAnsi="Times New Roman" w:eastAsia="方正仿宋_GBK" w:cs="Times New Roman"/>
          <w:color w:val="auto"/>
          <w:sz w:val="32"/>
          <w:szCs w:val="32"/>
          <w:lang w:val="en-US" w:eastAsia="zh-CN"/>
        </w:rPr>
        <w:t>申请的定点</w:t>
      </w:r>
      <w:r>
        <w:rPr>
          <w:rFonts w:hint="default" w:ascii="Times New Roman" w:hAnsi="Times New Roman" w:eastAsia="方正仿宋_GBK" w:cs="Times New Roman"/>
          <w:color w:val="auto"/>
          <w:sz w:val="32"/>
          <w:szCs w:val="32"/>
        </w:rPr>
        <w:t>零售药店填写签订医保服务协议意向</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定点零售药店向医保经办机构提交本申请表时，须按《关于转发&lt;云南省医疗保障局云南省卫生健康委员会云南省药品监督管理局关于建立完善国家医保谈判药品“双通道”管理机制的通知&gt;的通知》要求提供相关证明资料</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并提供上一年度业务收支情况。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五、药店附属业务是指除药品、医疗器械等销售业务以外的其他业务</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如</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药店内设诊所等</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其中具体业务情况描述是指输液床位、输液椅数量、具体的理疗或治疗项目等情况。无此类业务无须填写。</w:t>
      </w: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rPr>
      </w:pPr>
    </w:p>
    <w:p>
      <w:pPr>
        <w:rPr>
          <w:rFonts w:hint="default" w:ascii="Times New Roman" w:hAnsi="Times New Roman" w:cs="Times New Roman"/>
        </w:rPr>
      </w:pPr>
    </w:p>
    <w:tbl>
      <w:tblPr>
        <w:tblStyle w:val="8"/>
        <w:tblW w:w="10435" w:type="dxa"/>
        <w:tblInd w:w="-7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57"/>
        <w:gridCol w:w="1638"/>
        <w:gridCol w:w="2189"/>
        <w:gridCol w:w="2448"/>
        <w:gridCol w:w="25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药店名称</w:t>
            </w:r>
          </w:p>
        </w:tc>
        <w:tc>
          <w:tcPr>
            <w:tcW w:w="71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 xml:space="preserve">    单位地址</w:t>
            </w:r>
          </w:p>
        </w:tc>
        <w:tc>
          <w:tcPr>
            <w:tcW w:w="2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联系电话</w:t>
            </w:r>
          </w:p>
        </w:tc>
        <w:tc>
          <w:tcPr>
            <w:tcW w:w="2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3" w:hRule="atLeast"/>
        </w:trPr>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 xml:space="preserve">    营业执照号</w:t>
            </w:r>
          </w:p>
        </w:tc>
        <w:tc>
          <w:tcPr>
            <w:tcW w:w="2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 xml:space="preserve">营业面积 </w:t>
            </w:r>
          </w:p>
        </w:tc>
        <w:tc>
          <w:tcPr>
            <w:tcW w:w="2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法定代表人</w:t>
            </w:r>
          </w:p>
        </w:tc>
        <w:tc>
          <w:tcPr>
            <w:tcW w:w="2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联系人</w:t>
            </w:r>
          </w:p>
        </w:tc>
        <w:tc>
          <w:tcPr>
            <w:tcW w:w="2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所有制形式</w:t>
            </w:r>
          </w:p>
        </w:tc>
        <w:tc>
          <w:tcPr>
            <w:tcW w:w="2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上级业务主管部门</w:t>
            </w:r>
          </w:p>
        </w:tc>
        <w:tc>
          <w:tcPr>
            <w:tcW w:w="2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药品经营许可证发证机关</w:t>
            </w:r>
          </w:p>
        </w:tc>
        <w:tc>
          <w:tcPr>
            <w:tcW w:w="2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许可证号码</w:t>
            </w:r>
          </w:p>
        </w:tc>
        <w:tc>
          <w:tcPr>
            <w:tcW w:w="2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药店所处经纬度坐标</w:t>
            </w:r>
          </w:p>
        </w:tc>
        <w:tc>
          <w:tcPr>
            <w:tcW w:w="71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单位开户银行及账号</w:t>
            </w:r>
          </w:p>
        </w:tc>
        <w:tc>
          <w:tcPr>
            <w:tcW w:w="71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16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人员构成</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药学技术人员数</w:t>
            </w:r>
          </w:p>
        </w:tc>
        <w:tc>
          <w:tcPr>
            <w:tcW w:w="71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药学技术人员      人，其中驻店执业药师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lang w:val="en-US"/>
              </w:rPr>
            </w:pPr>
            <w:r>
              <w:rPr>
                <w:rFonts w:hint="default" w:ascii="Times New Roman" w:hAnsi="Times New Roman" w:eastAsia="方正仿宋_GBK" w:cs="Times New Roman"/>
                <w:i w:val="0"/>
                <w:color w:val="auto"/>
                <w:kern w:val="0"/>
                <w:sz w:val="24"/>
                <w:szCs w:val="24"/>
                <w:u w:val="none"/>
                <w:lang w:val="en-US" w:eastAsia="zh-CN" w:bidi="ar"/>
              </w:rPr>
              <w:t>营业人员数</w:t>
            </w:r>
          </w:p>
        </w:tc>
        <w:tc>
          <w:tcPr>
            <w:tcW w:w="71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atLeast"/>
        </w:trPr>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其他人员数</w:t>
            </w:r>
          </w:p>
        </w:tc>
        <w:tc>
          <w:tcPr>
            <w:tcW w:w="71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合计人数</w:t>
            </w:r>
          </w:p>
        </w:tc>
        <w:tc>
          <w:tcPr>
            <w:tcW w:w="71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atLeast"/>
        </w:trPr>
        <w:tc>
          <w:tcPr>
            <w:tcW w:w="16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业务情况</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药品经营品种</w:t>
            </w:r>
          </w:p>
        </w:tc>
        <w:tc>
          <w:tcPr>
            <w:tcW w:w="71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共有    个，其中：西药   个，中成药   个，中草药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药品购进渠道</w:t>
            </w:r>
          </w:p>
        </w:tc>
        <w:tc>
          <w:tcPr>
            <w:tcW w:w="71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上年度业务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收入</w:t>
            </w:r>
          </w:p>
        </w:tc>
        <w:tc>
          <w:tcPr>
            <w:tcW w:w="2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总收入：       元</w:t>
            </w:r>
          </w:p>
        </w:tc>
        <w:tc>
          <w:tcPr>
            <w:tcW w:w="2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1440" w:hanging="1440" w:hangingChars="600"/>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医保个人账户收入：        元</w:t>
            </w:r>
          </w:p>
        </w:tc>
        <w:tc>
          <w:tcPr>
            <w:tcW w:w="2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其他业务收入：                             元（慢性病医保支付）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参加社会保险</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签订劳动合</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同：    人</w:t>
            </w:r>
          </w:p>
        </w:tc>
        <w:tc>
          <w:tcPr>
            <w:tcW w:w="71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参加养老保险   人；</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auto"/>
                <w:sz w:val="24"/>
                <w:szCs w:val="24"/>
                <w:u w:val="none"/>
                <w:lang w:val="en-US"/>
              </w:rPr>
            </w:pPr>
            <w:r>
              <w:rPr>
                <w:rFonts w:hint="default" w:ascii="Times New Roman" w:hAnsi="Times New Roman" w:eastAsia="方正仿宋_GBK" w:cs="Times New Roman"/>
                <w:i w:val="0"/>
                <w:color w:val="auto"/>
                <w:kern w:val="0"/>
                <w:sz w:val="24"/>
                <w:szCs w:val="24"/>
                <w:u w:val="none"/>
                <w:lang w:val="en-US" w:eastAsia="zh-CN" w:bidi="ar"/>
              </w:rPr>
              <w:t>参加医疗保险       人，参加生育保险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16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药店附属业务情况</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附属业务名称</w:t>
            </w:r>
          </w:p>
        </w:tc>
        <w:tc>
          <w:tcPr>
            <w:tcW w:w="2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开展业务范围</w:t>
            </w:r>
          </w:p>
        </w:tc>
        <w:tc>
          <w:tcPr>
            <w:tcW w:w="2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具体业务情况描述</w:t>
            </w:r>
          </w:p>
        </w:tc>
        <w:tc>
          <w:tcPr>
            <w:tcW w:w="2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从业人员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atLeast"/>
        </w:trPr>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atLeast"/>
        </w:trPr>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r>
    </w:tbl>
    <w:tbl>
      <w:tblPr>
        <w:tblStyle w:val="8"/>
        <w:tblpPr w:leftFromText="180" w:rightFromText="180" w:vertAnchor="text" w:horzAnchor="page" w:tblpX="802" w:tblpY="181"/>
        <w:tblOverlap w:val="never"/>
        <w:tblW w:w="104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65"/>
        <w:gridCol w:w="8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1665"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药店简介</w:t>
            </w:r>
          </w:p>
        </w:tc>
        <w:tc>
          <w:tcPr>
            <w:tcW w:w="8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30"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bl>
    <w:p>
      <w:pPr>
        <w:rPr>
          <w:rFonts w:hint="default" w:ascii="Times New Roman" w:hAnsi="Times New Roman" w:eastAsia="方正仿宋_GBK" w:cs="Times New Roman"/>
          <w:color w:val="auto"/>
        </w:rPr>
      </w:pPr>
    </w:p>
    <w:p>
      <w:pPr>
        <w:rPr>
          <w:rFonts w:hint="default" w:ascii="Times New Roman" w:hAnsi="Times New Roman" w:eastAsia="方正仿宋_GBK" w:cs="Times New Roman"/>
          <w:color w:val="auto"/>
        </w:rPr>
      </w:pPr>
    </w:p>
    <w:tbl>
      <w:tblPr>
        <w:tblStyle w:val="8"/>
        <w:tblW w:w="10260" w:type="dxa"/>
        <w:tblInd w:w="-6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70"/>
        <w:gridCol w:w="3135"/>
        <w:gridCol w:w="378"/>
        <w:gridCol w:w="1903"/>
        <w:gridCol w:w="1980"/>
        <w:gridCol w:w="1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4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国家医保谈判药品经营情况</w:t>
            </w:r>
          </w:p>
        </w:tc>
        <w:tc>
          <w:tcPr>
            <w:tcW w:w="31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是否专营国家医保谈判药品</w:t>
            </w:r>
          </w:p>
        </w:tc>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i w:val="0"/>
                <w:color w:val="auto"/>
                <w:sz w:val="24"/>
                <w:szCs w:val="24"/>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国家医保谈判药品专柜使用面积</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4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31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国家医保谈判药品品种</w:t>
            </w:r>
          </w:p>
        </w:tc>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 xml:space="preserve">             个</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药品覆盖病种</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 xml:space="preserve">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4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药品购销差率</w:t>
            </w:r>
          </w:p>
        </w:tc>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i w:val="0"/>
                <w:color w:val="auto"/>
                <w:sz w:val="24"/>
                <w:szCs w:val="24"/>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药品配送上门服务方式</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4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合作的物流配送企业名称</w:t>
            </w:r>
          </w:p>
        </w:tc>
        <w:tc>
          <w:tcPr>
            <w:tcW w:w="56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470" w:type="dxa"/>
            <w:vMerge w:val="continue"/>
            <w:tcBorders>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313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信息服务平台搭建方式及开发商（第三方）名称</w:t>
            </w:r>
          </w:p>
        </w:tc>
        <w:tc>
          <w:tcPr>
            <w:tcW w:w="5655" w:type="dxa"/>
            <w:gridSpan w:val="4"/>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47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慢性病药品</w:t>
            </w:r>
          </w:p>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lang w:val="en-US"/>
              </w:rPr>
            </w:pPr>
            <w:r>
              <w:rPr>
                <w:rFonts w:hint="default" w:ascii="Times New Roman" w:hAnsi="Times New Roman" w:eastAsia="方正仿宋_GBK" w:cs="Times New Roman"/>
                <w:i w:val="0"/>
                <w:color w:val="auto"/>
                <w:kern w:val="0"/>
                <w:sz w:val="24"/>
                <w:szCs w:val="24"/>
                <w:u w:val="none"/>
                <w:lang w:val="en-US" w:eastAsia="zh-CN" w:bidi="ar"/>
              </w:rPr>
              <w:t>经营情况</w:t>
            </w:r>
          </w:p>
        </w:tc>
        <w:tc>
          <w:tcPr>
            <w:tcW w:w="31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慢性病药品品种</w:t>
            </w:r>
          </w:p>
        </w:tc>
        <w:tc>
          <w:tcPr>
            <w:tcW w:w="5655"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4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31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慢性病药品专柜使用面积</w:t>
            </w:r>
          </w:p>
        </w:tc>
        <w:tc>
          <w:tcPr>
            <w:tcW w:w="5655"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4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31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合作的物流配送企业名称</w:t>
            </w:r>
          </w:p>
        </w:tc>
        <w:tc>
          <w:tcPr>
            <w:tcW w:w="5655"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4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31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信息服务平台搭建方式及开发商（第三方）名称</w:t>
            </w:r>
          </w:p>
        </w:tc>
        <w:tc>
          <w:tcPr>
            <w:tcW w:w="5655"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申请内容</w:t>
            </w:r>
          </w:p>
        </w:tc>
        <w:tc>
          <w:tcPr>
            <w:tcW w:w="8790" w:type="dxa"/>
            <w:gridSpan w:val="5"/>
            <w:tcBorders>
              <w:top w:val="single" w:color="000000" w:sz="4" w:space="0"/>
              <w:left w:val="nil"/>
              <w:bottom w:val="nil"/>
              <w:right w:val="single" w:color="000000" w:sz="4" w:space="0"/>
            </w:tcBorders>
            <w:shd w:val="clear" w:color="auto" w:fill="auto"/>
            <w:tcMar>
              <w:top w:w="15" w:type="dxa"/>
              <w:left w:w="15" w:type="dxa"/>
              <w:right w:w="15" w:type="dxa"/>
            </w:tcMar>
            <w:vAlign w:val="bottom"/>
          </w:tcPr>
          <w:p>
            <w:pP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 xml:space="preserve">申请“双通道”定点零售药店（国家医保谈判药 </w:t>
            </w:r>
            <w:r>
              <w:rPr>
                <w:rFonts w:hint="default" w:ascii="Times New Roman" w:hAnsi="Times New Roman" w:eastAsia="方正仿宋_GBK" w:cs="Times New Roman"/>
                <w:i w:val="0"/>
                <w:color w:val="auto"/>
                <w:kern w:val="0"/>
                <w:sz w:val="24"/>
                <w:szCs w:val="24"/>
                <w:u w:val="none"/>
                <w:lang w:val="en-US" w:eastAsia="zh-CN" w:bidi="ar"/>
              </w:rPr>
              <w:sym w:font="Wingdings" w:char="00A8"/>
            </w:r>
            <w:r>
              <w:rPr>
                <w:rFonts w:hint="default" w:ascii="Times New Roman" w:hAnsi="Times New Roman" w:eastAsia="方正仿宋_GBK" w:cs="Times New Roman"/>
                <w:i w:val="0"/>
                <w:color w:val="auto"/>
                <w:kern w:val="0"/>
                <w:sz w:val="24"/>
                <w:szCs w:val="24"/>
                <w:u w:val="none"/>
                <w:lang w:val="en-US" w:eastAsia="zh-CN" w:bidi="ar"/>
              </w:rPr>
              <w:t xml:space="preserve"> 门诊慢性病用药 </w:t>
            </w:r>
            <w:r>
              <w:rPr>
                <w:rFonts w:hint="default" w:ascii="Times New Roman" w:hAnsi="Times New Roman" w:eastAsia="方正仿宋_GBK" w:cs="Times New Roman"/>
                <w:i w:val="0"/>
                <w:color w:val="auto"/>
                <w:kern w:val="0"/>
                <w:sz w:val="24"/>
                <w:szCs w:val="24"/>
                <w:u w:val="none"/>
                <w:lang w:val="en-US" w:eastAsia="zh-CN" w:bidi="ar"/>
              </w:rPr>
              <w:sym w:font="Wingdings" w:char="00A8"/>
            </w:r>
            <w:r>
              <w:rPr>
                <w:rFonts w:hint="default" w:ascii="Times New Roman" w:hAnsi="Times New Roman" w:eastAsia="方正仿宋_GBK" w:cs="Times New Roman"/>
                <w:i w:val="0"/>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04"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3135"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Times New Roman" w:hAnsi="Times New Roman" w:eastAsia="方正仿宋_GBK" w:cs="Times New Roman"/>
                <w:i w:val="0"/>
                <w:color w:val="auto"/>
                <w:sz w:val="24"/>
                <w:szCs w:val="24"/>
                <w:u w:val="none"/>
              </w:rPr>
            </w:pPr>
          </w:p>
        </w:tc>
        <w:tc>
          <w:tcPr>
            <w:tcW w:w="378"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Times New Roman" w:hAnsi="Times New Roman" w:eastAsia="方正仿宋_GBK" w:cs="Times New Roman"/>
                <w:i w:val="0"/>
                <w:color w:val="auto"/>
                <w:sz w:val="24"/>
                <w:szCs w:val="24"/>
                <w:u w:val="none"/>
              </w:rPr>
            </w:pPr>
          </w:p>
        </w:tc>
        <w:tc>
          <w:tcPr>
            <w:tcW w:w="1903"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Times New Roman" w:hAnsi="Times New Roman" w:eastAsia="方正仿宋_GBK" w:cs="Times New Roman"/>
                <w:i w:val="0"/>
                <w:color w:val="auto"/>
                <w:sz w:val="24"/>
                <w:szCs w:val="24"/>
                <w:u w:val="none"/>
              </w:rPr>
            </w:pPr>
          </w:p>
        </w:tc>
        <w:tc>
          <w:tcPr>
            <w:tcW w:w="1980"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c>
          <w:tcPr>
            <w:tcW w:w="1394" w:type="dxa"/>
            <w:tcBorders>
              <w:top w:val="nil"/>
              <w:left w:val="nil"/>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3135"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c>
          <w:tcPr>
            <w:tcW w:w="378"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c>
          <w:tcPr>
            <w:tcW w:w="1903"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c>
          <w:tcPr>
            <w:tcW w:w="198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（申请单位印章）</w:t>
            </w:r>
          </w:p>
        </w:tc>
        <w:tc>
          <w:tcPr>
            <w:tcW w:w="1394" w:type="dxa"/>
            <w:tcBorders>
              <w:top w:val="nil"/>
              <w:left w:val="nil"/>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313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法定代表人签字：</w:t>
            </w:r>
          </w:p>
        </w:tc>
        <w:tc>
          <w:tcPr>
            <w:tcW w:w="378"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c>
          <w:tcPr>
            <w:tcW w:w="1903"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c>
          <w:tcPr>
            <w:tcW w:w="1980"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c>
          <w:tcPr>
            <w:tcW w:w="1394" w:type="dxa"/>
            <w:tcBorders>
              <w:top w:val="nil"/>
              <w:left w:val="nil"/>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1"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3135"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c>
          <w:tcPr>
            <w:tcW w:w="378"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c>
          <w:tcPr>
            <w:tcW w:w="1903"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c>
          <w:tcPr>
            <w:tcW w:w="198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年    月    日</w:t>
            </w:r>
          </w:p>
        </w:tc>
        <w:tc>
          <w:tcPr>
            <w:tcW w:w="1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6"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医疗保险经办机构审查意见</w:t>
            </w:r>
          </w:p>
        </w:tc>
        <w:tc>
          <w:tcPr>
            <w:tcW w:w="3135"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c>
          <w:tcPr>
            <w:tcW w:w="378"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c>
          <w:tcPr>
            <w:tcW w:w="1903"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c>
          <w:tcPr>
            <w:tcW w:w="1980"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c>
          <w:tcPr>
            <w:tcW w:w="1394" w:type="dxa"/>
            <w:tcBorders>
              <w:top w:val="nil"/>
              <w:left w:val="nil"/>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3135"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c>
          <w:tcPr>
            <w:tcW w:w="378"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c>
          <w:tcPr>
            <w:tcW w:w="1903"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c>
          <w:tcPr>
            <w:tcW w:w="198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（印章）</w:t>
            </w:r>
          </w:p>
        </w:tc>
        <w:tc>
          <w:tcPr>
            <w:tcW w:w="1394" w:type="dxa"/>
            <w:tcBorders>
              <w:top w:val="nil"/>
              <w:left w:val="nil"/>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3135"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c>
          <w:tcPr>
            <w:tcW w:w="378"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c>
          <w:tcPr>
            <w:tcW w:w="1903"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c>
          <w:tcPr>
            <w:tcW w:w="198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年    月    日</w:t>
            </w:r>
          </w:p>
        </w:tc>
        <w:tc>
          <w:tcPr>
            <w:tcW w:w="1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r>
    </w:tbl>
    <w:p>
      <w:pPr>
        <w:rPr>
          <w:rFonts w:hint="default" w:ascii="Times New Roman" w:hAnsi="Times New Roman" w:eastAsia="方正仿宋_GBK" w:cs="Times New Roman"/>
          <w:color w:val="auto"/>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596" w:lineRule="exact"/>
        <w:textAlignment w:val="auto"/>
        <w:rPr>
          <w:rFonts w:hint="eastAsia" w:ascii="方正黑体_GBK" w:hAnsi="方正黑体_GBK" w:eastAsia="方正黑体_GBK" w:cs="方正黑体_GBK"/>
          <w:color w:val="333333"/>
          <w:sz w:val="32"/>
          <w:szCs w:val="32"/>
          <w:lang w:val="en-US" w:eastAsia="zh-CN"/>
        </w:rPr>
      </w:pPr>
      <w:r>
        <w:rPr>
          <w:rFonts w:hint="eastAsia" w:ascii="方正黑体_GBK" w:hAnsi="方正黑体_GBK" w:eastAsia="方正黑体_GBK" w:cs="方正黑体_GBK"/>
          <w:color w:val="333333"/>
          <w:sz w:val="32"/>
          <w:szCs w:val="32"/>
        </w:rPr>
        <w:t>附件</w:t>
      </w:r>
      <w:r>
        <w:rPr>
          <w:rFonts w:hint="eastAsia" w:ascii="方正黑体_GBK" w:hAnsi="方正黑体_GBK" w:eastAsia="方正黑体_GBK" w:cs="方正黑体_GBK"/>
          <w:color w:val="333333"/>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default" w:ascii="Times New Roman" w:hAnsi="Times New Roman" w:eastAsia="方正仿宋_GBK" w:cs="Times New Roman"/>
          <w:color w:val="333333"/>
          <w:kern w:val="0"/>
          <w:sz w:val="32"/>
          <w:szCs w:val="32"/>
          <w:lang w:val="en-US" w:eastAsia="zh-CN" w:bidi="ar-SA"/>
        </w:rPr>
      </w:pPr>
      <w:r>
        <w:rPr>
          <w:rFonts w:hint="eastAsia" w:ascii="方正小标宋_GBK" w:hAnsi="方正小标宋_GBK" w:eastAsia="方正小标宋_GBK" w:cs="方正小标宋_GBK"/>
          <w:color w:val="333333"/>
          <w:kern w:val="0"/>
          <w:sz w:val="44"/>
          <w:szCs w:val="44"/>
          <w:lang w:val="en-US" w:eastAsia="zh-CN" w:bidi="ar-SA"/>
        </w:rPr>
        <w:t>“双通道”定点零售药店承诺书</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玉溪市江川区医疗保险中心：</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333333"/>
          <w:sz w:val="32"/>
          <w:szCs w:val="32"/>
          <w:lang w:val="en-US" w:eastAsia="zh-CN"/>
        </w:rPr>
        <w:t>为</w:t>
      </w:r>
      <w:r>
        <w:rPr>
          <w:rFonts w:hint="default" w:ascii="Times New Roman" w:hAnsi="Times New Roman" w:eastAsia="方正仿宋_GBK" w:cs="Times New Roman"/>
          <w:color w:val="333333"/>
          <w:sz w:val="32"/>
          <w:szCs w:val="32"/>
        </w:rPr>
        <w:t>保障广大参保患者用药需求</w:t>
      </w:r>
      <w:r>
        <w:rPr>
          <w:rFonts w:hint="default" w:ascii="Times New Roman" w:hAnsi="Times New Roman" w:eastAsia="方正仿宋_GBK" w:cs="Times New Roman"/>
          <w:color w:val="333333"/>
          <w:sz w:val="32"/>
          <w:szCs w:val="32"/>
          <w:lang w:eastAsia="zh-CN"/>
        </w:rPr>
        <w:t>，</w:t>
      </w:r>
      <w:r>
        <w:rPr>
          <w:rFonts w:hint="default" w:ascii="Times New Roman" w:hAnsi="Times New Roman" w:eastAsia="方正仿宋_GBK" w:cs="Times New Roman"/>
          <w:sz w:val="32"/>
          <w:szCs w:val="32"/>
          <w:lang w:val="en-US" w:eastAsia="zh-CN"/>
        </w:rPr>
        <w:t>拓宽基本医疗保险药品保障渠道，提高参保患者用药可及性和便利性，本店自愿申请成为“双通道”定点零售药店。作如下承诺：</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b w:val="0"/>
          <w:bCs w:val="0"/>
          <w:sz w:val="32"/>
          <w:szCs w:val="32"/>
          <w:lang w:val="en-US" w:eastAsia="zh-CN"/>
        </w:rPr>
        <w:t>严格执行国家、省、市关于建立完善国家医保谈判药品“双通道”管理机制的一切规定和要求。</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二、承诺向医保经办机构提供的所有与本项目有关的数据、情况和技术资料真实有效。</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三、承诺做到在店内销售的协议期内国家医保谈判药品执行国家统一的支付标准，协议期内国家谈判仿制药以云南省药品招标平台的挂网价作为支付标准，低于支付标准的以实际采购价格支付。</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四、承诺做到自觉接受医保行政部门和医保经办机构的监督管理，合法合规开展“双通道”药品销售工作。</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如我单位违反上述承诺，将自动放弃成为玉溪市江川区“双通道”定点零售药店，同意医保部门取消“双通道”定点零售药店资格。</w:t>
      </w:r>
    </w:p>
    <w:p>
      <w:pPr>
        <w:keepNext w:val="0"/>
        <w:keepLines w:val="0"/>
        <w:pageBreakBefore w:val="0"/>
        <w:widowControl w:val="0"/>
        <w:kinsoku/>
        <w:wordWrap/>
        <w:overflowPunct/>
        <w:topLinePunct w:val="0"/>
        <w:autoSpaceDE/>
        <w:autoSpaceDN/>
        <w:bidi w:val="0"/>
        <w:adjustRightInd/>
        <w:snapToGrid/>
        <w:spacing w:line="596" w:lineRule="exact"/>
        <w:ind w:firstLine="3200" w:firstLineChars="10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申请门店名称：</w:t>
      </w:r>
    </w:p>
    <w:p>
      <w:pPr>
        <w:keepNext w:val="0"/>
        <w:keepLines w:val="0"/>
        <w:pageBreakBefore w:val="0"/>
        <w:widowControl w:val="0"/>
        <w:kinsoku/>
        <w:wordWrap/>
        <w:overflowPunct/>
        <w:topLinePunct w:val="0"/>
        <w:autoSpaceDE/>
        <w:autoSpaceDN/>
        <w:bidi w:val="0"/>
        <w:adjustRightInd/>
        <w:snapToGrid/>
        <w:spacing w:line="596" w:lineRule="exact"/>
        <w:ind w:firstLine="3200" w:firstLineChars="10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承诺单位：(所属企业盖章)</w:t>
      </w:r>
    </w:p>
    <w:p>
      <w:pPr>
        <w:keepNext w:val="0"/>
        <w:keepLines w:val="0"/>
        <w:pageBreakBefore w:val="0"/>
        <w:widowControl w:val="0"/>
        <w:kinsoku/>
        <w:wordWrap/>
        <w:overflowPunct/>
        <w:topLinePunct w:val="0"/>
        <w:autoSpaceDE/>
        <w:autoSpaceDN/>
        <w:bidi w:val="0"/>
        <w:adjustRightInd/>
        <w:snapToGrid/>
        <w:spacing w:line="596" w:lineRule="exact"/>
        <w:ind w:firstLine="3200" w:firstLineChars="10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法定代表人：（签字）</w:t>
      </w:r>
    </w:p>
    <w:p>
      <w:pPr>
        <w:keepNext w:val="0"/>
        <w:keepLines w:val="0"/>
        <w:pageBreakBefore w:val="0"/>
        <w:widowControl w:val="0"/>
        <w:kinsoku/>
        <w:wordWrap/>
        <w:overflowPunct/>
        <w:topLinePunct w:val="0"/>
        <w:autoSpaceDE/>
        <w:autoSpaceDN/>
        <w:bidi w:val="0"/>
        <w:adjustRightInd/>
        <w:snapToGrid/>
        <w:spacing w:line="596" w:lineRule="exact"/>
        <w:ind w:firstLine="3200" w:firstLineChars="10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日  期：     </w:t>
      </w:r>
      <w:r>
        <w:rPr>
          <w:rFonts w:hint="default" w:ascii="Times New Roman" w:hAnsi="Times New Roman" w:eastAsia="方正仿宋_GBK" w:cs="Times New Roman"/>
          <w:sz w:val="32"/>
          <w:szCs w:val="32"/>
          <w:lang w:val="en-US" w:eastAsia="zh-CN"/>
        </w:rPr>
        <w:t>年  月  日</w:t>
      </w:r>
    </w:p>
    <w:p>
      <w:pPr>
        <w:pStyle w:val="7"/>
        <w:spacing w:before="0" w:beforeAutospacing="0" w:after="0" w:afterAutospacing="0" w:line="600" w:lineRule="atLeast"/>
        <w:jc w:val="both"/>
        <w:rPr>
          <w:rFonts w:hint="default" w:ascii="Times New Roman" w:hAnsi="Times New Roman" w:eastAsia="方正仿宋_GBK" w:cs="Times New Roman"/>
          <w:color w:val="333333"/>
          <w:sz w:val="30"/>
          <w:szCs w:val="30"/>
          <w:lang w:val="en-US" w:eastAsia="zh-CN"/>
        </w:rPr>
      </w:pPr>
      <w:r>
        <w:rPr>
          <w:rFonts w:hint="eastAsia" w:ascii="方正黑体_GBK" w:hAnsi="方正黑体_GBK" w:eastAsia="方正黑体_GBK" w:cs="方正黑体_GBK"/>
          <w:color w:val="333333"/>
          <w:sz w:val="32"/>
          <w:szCs w:val="32"/>
          <w:lang w:eastAsia="zh-CN"/>
        </w:rPr>
        <w:t>附件</w:t>
      </w:r>
      <w:r>
        <w:rPr>
          <w:rFonts w:hint="eastAsia" w:ascii="方正黑体_GBK" w:hAnsi="方正黑体_GBK" w:eastAsia="方正黑体_GBK" w:cs="方正黑体_GBK"/>
          <w:color w:val="333333"/>
          <w:sz w:val="32"/>
          <w:szCs w:val="32"/>
          <w:lang w:val="en-US" w:eastAsia="zh-CN"/>
        </w:rPr>
        <w:t>3</w:t>
      </w:r>
    </w:p>
    <w:p>
      <w:pPr>
        <w:pStyle w:val="7"/>
        <w:spacing w:before="0" w:beforeAutospacing="0" w:after="0" w:afterAutospacing="0" w:line="600" w:lineRule="atLeast"/>
        <w:jc w:val="center"/>
        <w:rPr>
          <w:rFonts w:hint="eastAsia" w:ascii="方正小标宋_GBK" w:hAnsi="方正小标宋_GBK" w:eastAsia="方正小标宋_GBK" w:cs="方正小标宋_GBK"/>
          <w:b w:val="0"/>
          <w:bCs w:val="0"/>
          <w:color w:val="333333"/>
          <w:sz w:val="44"/>
          <w:szCs w:val="44"/>
        </w:rPr>
      </w:pPr>
      <w:r>
        <w:rPr>
          <w:rFonts w:hint="eastAsia" w:ascii="方正小标宋_GBK" w:hAnsi="方正小标宋_GBK" w:eastAsia="方正小标宋_GBK" w:cs="方正小标宋_GBK"/>
          <w:b w:val="0"/>
          <w:bCs w:val="0"/>
          <w:color w:val="333333"/>
          <w:sz w:val="44"/>
          <w:szCs w:val="44"/>
        </w:rPr>
        <w:t>国家医保谈判药品配备清单</w:t>
      </w:r>
    </w:p>
    <w:p>
      <w:pPr>
        <w:pStyle w:val="7"/>
        <w:spacing w:before="0" w:beforeAutospacing="0" w:after="0" w:afterAutospacing="0" w:line="600" w:lineRule="atLeast"/>
        <w:rPr>
          <w:rFonts w:hint="eastAsia" w:ascii="方正楷体_GBK" w:hAnsi="方正楷体_GBK" w:eastAsia="方正楷体_GBK" w:cs="方正楷体_GBK"/>
          <w:color w:val="333333"/>
          <w:sz w:val="28"/>
          <w:szCs w:val="28"/>
        </w:rPr>
      </w:pPr>
      <w:r>
        <w:rPr>
          <w:rFonts w:hint="eastAsia" w:ascii="方正楷体_GBK" w:hAnsi="方正楷体_GBK" w:eastAsia="方正楷体_GBK" w:cs="方正楷体_GBK"/>
          <w:color w:val="333333"/>
          <w:sz w:val="28"/>
          <w:szCs w:val="28"/>
        </w:rPr>
        <w:t>定点零售药店名称（签章）：</w:t>
      </w:r>
    </w:p>
    <w:tbl>
      <w:tblPr>
        <w:tblStyle w:val="8"/>
        <w:tblW w:w="8966" w:type="dxa"/>
        <w:jc w:val="center"/>
        <w:tblCellSpacing w:w="0" w:type="dxa"/>
        <w:tblLayout w:type="fixed"/>
        <w:tblCellMar>
          <w:top w:w="0" w:type="dxa"/>
          <w:left w:w="0" w:type="dxa"/>
          <w:bottom w:w="0" w:type="dxa"/>
          <w:right w:w="0" w:type="dxa"/>
        </w:tblCellMar>
      </w:tblPr>
      <w:tblGrid>
        <w:gridCol w:w="973"/>
        <w:gridCol w:w="1155"/>
        <w:gridCol w:w="1292"/>
        <w:gridCol w:w="1110"/>
        <w:gridCol w:w="1429"/>
        <w:gridCol w:w="2098"/>
        <w:gridCol w:w="909"/>
      </w:tblGrid>
      <w:tr>
        <w:tblPrEx>
          <w:tblCellMar>
            <w:top w:w="0" w:type="dxa"/>
            <w:left w:w="0" w:type="dxa"/>
            <w:bottom w:w="0" w:type="dxa"/>
            <w:right w:w="0" w:type="dxa"/>
          </w:tblCellMar>
        </w:tblPrEx>
        <w:trPr>
          <w:trHeight w:val="540" w:hRule="atLeast"/>
          <w:tblCellSpacing w:w="0" w:type="dxa"/>
          <w:jc w:val="center"/>
        </w:trPr>
        <w:tc>
          <w:tcPr>
            <w:tcW w:w="973"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center"/>
          </w:tcPr>
          <w:p>
            <w:pPr>
              <w:pStyle w:val="7"/>
              <w:spacing w:before="0" w:beforeAutospacing="0" w:after="0" w:afterAutospacing="0" w:line="600" w:lineRule="atLeast"/>
              <w:jc w:val="center"/>
              <w:textAlignment w:val="center"/>
              <w:rPr>
                <w:rFonts w:hint="default" w:ascii="Times New Roman" w:hAnsi="Times New Roman" w:eastAsia="方正仿宋_GBK" w:cs="Times New Roman"/>
                <w:color w:val="333333"/>
                <w:sz w:val="24"/>
                <w:szCs w:val="24"/>
              </w:rPr>
            </w:pPr>
            <w:r>
              <w:rPr>
                <w:rFonts w:hint="default" w:ascii="Times New Roman" w:hAnsi="Times New Roman" w:eastAsia="方正仿宋_GBK" w:cs="Times New Roman"/>
                <w:color w:val="333333"/>
                <w:sz w:val="24"/>
                <w:szCs w:val="24"/>
              </w:rPr>
              <w:t>序号</w:t>
            </w:r>
          </w:p>
        </w:tc>
        <w:tc>
          <w:tcPr>
            <w:tcW w:w="1155" w:type="dxa"/>
            <w:tcBorders>
              <w:top w:val="single" w:color="000000" w:sz="6" w:space="0"/>
              <w:left w:val="nil"/>
              <w:bottom w:val="single" w:color="000000" w:sz="6" w:space="0"/>
              <w:right w:val="single" w:color="000000" w:sz="6" w:space="0"/>
            </w:tcBorders>
            <w:tcMar>
              <w:top w:w="15" w:type="dxa"/>
              <w:left w:w="15" w:type="dxa"/>
              <w:right w:w="15" w:type="dxa"/>
            </w:tcMar>
            <w:vAlign w:val="center"/>
          </w:tcPr>
          <w:p>
            <w:pPr>
              <w:pStyle w:val="7"/>
              <w:spacing w:before="0" w:beforeAutospacing="0" w:after="0" w:afterAutospacing="0" w:line="600" w:lineRule="atLeast"/>
              <w:jc w:val="center"/>
              <w:textAlignment w:val="center"/>
              <w:rPr>
                <w:rFonts w:hint="default" w:ascii="Times New Roman" w:hAnsi="Times New Roman" w:eastAsia="方正仿宋_GBK" w:cs="Times New Roman"/>
                <w:color w:val="333333"/>
                <w:sz w:val="24"/>
                <w:szCs w:val="24"/>
              </w:rPr>
            </w:pPr>
            <w:r>
              <w:rPr>
                <w:rFonts w:hint="default" w:ascii="Times New Roman" w:hAnsi="Times New Roman" w:eastAsia="方正仿宋_GBK" w:cs="Times New Roman"/>
                <w:color w:val="333333"/>
                <w:sz w:val="24"/>
                <w:szCs w:val="24"/>
              </w:rPr>
              <w:t>药品名称</w:t>
            </w:r>
          </w:p>
        </w:tc>
        <w:tc>
          <w:tcPr>
            <w:tcW w:w="1292" w:type="dxa"/>
            <w:tcBorders>
              <w:top w:val="single" w:color="000000" w:sz="6" w:space="0"/>
              <w:left w:val="nil"/>
              <w:bottom w:val="single" w:color="000000" w:sz="6" w:space="0"/>
              <w:right w:val="single" w:color="000000" w:sz="6" w:space="0"/>
            </w:tcBorders>
            <w:tcMar>
              <w:top w:w="15" w:type="dxa"/>
              <w:left w:w="15" w:type="dxa"/>
              <w:right w:w="15" w:type="dxa"/>
            </w:tcMar>
            <w:vAlign w:val="center"/>
          </w:tcPr>
          <w:p>
            <w:pPr>
              <w:pStyle w:val="7"/>
              <w:spacing w:before="0" w:beforeAutospacing="0" w:after="0" w:afterAutospacing="0" w:line="600" w:lineRule="atLeast"/>
              <w:jc w:val="center"/>
              <w:textAlignment w:val="center"/>
              <w:rPr>
                <w:rFonts w:hint="default" w:ascii="Times New Roman" w:hAnsi="Times New Roman" w:eastAsia="方正仿宋_GBK" w:cs="Times New Roman"/>
                <w:color w:val="333333"/>
                <w:sz w:val="24"/>
                <w:szCs w:val="24"/>
              </w:rPr>
            </w:pPr>
            <w:r>
              <w:rPr>
                <w:rFonts w:hint="default" w:ascii="Times New Roman" w:hAnsi="Times New Roman" w:eastAsia="方正仿宋_GBK" w:cs="Times New Roman"/>
                <w:color w:val="333333"/>
                <w:sz w:val="24"/>
                <w:szCs w:val="24"/>
              </w:rPr>
              <w:t>规格</w:t>
            </w:r>
          </w:p>
        </w:tc>
        <w:tc>
          <w:tcPr>
            <w:tcW w:w="1110" w:type="dxa"/>
            <w:tcBorders>
              <w:top w:val="single" w:color="000000" w:sz="6" w:space="0"/>
              <w:left w:val="nil"/>
              <w:bottom w:val="single" w:color="000000" w:sz="6" w:space="0"/>
              <w:right w:val="single" w:color="000000" w:sz="6" w:space="0"/>
            </w:tcBorders>
            <w:tcMar>
              <w:top w:w="15" w:type="dxa"/>
              <w:left w:w="15" w:type="dxa"/>
              <w:right w:w="15" w:type="dxa"/>
            </w:tcMar>
            <w:vAlign w:val="center"/>
          </w:tcPr>
          <w:p>
            <w:pPr>
              <w:pStyle w:val="7"/>
              <w:spacing w:before="0" w:beforeAutospacing="0" w:after="0" w:afterAutospacing="0" w:line="600" w:lineRule="atLeast"/>
              <w:jc w:val="center"/>
              <w:textAlignment w:val="center"/>
              <w:rPr>
                <w:rFonts w:hint="default" w:ascii="Times New Roman" w:hAnsi="Times New Roman" w:eastAsia="方正仿宋_GBK" w:cs="Times New Roman"/>
                <w:color w:val="333333"/>
                <w:sz w:val="24"/>
                <w:szCs w:val="24"/>
              </w:rPr>
            </w:pPr>
            <w:r>
              <w:rPr>
                <w:rFonts w:hint="default" w:ascii="Times New Roman" w:hAnsi="Times New Roman" w:eastAsia="方正仿宋_GBK" w:cs="Times New Roman"/>
                <w:color w:val="333333"/>
                <w:sz w:val="24"/>
                <w:szCs w:val="24"/>
              </w:rPr>
              <w:t>产地</w:t>
            </w:r>
          </w:p>
        </w:tc>
        <w:tc>
          <w:tcPr>
            <w:tcW w:w="1429" w:type="dxa"/>
            <w:tcBorders>
              <w:top w:val="single" w:color="000000" w:sz="6" w:space="0"/>
              <w:left w:val="nil"/>
              <w:bottom w:val="single" w:color="000000" w:sz="6" w:space="0"/>
              <w:right w:val="single" w:color="000000" w:sz="6" w:space="0"/>
            </w:tcBorders>
            <w:tcMar>
              <w:top w:w="15" w:type="dxa"/>
              <w:left w:w="15" w:type="dxa"/>
              <w:right w:w="15" w:type="dxa"/>
            </w:tcMar>
            <w:vAlign w:val="center"/>
          </w:tcPr>
          <w:p>
            <w:pPr>
              <w:pStyle w:val="7"/>
              <w:spacing w:before="0" w:beforeAutospacing="0" w:after="0" w:afterAutospacing="0" w:line="600" w:lineRule="atLeast"/>
              <w:jc w:val="center"/>
              <w:textAlignment w:val="center"/>
              <w:rPr>
                <w:rFonts w:hint="default" w:ascii="Times New Roman" w:hAnsi="Times New Roman" w:eastAsia="方正仿宋_GBK" w:cs="Times New Roman"/>
                <w:color w:val="333333"/>
                <w:sz w:val="24"/>
                <w:szCs w:val="24"/>
              </w:rPr>
            </w:pPr>
            <w:r>
              <w:rPr>
                <w:rFonts w:hint="default" w:ascii="Times New Roman" w:hAnsi="Times New Roman" w:eastAsia="方正仿宋_GBK" w:cs="Times New Roman"/>
                <w:color w:val="333333"/>
                <w:sz w:val="24"/>
                <w:szCs w:val="24"/>
              </w:rPr>
              <w:t>价格</w:t>
            </w:r>
          </w:p>
        </w:tc>
        <w:tc>
          <w:tcPr>
            <w:tcW w:w="2098" w:type="dxa"/>
            <w:tcBorders>
              <w:top w:val="single" w:color="000000" w:sz="6" w:space="0"/>
              <w:left w:val="nil"/>
              <w:bottom w:val="single" w:color="000000" w:sz="6" w:space="0"/>
              <w:right w:val="single" w:color="000000" w:sz="6" w:space="0"/>
            </w:tcBorders>
            <w:tcMar>
              <w:top w:w="15" w:type="dxa"/>
              <w:left w:w="15" w:type="dxa"/>
              <w:right w:w="15" w:type="dxa"/>
            </w:tcMar>
            <w:vAlign w:val="center"/>
          </w:tcPr>
          <w:p>
            <w:pPr>
              <w:pStyle w:val="7"/>
              <w:spacing w:before="0" w:beforeAutospacing="0" w:after="0" w:afterAutospacing="0" w:line="600" w:lineRule="atLeast"/>
              <w:jc w:val="center"/>
              <w:textAlignment w:val="center"/>
              <w:rPr>
                <w:rFonts w:hint="default" w:ascii="Times New Roman" w:hAnsi="Times New Roman" w:eastAsia="方正仿宋_GBK" w:cs="Times New Roman"/>
                <w:color w:val="333333"/>
                <w:sz w:val="24"/>
                <w:szCs w:val="24"/>
              </w:rPr>
            </w:pPr>
            <w:r>
              <w:rPr>
                <w:rFonts w:hint="default" w:ascii="Times New Roman" w:hAnsi="Times New Roman" w:eastAsia="方正仿宋_GBK" w:cs="Times New Roman"/>
                <w:color w:val="333333"/>
                <w:sz w:val="24"/>
                <w:szCs w:val="24"/>
              </w:rPr>
              <w:t>配送企业</w:t>
            </w:r>
          </w:p>
        </w:tc>
        <w:tc>
          <w:tcPr>
            <w:tcW w:w="909" w:type="dxa"/>
            <w:tcBorders>
              <w:top w:val="single" w:color="000000" w:sz="6" w:space="0"/>
              <w:left w:val="nil"/>
              <w:bottom w:val="single" w:color="000000" w:sz="6" w:space="0"/>
              <w:right w:val="single" w:color="000000" w:sz="6" w:space="0"/>
            </w:tcBorders>
            <w:tcMar>
              <w:top w:w="15" w:type="dxa"/>
              <w:left w:w="15" w:type="dxa"/>
              <w:right w:w="15" w:type="dxa"/>
            </w:tcMar>
            <w:vAlign w:val="center"/>
          </w:tcPr>
          <w:p>
            <w:pPr>
              <w:pStyle w:val="7"/>
              <w:spacing w:before="0" w:beforeAutospacing="0" w:after="0" w:afterAutospacing="0" w:line="600" w:lineRule="atLeast"/>
              <w:jc w:val="center"/>
              <w:textAlignment w:val="center"/>
              <w:rPr>
                <w:rFonts w:hint="default" w:ascii="Times New Roman" w:hAnsi="Times New Roman" w:eastAsia="方正仿宋_GBK" w:cs="Times New Roman"/>
                <w:color w:val="333333"/>
                <w:sz w:val="24"/>
                <w:szCs w:val="24"/>
              </w:rPr>
            </w:pPr>
            <w:r>
              <w:rPr>
                <w:rFonts w:hint="default" w:ascii="Times New Roman" w:hAnsi="Times New Roman" w:eastAsia="方正仿宋_GBK" w:cs="Times New Roman"/>
                <w:color w:val="333333"/>
                <w:sz w:val="24"/>
                <w:szCs w:val="24"/>
              </w:rPr>
              <w:t>备注</w:t>
            </w:r>
          </w:p>
        </w:tc>
      </w:tr>
      <w:tr>
        <w:tblPrEx>
          <w:tblCellMar>
            <w:top w:w="0" w:type="dxa"/>
            <w:left w:w="0" w:type="dxa"/>
            <w:bottom w:w="0" w:type="dxa"/>
            <w:right w:w="0" w:type="dxa"/>
          </w:tblCellMar>
        </w:tblPrEx>
        <w:trPr>
          <w:trHeight w:val="585" w:hRule="atLeast"/>
          <w:tblCellSpacing w:w="0" w:type="dxa"/>
          <w:jc w:val="center"/>
        </w:trPr>
        <w:tc>
          <w:tcPr>
            <w:tcW w:w="973" w:type="dxa"/>
            <w:tcBorders>
              <w:top w:val="nil"/>
              <w:left w:val="single" w:color="000000" w:sz="6" w:space="0"/>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155"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292"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110"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429"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2098"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909"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r>
      <w:tr>
        <w:tblPrEx>
          <w:tblCellMar>
            <w:top w:w="0" w:type="dxa"/>
            <w:left w:w="0" w:type="dxa"/>
            <w:bottom w:w="0" w:type="dxa"/>
            <w:right w:w="0" w:type="dxa"/>
          </w:tblCellMar>
        </w:tblPrEx>
        <w:trPr>
          <w:trHeight w:val="585" w:hRule="atLeast"/>
          <w:tblCellSpacing w:w="0" w:type="dxa"/>
          <w:jc w:val="center"/>
        </w:trPr>
        <w:tc>
          <w:tcPr>
            <w:tcW w:w="973" w:type="dxa"/>
            <w:tcBorders>
              <w:top w:val="nil"/>
              <w:left w:val="single" w:color="000000" w:sz="6" w:space="0"/>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155"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292"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110"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429"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2098"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909"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r>
      <w:tr>
        <w:tblPrEx>
          <w:tblCellMar>
            <w:top w:w="0" w:type="dxa"/>
            <w:left w:w="0" w:type="dxa"/>
            <w:bottom w:w="0" w:type="dxa"/>
            <w:right w:w="0" w:type="dxa"/>
          </w:tblCellMar>
        </w:tblPrEx>
        <w:trPr>
          <w:trHeight w:val="585" w:hRule="atLeast"/>
          <w:tblCellSpacing w:w="0" w:type="dxa"/>
          <w:jc w:val="center"/>
        </w:trPr>
        <w:tc>
          <w:tcPr>
            <w:tcW w:w="973" w:type="dxa"/>
            <w:tcBorders>
              <w:top w:val="nil"/>
              <w:left w:val="single" w:color="000000" w:sz="6" w:space="0"/>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155"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292"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110"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429"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2098"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909"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r>
      <w:tr>
        <w:tblPrEx>
          <w:tblCellMar>
            <w:top w:w="0" w:type="dxa"/>
            <w:left w:w="0" w:type="dxa"/>
            <w:bottom w:w="0" w:type="dxa"/>
            <w:right w:w="0" w:type="dxa"/>
          </w:tblCellMar>
        </w:tblPrEx>
        <w:trPr>
          <w:trHeight w:val="597" w:hRule="atLeast"/>
          <w:tblCellSpacing w:w="0" w:type="dxa"/>
          <w:jc w:val="center"/>
        </w:trPr>
        <w:tc>
          <w:tcPr>
            <w:tcW w:w="973" w:type="dxa"/>
            <w:tcBorders>
              <w:top w:val="nil"/>
              <w:left w:val="single" w:color="000000" w:sz="6" w:space="0"/>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155"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292"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110"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429"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2098"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909"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r>
      <w:tr>
        <w:tblPrEx>
          <w:tblCellMar>
            <w:top w:w="0" w:type="dxa"/>
            <w:left w:w="0" w:type="dxa"/>
            <w:bottom w:w="0" w:type="dxa"/>
            <w:right w:w="0" w:type="dxa"/>
          </w:tblCellMar>
        </w:tblPrEx>
        <w:trPr>
          <w:trHeight w:val="585" w:hRule="atLeast"/>
          <w:tblCellSpacing w:w="0" w:type="dxa"/>
          <w:jc w:val="center"/>
        </w:trPr>
        <w:tc>
          <w:tcPr>
            <w:tcW w:w="973" w:type="dxa"/>
            <w:tcBorders>
              <w:top w:val="nil"/>
              <w:left w:val="single" w:color="000000" w:sz="6" w:space="0"/>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155"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292"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110"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429"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2098"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909"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r>
      <w:tr>
        <w:tblPrEx>
          <w:tblCellMar>
            <w:top w:w="0" w:type="dxa"/>
            <w:left w:w="0" w:type="dxa"/>
            <w:bottom w:w="0" w:type="dxa"/>
            <w:right w:w="0" w:type="dxa"/>
          </w:tblCellMar>
        </w:tblPrEx>
        <w:trPr>
          <w:trHeight w:val="585" w:hRule="atLeast"/>
          <w:tblCellSpacing w:w="0" w:type="dxa"/>
          <w:jc w:val="center"/>
        </w:trPr>
        <w:tc>
          <w:tcPr>
            <w:tcW w:w="973" w:type="dxa"/>
            <w:tcBorders>
              <w:top w:val="nil"/>
              <w:left w:val="single" w:color="000000" w:sz="6" w:space="0"/>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155"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292"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110"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429"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2098"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909"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r>
      <w:tr>
        <w:tblPrEx>
          <w:tblCellMar>
            <w:top w:w="0" w:type="dxa"/>
            <w:left w:w="0" w:type="dxa"/>
            <w:bottom w:w="0" w:type="dxa"/>
            <w:right w:w="0" w:type="dxa"/>
          </w:tblCellMar>
        </w:tblPrEx>
        <w:trPr>
          <w:trHeight w:val="585" w:hRule="atLeast"/>
          <w:tblCellSpacing w:w="0" w:type="dxa"/>
          <w:jc w:val="center"/>
        </w:trPr>
        <w:tc>
          <w:tcPr>
            <w:tcW w:w="973" w:type="dxa"/>
            <w:tcBorders>
              <w:top w:val="nil"/>
              <w:left w:val="single" w:color="000000" w:sz="6" w:space="0"/>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155"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292"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110"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429"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2098"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909"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r>
      <w:tr>
        <w:tblPrEx>
          <w:tblCellMar>
            <w:top w:w="0" w:type="dxa"/>
            <w:left w:w="0" w:type="dxa"/>
            <w:bottom w:w="0" w:type="dxa"/>
            <w:right w:w="0" w:type="dxa"/>
          </w:tblCellMar>
        </w:tblPrEx>
        <w:trPr>
          <w:trHeight w:val="585" w:hRule="atLeast"/>
          <w:tblCellSpacing w:w="0" w:type="dxa"/>
          <w:jc w:val="center"/>
        </w:trPr>
        <w:tc>
          <w:tcPr>
            <w:tcW w:w="973" w:type="dxa"/>
            <w:tcBorders>
              <w:top w:val="nil"/>
              <w:left w:val="single" w:color="000000" w:sz="6" w:space="0"/>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155"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292"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110"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429"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2098"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909"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r>
      <w:tr>
        <w:tblPrEx>
          <w:tblCellMar>
            <w:top w:w="0" w:type="dxa"/>
            <w:left w:w="0" w:type="dxa"/>
            <w:bottom w:w="0" w:type="dxa"/>
            <w:right w:w="0" w:type="dxa"/>
          </w:tblCellMar>
        </w:tblPrEx>
        <w:trPr>
          <w:trHeight w:val="585" w:hRule="atLeast"/>
          <w:tblCellSpacing w:w="0" w:type="dxa"/>
          <w:jc w:val="center"/>
        </w:trPr>
        <w:tc>
          <w:tcPr>
            <w:tcW w:w="973" w:type="dxa"/>
            <w:tcBorders>
              <w:top w:val="nil"/>
              <w:left w:val="single" w:color="000000" w:sz="6" w:space="0"/>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155"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292"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110"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429"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2098"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909"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r>
      <w:tr>
        <w:tblPrEx>
          <w:tblCellMar>
            <w:top w:w="0" w:type="dxa"/>
            <w:left w:w="0" w:type="dxa"/>
            <w:bottom w:w="0" w:type="dxa"/>
            <w:right w:w="0" w:type="dxa"/>
          </w:tblCellMar>
        </w:tblPrEx>
        <w:trPr>
          <w:trHeight w:val="585" w:hRule="atLeast"/>
          <w:tblCellSpacing w:w="0" w:type="dxa"/>
          <w:jc w:val="center"/>
        </w:trPr>
        <w:tc>
          <w:tcPr>
            <w:tcW w:w="973" w:type="dxa"/>
            <w:tcBorders>
              <w:top w:val="nil"/>
              <w:left w:val="single" w:color="000000" w:sz="6" w:space="0"/>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155"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292"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110"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429"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2098"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909"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r>
      <w:tr>
        <w:tblPrEx>
          <w:tblCellMar>
            <w:top w:w="0" w:type="dxa"/>
            <w:left w:w="0" w:type="dxa"/>
            <w:bottom w:w="0" w:type="dxa"/>
            <w:right w:w="0" w:type="dxa"/>
          </w:tblCellMar>
        </w:tblPrEx>
        <w:trPr>
          <w:trHeight w:val="585" w:hRule="atLeast"/>
          <w:tblCellSpacing w:w="0" w:type="dxa"/>
          <w:jc w:val="center"/>
        </w:trPr>
        <w:tc>
          <w:tcPr>
            <w:tcW w:w="973" w:type="dxa"/>
            <w:tcBorders>
              <w:top w:val="nil"/>
              <w:left w:val="single" w:color="000000" w:sz="6" w:space="0"/>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155"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292"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110"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429"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2098"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909"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r>
      <w:tr>
        <w:tblPrEx>
          <w:tblCellMar>
            <w:top w:w="0" w:type="dxa"/>
            <w:left w:w="0" w:type="dxa"/>
            <w:bottom w:w="0" w:type="dxa"/>
            <w:right w:w="0" w:type="dxa"/>
          </w:tblCellMar>
        </w:tblPrEx>
        <w:trPr>
          <w:trHeight w:val="585" w:hRule="atLeast"/>
          <w:tblCellSpacing w:w="0" w:type="dxa"/>
          <w:jc w:val="center"/>
        </w:trPr>
        <w:tc>
          <w:tcPr>
            <w:tcW w:w="973" w:type="dxa"/>
            <w:tcBorders>
              <w:top w:val="nil"/>
              <w:left w:val="single" w:color="000000" w:sz="6" w:space="0"/>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155"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292"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110"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429"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2098"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909"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r>
      <w:tr>
        <w:tblPrEx>
          <w:tblCellMar>
            <w:top w:w="0" w:type="dxa"/>
            <w:left w:w="0" w:type="dxa"/>
            <w:bottom w:w="0" w:type="dxa"/>
            <w:right w:w="0" w:type="dxa"/>
          </w:tblCellMar>
        </w:tblPrEx>
        <w:trPr>
          <w:trHeight w:val="585" w:hRule="atLeast"/>
          <w:tblCellSpacing w:w="0" w:type="dxa"/>
          <w:jc w:val="center"/>
        </w:trPr>
        <w:tc>
          <w:tcPr>
            <w:tcW w:w="973" w:type="dxa"/>
            <w:tcBorders>
              <w:top w:val="nil"/>
              <w:left w:val="single" w:color="000000" w:sz="6" w:space="0"/>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155"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292"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110"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429"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2098"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909"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r>
      <w:tr>
        <w:tblPrEx>
          <w:tblCellMar>
            <w:top w:w="0" w:type="dxa"/>
            <w:left w:w="0" w:type="dxa"/>
            <w:bottom w:w="0" w:type="dxa"/>
            <w:right w:w="0" w:type="dxa"/>
          </w:tblCellMar>
        </w:tblPrEx>
        <w:trPr>
          <w:trHeight w:val="585" w:hRule="atLeast"/>
          <w:tblCellSpacing w:w="0" w:type="dxa"/>
          <w:jc w:val="center"/>
        </w:trPr>
        <w:tc>
          <w:tcPr>
            <w:tcW w:w="973" w:type="dxa"/>
            <w:tcBorders>
              <w:top w:val="nil"/>
              <w:left w:val="single" w:color="000000" w:sz="6" w:space="0"/>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155"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292"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110"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429"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2098"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909"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r>
      <w:tr>
        <w:tblPrEx>
          <w:tblCellMar>
            <w:top w:w="0" w:type="dxa"/>
            <w:left w:w="0" w:type="dxa"/>
            <w:bottom w:w="0" w:type="dxa"/>
            <w:right w:w="0" w:type="dxa"/>
          </w:tblCellMar>
        </w:tblPrEx>
        <w:trPr>
          <w:trHeight w:val="585" w:hRule="atLeast"/>
          <w:tblCellSpacing w:w="0" w:type="dxa"/>
          <w:jc w:val="center"/>
        </w:trPr>
        <w:tc>
          <w:tcPr>
            <w:tcW w:w="973" w:type="dxa"/>
            <w:tcBorders>
              <w:top w:val="nil"/>
              <w:left w:val="single" w:color="000000" w:sz="6" w:space="0"/>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155"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292"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110"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429"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2098"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909"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r>
      <w:tr>
        <w:tblPrEx>
          <w:tblCellMar>
            <w:top w:w="0" w:type="dxa"/>
            <w:left w:w="0" w:type="dxa"/>
            <w:bottom w:w="0" w:type="dxa"/>
            <w:right w:w="0" w:type="dxa"/>
          </w:tblCellMar>
        </w:tblPrEx>
        <w:trPr>
          <w:trHeight w:val="585" w:hRule="atLeast"/>
          <w:tblCellSpacing w:w="0" w:type="dxa"/>
          <w:jc w:val="center"/>
        </w:trPr>
        <w:tc>
          <w:tcPr>
            <w:tcW w:w="973" w:type="dxa"/>
            <w:tcBorders>
              <w:top w:val="nil"/>
              <w:left w:val="single" w:color="000000" w:sz="6" w:space="0"/>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155"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292"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110"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429"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2098"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909"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r>
      <w:tr>
        <w:tblPrEx>
          <w:tblCellMar>
            <w:top w:w="0" w:type="dxa"/>
            <w:left w:w="0" w:type="dxa"/>
            <w:bottom w:w="0" w:type="dxa"/>
            <w:right w:w="0" w:type="dxa"/>
          </w:tblCellMar>
        </w:tblPrEx>
        <w:trPr>
          <w:trHeight w:val="585" w:hRule="atLeast"/>
          <w:tblCellSpacing w:w="0" w:type="dxa"/>
          <w:jc w:val="center"/>
        </w:trPr>
        <w:tc>
          <w:tcPr>
            <w:tcW w:w="973" w:type="dxa"/>
            <w:tcBorders>
              <w:top w:val="nil"/>
              <w:left w:val="single" w:color="000000" w:sz="6" w:space="0"/>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155"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292"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110"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1429"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2098"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c>
          <w:tcPr>
            <w:tcW w:w="909" w:type="dxa"/>
            <w:tcBorders>
              <w:top w:val="nil"/>
              <w:left w:val="nil"/>
              <w:bottom w:val="single" w:color="000000" w:sz="6" w:space="0"/>
              <w:right w:val="single" w:color="000000" w:sz="6" w:space="0"/>
            </w:tcBorders>
            <w:tcMar>
              <w:top w:w="15" w:type="dxa"/>
              <w:left w:w="15" w:type="dxa"/>
              <w:right w:w="15" w:type="dxa"/>
            </w:tcMar>
            <w:vAlign w:val="center"/>
          </w:tcPr>
          <w:p>
            <w:pPr>
              <w:widowControl/>
              <w:jc w:val="left"/>
              <w:rPr>
                <w:rFonts w:hint="default" w:ascii="Times New Roman" w:hAnsi="Times New Roman" w:cs="Times New Roman"/>
              </w:rPr>
            </w:pPr>
          </w:p>
        </w:tc>
      </w:tr>
    </w:tbl>
    <w:p>
      <w:pPr>
        <w:pStyle w:val="2"/>
        <w:rPr>
          <w:rFonts w:hint="default"/>
          <w:lang w:val="en-US" w:eastAsia="zh-CN"/>
        </w:rPr>
        <w:sectPr>
          <w:pgSz w:w="11906" w:h="16838"/>
          <w:pgMar w:top="1440" w:right="1800" w:bottom="1440" w:left="1800" w:header="851" w:footer="992" w:gutter="0"/>
          <w:cols w:space="425" w:num="1"/>
          <w:docGrid w:type="lines" w:linePitch="312" w:charSpace="0"/>
        </w:sectPr>
      </w:pPr>
    </w:p>
    <w:p>
      <w:pPr>
        <w:spacing w:before="66"/>
        <w:ind w:left="120" w:right="0" w:firstLine="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4</w:t>
      </w:r>
      <w:r>
        <w:rPr>
          <w:rFonts w:hint="eastAsia" w:ascii="方正黑体_GBK" w:hAnsi="方正黑体_GBK" w:eastAsia="方正黑体_GBK" w:cs="方正黑体_GBK"/>
          <w:sz w:val="32"/>
          <w:szCs w:val="32"/>
        </w:rPr>
        <w:t>：</w:t>
      </w:r>
    </w:p>
    <w:p>
      <w:pPr>
        <w:keepNext w:val="0"/>
        <w:keepLines w:val="0"/>
        <w:pageBreakBefore w:val="0"/>
        <w:widowControl w:val="0"/>
        <w:kinsoku/>
        <w:wordWrap/>
        <w:overflowPunct/>
        <w:topLinePunct w:val="0"/>
        <w:autoSpaceDE/>
        <w:autoSpaceDN/>
        <w:bidi w:val="0"/>
        <w:adjustRightInd/>
        <w:snapToGrid/>
        <w:spacing w:after="256" w:afterLines="80" w:line="640" w:lineRule="exact"/>
        <w:ind w:left="0" w:right="0" w:firstLine="0"/>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双通道</w:t>
      </w: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定点零售药店</w:t>
      </w:r>
      <w:r>
        <w:rPr>
          <w:rFonts w:hint="default" w:ascii="Times New Roman" w:hAnsi="Times New Roman" w:eastAsia="方正小标宋_GBK" w:cs="Times New Roman"/>
          <w:color w:val="000000" w:themeColor="text1"/>
          <w:sz w:val="44"/>
          <w:szCs w:val="44"/>
          <w14:textFill>
            <w14:solidFill>
              <w14:schemeClr w14:val="tx1"/>
            </w14:solidFill>
          </w14:textFill>
        </w:rPr>
        <w:t>评分标准</w:t>
      </w:r>
    </w:p>
    <w:tbl>
      <w:tblPr>
        <w:tblStyle w:val="9"/>
        <w:tblW w:w="14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096"/>
        <w:gridCol w:w="1258"/>
        <w:gridCol w:w="4258"/>
        <w:gridCol w:w="6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Align w:val="center"/>
          </w:tcPr>
          <w:p>
            <w:pPr>
              <w:pStyle w:val="4"/>
              <w:jc w:val="cente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评分项目</w:t>
            </w:r>
          </w:p>
        </w:tc>
        <w:tc>
          <w:tcPr>
            <w:tcW w:w="1096" w:type="dxa"/>
            <w:vAlign w:val="center"/>
          </w:tcPr>
          <w:p>
            <w:pPr>
              <w:pStyle w:val="4"/>
              <w:jc w:val="cente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标准分</w:t>
            </w:r>
          </w:p>
        </w:tc>
        <w:tc>
          <w:tcPr>
            <w:tcW w:w="1258" w:type="dxa"/>
            <w:vAlign w:val="center"/>
          </w:tcPr>
          <w:p>
            <w:pPr>
              <w:pStyle w:val="4"/>
              <w:jc w:val="center"/>
              <w:rPr>
                <w:rFonts w:hint="default" w:ascii="Times New Roman" w:hAnsi="Times New Roman" w:cs="Times New Roman" w:eastAsiaTheme="minorEastAsia"/>
                <w:b/>
                <w:bCs/>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w:t>评分分项</w:t>
            </w:r>
          </w:p>
        </w:tc>
        <w:tc>
          <w:tcPr>
            <w:tcW w:w="4258" w:type="dxa"/>
            <w:vAlign w:val="center"/>
          </w:tcPr>
          <w:p>
            <w:pPr>
              <w:pStyle w:val="4"/>
              <w:jc w:val="center"/>
              <w:rPr>
                <w:rFonts w:hint="default" w:ascii="Times New Roman" w:hAnsi="Times New Roman" w:cs="Times New Roman" w:eastAsiaTheme="minorEastAsia"/>
                <w:b/>
                <w:bCs/>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w:t>评分内容</w:t>
            </w:r>
          </w:p>
        </w:tc>
        <w:tc>
          <w:tcPr>
            <w:tcW w:w="6819" w:type="dxa"/>
            <w:vAlign w:val="center"/>
          </w:tcPr>
          <w:p>
            <w:pPr>
              <w:pStyle w:val="4"/>
              <w:jc w:val="center"/>
              <w:rPr>
                <w:rFonts w:hint="default" w:ascii="Times New Roman" w:hAnsi="Times New Roman" w:cs="Times New Roman" w:eastAsiaTheme="minorEastAsia"/>
                <w:b/>
                <w:bCs/>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jc w:val="center"/>
        </w:trPr>
        <w:tc>
          <w:tcPr>
            <w:tcW w:w="1200" w:type="dxa"/>
            <w:vMerge w:val="restart"/>
            <w:vAlign w:val="center"/>
          </w:tcPr>
          <w:p>
            <w:pPr>
              <w:pStyle w:val="11"/>
              <w:spacing w:before="1" w:line="323" w:lineRule="exact"/>
              <w:ind w:left="0" w:leftChars="0" w:firstLine="0" w:firstLineChars="0"/>
              <w:jc w:val="both"/>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基本条件</w:t>
            </w:r>
          </w:p>
          <w:p>
            <w:pPr>
              <w:pStyle w:val="4"/>
              <w:jc w:val="center"/>
              <w:rPr>
                <w:rFonts w:hint="default" w:ascii="Times New Roman" w:hAnsi="Times New Roman" w:cs="Times New Roman" w:eastAsiaTheme="minorEastAsia"/>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（25分</w:t>
            </w:r>
            <w:r>
              <w:rPr>
                <w:rFonts w:hint="default" w:ascii="Times New Roman" w:hAnsi="Times New Roman" w:cs="Times New Roman" w:eastAsiaTheme="minorEastAsia"/>
                <w:b/>
                <w:bCs/>
                <w:color w:val="000000" w:themeColor="text1"/>
                <w:sz w:val="21"/>
                <w:szCs w:val="21"/>
                <w14:textFill>
                  <w14:solidFill>
                    <w14:schemeClr w14:val="tx1"/>
                  </w14:solidFill>
                </w14:textFill>
              </w:rPr>
              <w:t>）</w:t>
            </w:r>
          </w:p>
        </w:tc>
        <w:tc>
          <w:tcPr>
            <w:tcW w:w="1096" w:type="dxa"/>
            <w:vAlign w:val="center"/>
          </w:tcPr>
          <w:p>
            <w:pPr>
              <w:pStyle w:val="4"/>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b w:val="0"/>
                <w:bCs/>
                <w:color w:val="000000" w:themeColor="text1"/>
                <w:w w:val="99"/>
                <w:sz w:val="21"/>
                <w:szCs w:val="21"/>
                <w:lang w:val="en-US" w:eastAsia="zh-CN"/>
                <w14:textFill>
                  <w14:solidFill>
                    <w14:schemeClr w14:val="tx1"/>
                  </w14:solidFill>
                </w14:textFill>
              </w:rPr>
              <w:t>10</w:t>
            </w:r>
          </w:p>
        </w:tc>
        <w:tc>
          <w:tcPr>
            <w:tcW w:w="1258" w:type="dxa"/>
            <w:vAlign w:val="center"/>
          </w:tcPr>
          <w:p>
            <w:pPr>
              <w:pStyle w:val="4"/>
              <w:jc w:val="center"/>
              <w:rPr>
                <w:rFonts w:hint="default" w:ascii="Times New Roman" w:hAnsi="Times New Roman" w:cs="Times New Roman" w:eastAsiaTheme="minorEastAsia"/>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bCs/>
                <w:color w:val="000000" w:themeColor="text1"/>
                <w:sz w:val="21"/>
                <w:szCs w:val="21"/>
                <w14:textFill>
                  <w14:solidFill>
                    <w14:schemeClr w14:val="tx1"/>
                  </w14:solidFill>
                </w14:textFill>
              </w:rPr>
              <w:t>人员资质</w:t>
            </w:r>
          </w:p>
        </w:tc>
        <w:tc>
          <w:tcPr>
            <w:tcW w:w="4258" w:type="dxa"/>
            <w:vAlign w:val="center"/>
          </w:tcPr>
          <w:p>
            <w:pPr>
              <w:pStyle w:val="3"/>
              <w:pageBreakBefore w:val="0"/>
              <w:widowControl w:val="0"/>
              <w:numPr>
                <w:ilvl w:val="0"/>
                <w:numId w:val="1"/>
              </w:numPr>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202</w:t>
            </w: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3</w:t>
            </w: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年12月31日前，在申请药店注册并签订劳动合同一年（含）以上且在合同期内的执业药师1人(含）以上的得4分，2人(含）及以上的得5分。</w:t>
            </w:r>
          </w:p>
          <w:p>
            <w:pPr>
              <w:pStyle w:val="3"/>
              <w:pageBreakBefore w:val="0"/>
              <w:widowControl w:val="0"/>
              <w:numPr>
                <w:ilvl w:val="0"/>
                <w:numId w:val="1"/>
              </w:numPr>
              <w:kinsoku/>
              <w:wordWrap/>
              <w:overflowPunct/>
              <w:topLinePunct w:val="0"/>
              <w:autoSpaceDE/>
              <w:autoSpaceDN/>
              <w:bidi w:val="0"/>
              <w:adjustRightInd/>
              <w:snapToGrid/>
              <w:spacing w:line="320" w:lineRule="exact"/>
              <w:ind w:left="0" w:leftChars="0" w:firstLine="0" w:firstLineChars="0"/>
              <w:jc w:val="left"/>
              <w:textAlignment w:val="auto"/>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申报门店配备员工（不含执业药师）2人得4分，3人及以上得5分。</w:t>
            </w:r>
          </w:p>
        </w:tc>
        <w:tc>
          <w:tcPr>
            <w:tcW w:w="6819" w:type="dxa"/>
            <w:vAlign w:val="center"/>
          </w:tcPr>
          <w:p>
            <w:pPr>
              <w:pStyle w:val="3"/>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1.提供注册在申报门店的执业药师名单、身份证及执业注册证复印件</w:t>
            </w: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w:t>
            </w:r>
          </w:p>
          <w:p>
            <w:pPr>
              <w:pStyle w:val="3"/>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2.检查药师执业注册证，“执业单位”必须为申报门店</w:t>
            </w: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w:t>
            </w:r>
          </w:p>
          <w:p>
            <w:pPr>
              <w:pStyle w:val="3"/>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3.检查药师执业注册证，“注册日期”必须在 202</w:t>
            </w: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3年</w:t>
            </w: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12月31日之前</w:t>
            </w: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w:t>
            </w:r>
          </w:p>
          <w:p>
            <w:pPr>
              <w:pStyle w:val="3"/>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4.提供社保参保缴费记录，确认参保时间符合规定时限；注册药师如为退休人员，则不检查参保记录。</w:t>
            </w:r>
          </w:p>
          <w:p>
            <w:pPr>
              <w:pStyle w:val="3"/>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 xml:space="preserve">5.查看药师执业注册证与参保缴费记录。                          </w:t>
            </w:r>
          </w:p>
          <w:p>
            <w:pPr>
              <w:pStyle w:val="3"/>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6.查看员工劳动合同签订及排班表等资料。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jc w:val="center"/>
        </w:trPr>
        <w:tc>
          <w:tcPr>
            <w:tcW w:w="1200" w:type="dxa"/>
            <w:vMerge w:val="continue"/>
            <w:vAlign w:val="center"/>
          </w:tcPr>
          <w:p>
            <w:pPr>
              <w:pStyle w:val="4"/>
              <w:jc w:val="center"/>
              <w:rPr>
                <w:rFonts w:hint="default" w:ascii="Times New Roman" w:hAnsi="Times New Roman" w:cs="Times New Roman" w:eastAsiaTheme="minorEastAsia"/>
                <w:color w:val="000000" w:themeColor="text1"/>
                <w:sz w:val="21"/>
                <w:szCs w:val="21"/>
                <w:vertAlign w:val="baseline"/>
                <w14:textFill>
                  <w14:solidFill>
                    <w14:schemeClr w14:val="tx1"/>
                  </w14:solidFill>
                </w14:textFill>
              </w:rPr>
            </w:pPr>
          </w:p>
        </w:tc>
        <w:tc>
          <w:tcPr>
            <w:tcW w:w="1096" w:type="dxa"/>
            <w:vAlign w:val="center"/>
          </w:tcPr>
          <w:p>
            <w:pPr>
              <w:pStyle w:val="4"/>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w w:val="99"/>
                <w:sz w:val="21"/>
                <w:szCs w:val="21"/>
                <w:lang w:val="en-US" w:eastAsia="zh-CN"/>
                <w14:textFill>
                  <w14:solidFill>
                    <w14:schemeClr w14:val="tx1"/>
                  </w14:solidFill>
                </w14:textFill>
              </w:rPr>
              <w:t>10</w:t>
            </w:r>
          </w:p>
        </w:tc>
        <w:tc>
          <w:tcPr>
            <w:tcW w:w="1258" w:type="dxa"/>
            <w:vAlign w:val="center"/>
          </w:tcPr>
          <w:p>
            <w:pPr>
              <w:pStyle w:val="4"/>
              <w:jc w:val="center"/>
              <w:rPr>
                <w:rFonts w:hint="default" w:ascii="Times New Roman" w:hAnsi="Times New Roman" w:cs="Times New Roman" w:eastAsiaTheme="minorEastAsia"/>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仓储环境</w:t>
            </w:r>
          </w:p>
        </w:tc>
        <w:tc>
          <w:tcPr>
            <w:tcW w:w="4258" w:type="dxa"/>
            <w:vAlign w:val="center"/>
          </w:tcPr>
          <w:p>
            <w:pPr>
              <w:pStyle w:val="11"/>
              <w:numPr>
                <w:ilvl w:val="0"/>
                <w:numId w:val="2"/>
              </w:numPr>
              <w:spacing w:line="323" w:lineRule="exact"/>
              <w:ind w:left="0" w:leftChars="0" w:firstLine="0" w:firstLineChars="0"/>
              <w:jc w:val="both"/>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申报门店设有冷链药品专业冷藏柜，350立升（含）以上的得5分；350立升以下的得4分。</w:t>
            </w:r>
          </w:p>
          <w:p>
            <w:pPr>
              <w:pStyle w:val="11"/>
              <w:numPr>
                <w:ilvl w:val="0"/>
                <w:numId w:val="2"/>
              </w:numPr>
              <w:spacing w:line="323" w:lineRule="exact"/>
              <w:ind w:left="0" w:leftChars="0" w:firstLine="0" w:firstLineChars="0"/>
              <w:jc w:val="both"/>
              <w:rPr>
                <w:rFonts w:hint="default" w:ascii="Times New Roman" w:hAnsi="Times New Roman" w:cs="Times New Roman" w:eastAsiaTheme="minorEastAsia"/>
                <w:color w:val="000000" w:themeColor="text1"/>
                <w:sz w:val="21"/>
                <w:szCs w:val="21"/>
                <w:vertAlign w:val="baseline"/>
                <w:lang w:val="en-US"/>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药品按储存条件分类陈列得5分，否则不得分。</w:t>
            </w:r>
          </w:p>
        </w:tc>
        <w:tc>
          <w:tcPr>
            <w:tcW w:w="6819" w:type="dxa"/>
            <w:vAlign w:val="center"/>
          </w:tcPr>
          <w:p>
            <w:pPr>
              <w:pStyle w:val="11"/>
              <w:spacing w:line="321" w:lineRule="exact"/>
              <w:jc w:val="left"/>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合格冷藏室、冷藏柜的认定标准如下，全部满足方能得分。</w:t>
            </w:r>
          </w:p>
          <w:p>
            <w:pPr>
              <w:pStyle w:val="11"/>
              <w:numPr>
                <w:ilvl w:val="0"/>
                <w:numId w:val="0"/>
              </w:numPr>
              <w:tabs>
                <w:tab w:val="left" w:pos="652"/>
              </w:tabs>
              <w:spacing w:before="28" w:after="0" w:line="160" w:lineRule="auto"/>
              <w:ind w:left="108" w:leftChars="0" w:right="96" w:rightChars="0"/>
              <w:jc w:val="left"/>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1.符合GSP认证管理要求</w:t>
            </w: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w:t>
            </w:r>
          </w:p>
          <w:p>
            <w:pPr>
              <w:pStyle w:val="11"/>
              <w:numPr>
                <w:ilvl w:val="0"/>
                <w:numId w:val="0"/>
              </w:numPr>
              <w:tabs>
                <w:tab w:val="left" w:pos="652"/>
              </w:tabs>
              <w:spacing w:before="2" w:after="0" w:line="160" w:lineRule="auto"/>
              <w:ind w:left="108" w:leftChars="0" w:right="98" w:rightChars="0"/>
              <w:jc w:val="left"/>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2.需要配备专用应急电源，需要有温湿度实时监控设备。评审时查看相关照片。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1200" w:type="dxa"/>
            <w:vMerge w:val="continue"/>
            <w:vAlign w:val="center"/>
          </w:tcPr>
          <w:p>
            <w:pPr>
              <w:pStyle w:val="4"/>
              <w:jc w:val="center"/>
              <w:rPr>
                <w:rFonts w:hint="default" w:ascii="Times New Roman" w:hAnsi="Times New Roman" w:cs="Times New Roman" w:eastAsiaTheme="minorEastAsia"/>
                <w:color w:val="000000" w:themeColor="text1"/>
                <w:sz w:val="21"/>
                <w:szCs w:val="21"/>
                <w:vertAlign w:val="baseline"/>
                <w14:textFill>
                  <w14:solidFill>
                    <w14:schemeClr w14:val="tx1"/>
                  </w14:solidFill>
                </w14:textFill>
              </w:rPr>
            </w:pPr>
          </w:p>
        </w:tc>
        <w:tc>
          <w:tcPr>
            <w:tcW w:w="1096" w:type="dxa"/>
            <w:vAlign w:val="center"/>
          </w:tcPr>
          <w:p>
            <w:pPr>
              <w:pStyle w:val="4"/>
              <w:jc w:val="center"/>
              <w:rPr>
                <w:rFonts w:hint="default" w:ascii="Times New Roman" w:hAnsi="Times New Roman" w:cs="Times New Roman" w:eastAsiaTheme="minorEastAsia"/>
                <w:color w:val="000000" w:themeColor="text1"/>
                <w:sz w:val="21"/>
                <w:szCs w:val="21"/>
                <w:vertAlign w:val="baseline"/>
                <w:lang w:eastAsia="zh-CN"/>
                <w14:textFill>
                  <w14:solidFill>
                    <w14:schemeClr w14:val="tx1"/>
                  </w14:solidFill>
                </w14:textFill>
              </w:rPr>
            </w:pPr>
            <w:r>
              <w:rPr>
                <w:rFonts w:hint="default" w:ascii="Times New Roman" w:hAnsi="Times New Roman" w:cs="Times New Roman" w:eastAsiaTheme="minorEastAsia"/>
                <w:color w:val="000000" w:themeColor="text1"/>
                <w:w w:val="99"/>
                <w:sz w:val="21"/>
                <w:szCs w:val="21"/>
                <w:lang w:val="en-US" w:eastAsia="zh-CN"/>
                <w14:textFill>
                  <w14:solidFill>
                    <w14:schemeClr w14:val="tx1"/>
                  </w14:solidFill>
                </w14:textFill>
              </w:rPr>
              <w:t>5</w:t>
            </w:r>
          </w:p>
        </w:tc>
        <w:tc>
          <w:tcPr>
            <w:tcW w:w="1258" w:type="dxa"/>
            <w:vAlign w:val="center"/>
          </w:tcPr>
          <w:p>
            <w:pPr>
              <w:pStyle w:val="4"/>
              <w:jc w:val="center"/>
              <w:rPr>
                <w:rFonts w:hint="default" w:ascii="Times New Roman" w:hAnsi="Times New Roman" w:cs="Times New Roman" w:eastAsiaTheme="minorEastAsia"/>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服务环境</w:t>
            </w:r>
          </w:p>
        </w:tc>
        <w:tc>
          <w:tcPr>
            <w:tcW w:w="4258" w:type="dxa"/>
            <w:vAlign w:val="center"/>
          </w:tcPr>
          <w:p>
            <w:pPr>
              <w:pStyle w:val="4"/>
              <w:jc w:val="left"/>
              <w:rPr>
                <w:rFonts w:hint="default" w:ascii="Times New Roman" w:hAnsi="Times New Roman" w:cs="Times New Roman" w:eastAsiaTheme="minorEastAsia"/>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经营门店有一定规模并设有</w:t>
            </w:r>
            <w:r>
              <w:rPr>
                <w:rFonts w:hint="default" w:ascii="Times New Roman" w:hAnsi="Times New Roman" w:cs="Times New Roman" w:eastAsiaTheme="minorEastAsia"/>
                <w:color w:val="000000" w:themeColor="text1"/>
                <w:sz w:val="21"/>
                <w:szCs w:val="21"/>
                <w14:textFill>
                  <w14:solidFill>
                    <w14:schemeClr w14:val="tx1"/>
                  </w14:solidFill>
                </w14:textFill>
              </w:rPr>
              <w:t>参保患者专用咨询台</w:t>
            </w:r>
            <w:r>
              <w:rPr>
                <w:rFonts w:hint="default" w:ascii="Times New Roman" w:hAnsi="Times New Roman" w:cs="Times New Roman" w:eastAsiaTheme="minorEastAsia"/>
                <w:color w:val="000000" w:themeColor="text1"/>
                <w:w w:val="95"/>
                <w:sz w:val="21"/>
                <w:szCs w:val="21"/>
                <w14:textFill>
                  <w14:solidFill>
                    <w14:schemeClr w14:val="tx1"/>
                  </w14:solidFill>
                </w14:textFill>
              </w:rPr>
              <w:t>的得</w:t>
            </w:r>
            <w:r>
              <w:rPr>
                <w:rFonts w:hint="default" w:ascii="Times New Roman" w:hAnsi="Times New Roman" w:cs="Times New Roman" w:eastAsiaTheme="minorEastAsia"/>
                <w:color w:val="000000" w:themeColor="text1"/>
                <w:w w:val="95"/>
                <w:sz w:val="21"/>
                <w:szCs w:val="21"/>
                <w:lang w:val="en-US" w:eastAsia="zh-CN"/>
                <w14:textFill>
                  <w14:solidFill>
                    <w14:schemeClr w14:val="tx1"/>
                  </w14:solidFill>
                </w14:textFill>
              </w:rPr>
              <w:t>5</w:t>
            </w:r>
            <w:r>
              <w:rPr>
                <w:rFonts w:hint="default" w:ascii="Times New Roman" w:hAnsi="Times New Roman" w:cs="Times New Roman" w:eastAsiaTheme="minorEastAsia"/>
                <w:color w:val="000000" w:themeColor="text1"/>
                <w:spacing w:val="-4"/>
                <w:sz w:val="21"/>
                <w:szCs w:val="21"/>
                <w14:textFill>
                  <w14:solidFill>
                    <w14:schemeClr w14:val="tx1"/>
                  </w14:solidFill>
                </w14:textFill>
              </w:rPr>
              <w:t>分</w:t>
            </w:r>
            <w:r>
              <w:rPr>
                <w:rFonts w:hint="default" w:ascii="Times New Roman" w:hAnsi="Times New Roman" w:cs="Times New Roman" w:eastAsiaTheme="minorEastAsia"/>
                <w:color w:val="000000" w:themeColor="text1"/>
                <w:spacing w:val="-4"/>
                <w:sz w:val="21"/>
                <w:szCs w:val="21"/>
                <w:lang w:eastAsia="zh-CN"/>
                <w14:textFill>
                  <w14:solidFill>
                    <w14:schemeClr w14:val="tx1"/>
                  </w14:solidFill>
                </w14:textFill>
              </w:rPr>
              <w:t>；未设置参保患者专用咨询台的得</w:t>
            </w:r>
            <w:r>
              <w:rPr>
                <w:rFonts w:hint="default" w:ascii="Times New Roman" w:hAnsi="Times New Roman" w:cs="Times New Roman" w:eastAsiaTheme="minorEastAsia"/>
                <w:color w:val="000000" w:themeColor="text1"/>
                <w:spacing w:val="-4"/>
                <w:sz w:val="21"/>
                <w:szCs w:val="21"/>
                <w:lang w:val="en-US" w:eastAsia="zh-CN"/>
                <w14:textFill>
                  <w14:solidFill>
                    <w14:schemeClr w14:val="tx1"/>
                  </w14:solidFill>
                </w14:textFill>
              </w:rPr>
              <w:t>2分</w:t>
            </w:r>
            <w:r>
              <w:rPr>
                <w:rFonts w:hint="default" w:ascii="Times New Roman" w:hAnsi="Times New Roman" w:cs="Times New Roman" w:eastAsiaTheme="minorEastAsia"/>
                <w:color w:val="000000" w:themeColor="text1"/>
                <w:spacing w:val="-4"/>
                <w:sz w:val="21"/>
                <w:szCs w:val="21"/>
                <w14:textFill>
                  <w14:solidFill>
                    <w14:schemeClr w14:val="tx1"/>
                  </w14:solidFill>
                </w14:textFill>
              </w:rPr>
              <w:t>。</w:t>
            </w:r>
          </w:p>
        </w:tc>
        <w:tc>
          <w:tcPr>
            <w:tcW w:w="6819" w:type="dxa"/>
            <w:vAlign w:val="center"/>
          </w:tcPr>
          <w:p>
            <w:pPr>
              <w:pStyle w:val="4"/>
              <w:jc w:val="left"/>
              <w:rPr>
                <w:rFonts w:hint="default" w:ascii="Times New Roman" w:hAnsi="Times New Roman" w:cs="Times New Roman" w:eastAsiaTheme="minorEastAsia"/>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提供相关平面图和相关区域照片。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00" w:type="dxa"/>
            <w:vAlign w:val="center"/>
          </w:tcPr>
          <w:p>
            <w:pPr>
              <w:pStyle w:val="4"/>
              <w:jc w:val="cente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评分项目</w:t>
            </w:r>
          </w:p>
        </w:tc>
        <w:tc>
          <w:tcPr>
            <w:tcW w:w="1096" w:type="dxa"/>
            <w:vAlign w:val="center"/>
          </w:tcPr>
          <w:p>
            <w:pPr>
              <w:pStyle w:val="4"/>
              <w:jc w:val="cente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标准分</w:t>
            </w:r>
          </w:p>
        </w:tc>
        <w:tc>
          <w:tcPr>
            <w:tcW w:w="1258" w:type="dxa"/>
            <w:vAlign w:val="center"/>
          </w:tcPr>
          <w:p>
            <w:pPr>
              <w:pStyle w:val="4"/>
              <w:jc w:val="center"/>
              <w:rPr>
                <w:rFonts w:hint="default" w:ascii="Times New Roman" w:hAnsi="Times New Roman" w:cs="Times New Roman" w:eastAsiaTheme="minorEastAsia"/>
                <w:b/>
                <w:bCs/>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w:t>评分分项</w:t>
            </w:r>
          </w:p>
        </w:tc>
        <w:tc>
          <w:tcPr>
            <w:tcW w:w="4258" w:type="dxa"/>
            <w:vAlign w:val="center"/>
          </w:tcPr>
          <w:p>
            <w:pPr>
              <w:pStyle w:val="4"/>
              <w:jc w:val="center"/>
              <w:rPr>
                <w:rFonts w:hint="default" w:ascii="Times New Roman" w:hAnsi="Times New Roman" w:cs="Times New Roman" w:eastAsiaTheme="minorEastAsia"/>
                <w:b/>
                <w:bCs/>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w:t>评分内容</w:t>
            </w:r>
          </w:p>
        </w:tc>
        <w:tc>
          <w:tcPr>
            <w:tcW w:w="6819" w:type="dxa"/>
            <w:vAlign w:val="center"/>
          </w:tcPr>
          <w:p>
            <w:pPr>
              <w:pStyle w:val="4"/>
              <w:jc w:val="center"/>
              <w:rPr>
                <w:rFonts w:hint="default" w:ascii="Times New Roman" w:hAnsi="Times New Roman" w:cs="Times New Roman" w:eastAsiaTheme="minorEastAsia"/>
                <w:b/>
                <w:bCs/>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jc w:val="center"/>
        </w:trPr>
        <w:tc>
          <w:tcPr>
            <w:tcW w:w="1200" w:type="dxa"/>
            <w:vMerge w:val="restart"/>
            <w:vAlign w:val="center"/>
          </w:tcPr>
          <w:p>
            <w:pPr>
              <w:pStyle w:val="11"/>
              <w:spacing w:before="1" w:line="323" w:lineRule="exact"/>
              <w:ind w:left="0" w:leftChars="0" w:firstLine="0" w:firstLineChars="0"/>
              <w:jc w:val="both"/>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管理能力</w:t>
            </w:r>
          </w:p>
          <w:p>
            <w:pPr>
              <w:pStyle w:val="11"/>
              <w:spacing w:before="1" w:line="323" w:lineRule="exact"/>
              <w:ind w:left="0" w:leftChars="0" w:firstLine="0" w:firstLineChars="0"/>
              <w:jc w:val="both"/>
              <w:rPr>
                <w:rFonts w:hint="default" w:ascii="Times New Roman" w:hAnsi="Times New Roman" w:cs="Times New Roman" w:eastAsiaTheme="minorEastAsia"/>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w:t>
            </w:r>
            <w:r>
              <w:rPr>
                <w:rFonts w:hint="eastAsia"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50</w:t>
            </w: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分）</w:t>
            </w:r>
          </w:p>
        </w:tc>
        <w:tc>
          <w:tcPr>
            <w:tcW w:w="1096" w:type="dxa"/>
            <w:vAlign w:val="center"/>
          </w:tcPr>
          <w:p>
            <w:pPr>
              <w:pStyle w:val="4"/>
              <w:jc w:val="cente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5</w:t>
            </w:r>
          </w:p>
        </w:tc>
        <w:tc>
          <w:tcPr>
            <w:tcW w:w="1258" w:type="dxa"/>
            <w:vAlign w:val="center"/>
          </w:tcPr>
          <w:p>
            <w:pPr>
              <w:pStyle w:val="4"/>
              <w:jc w:val="cente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规章制度</w:t>
            </w:r>
          </w:p>
        </w:tc>
        <w:tc>
          <w:tcPr>
            <w:tcW w:w="4258" w:type="dxa"/>
            <w:vAlign w:val="center"/>
          </w:tcPr>
          <w:p>
            <w:pPr>
              <w:pStyle w:val="3"/>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申报门店有针对</w:t>
            </w: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“双通道”药品</w:t>
            </w: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零售管理和服务相关岗位设置、规章制度的得5分。</w:t>
            </w:r>
          </w:p>
        </w:tc>
        <w:tc>
          <w:tcPr>
            <w:tcW w:w="6819" w:type="dxa"/>
            <w:vAlign w:val="center"/>
          </w:tcPr>
          <w:p>
            <w:pPr>
              <w:pStyle w:val="11"/>
              <w:numPr>
                <w:ilvl w:val="0"/>
                <w:numId w:val="0"/>
              </w:numPr>
              <w:tabs>
                <w:tab w:val="left" w:pos="652"/>
              </w:tabs>
              <w:spacing w:before="28" w:after="0" w:line="160" w:lineRule="auto"/>
              <w:ind w:leftChars="0" w:right="96" w:rightChars="0"/>
              <w:jc w:val="both"/>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1.检查相关岗位清单、岗位说明、规章制度汇编文件，提供复印件</w:t>
            </w: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w:t>
            </w:r>
          </w:p>
          <w:p>
            <w:pPr>
              <w:pStyle w:val="11"/>
              <w:numPr>
                <w:ilvl w:val="0"/>
                <w:numId w:val="0"/>
              </w:numPr>
              <w:tabs>
                <w:tab w:val="left" w:pos="652"/>
              </w:tabs>
              <w:spacing w:before="28" w:after="0" w:line="160" w:lineRule="auto"/>
              <w:ind w:leftChars="0" w:right="96" w:rightChars="0"/>
              <w:jc w:val="both"/>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2.重点检查国家谈判药服务相关的规程制度，包括“配送管理制度”、“冷链储存应急预案”、“冷链药品配送操作规程”、“患者服务流程及制度”，如有缺失，每少一项扣1分。</w:t>
            </w: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（国家谈判药品）</w:t>
            </w:r>
          </w:p>
          <w:p>
            <w:pPr>
              <w:pStyle w:val="3"/>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申报门店属于连锁企业门店的，该企业的相关规章制度可作为申报门店评分依据。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1200" w:type="dxa"/>
            <w:vMerge w:val="continue"/>
            <w:vAlign w:val="center"/>
          </w:tcPr>
          <w:p>
            <w:pPr>
              <w:pStyle w:val="4"/>
              <w:jc w:val="center"/>
              <w:rPr>
                <w:rFonts w:hint="default" w:ascii="Times New Roman" w:hAnsi="Times New Roman" w:cs="Times New Roman" w:eastAsiaTheme="minorEastAsia"/>
                <w:color w:val="000000" w:themeColor="text1"/>
                <w:sz w:val="21"/>
                <w:szCs w:val="21"/>
                <w:vertAlign w:val="baseline"/>
                <w14:textFill>
                  <w14:solidFill>
                    <w14:schemeClr w14:val="tx1"/>
                  </w14:solidFill>
                </w14:textFill>
              </w:rPr>
            </w:pPr>
          </w:p>
        </w:tc>
        <w:tc>
          <w:tcPr>
            <w:tcW w:w="1096" w:type="dxa"/>
            <w:vAlign w:val="center"/>
          </w:tcPr>
          <w:p>
            <w:pPr>
              <w:pStyle w:val="4"/>
              <w:jc w:val="cente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10</w:t>
            </w:r>
          </w:p>
        </w:tc>
        <w:tc>
          <w:tcPr>
            <w:tcW w:w="1258" w:type="dxa"/>
            <w:vAlign w:val="center"/>
          </w:tcPr>
          <w:p>
            <w:pPr>
              <w:pStyle w:val="4"/>
              <w:jc w:val="cente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台账管理</w:t>
            </w:r>
          </w:p>
        </w:tc>
        <w:tc>
          <w:tcPr>
            <w:tcW w:w="4258" w:type="dxa"/>
            <w:vAlign w:val="center"/>
          </w:tcPr>
          <w:p>
            <w:pPr>
              <w:pStyle w:val="11"/>
              <w:numPr>
                <w:ilvl w:val="0"/>
                <w:numId w:val="3"/>
              </w:numPr>
              <w:spacing w:before="99" w:line="160" w:lineRule="auto"/>
              <w:ind w:right="64"/>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 xml:space="preserve"> </w:t>
            </w: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建立健全药品进、销、存台账，且账账相符的得7分。</w:t>
            </w:r>
          </w:p>
          <w:p>
            <w:pPr>
              <w:pStyle w:val="11"/>
              <w:numPr>
                <w:ilvl w:val="0"/>
                <w:numId w:val="3"/>
              </w:numPr>
              <w:spacing w:before="99" w:line="160" w:lineRule="auto"/>
              <w:ind w:right="64"/>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 xml:space="preserve"> </w:t>
            </w: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处方分类装订</w:t>
            </w: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w:t>
            </w: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存档1年的得2分</w:t>
            </w: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w:t>
            </w: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存档2年的得3分。</w:t>
            </w:r>
          </w:p>
        </w:tc>
        <w:tc>
          <w:tcPr>
            <w:tcW w:w="6819" w:type="dxa"/>
            <w:vAlign w:val="center"/>
          </w:tcPr>
          <w:p>
            <w:pPr>
              <w:pStyle w:val="4"/>
              <w:jc w:val="left"/>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申报门店提供 202</w:t>
            </w: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2</w:t>
            </w: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 xml:space="preserve"> 年至今的台账和处方册</w:t>
            </w: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（或电子处方）</w:t>
            </w: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1200" w:type="dxa"/>
            <w:vMerge w:val="continue"/>
            <w:vAlign w:val="center"/>
          </w:tcPr>
          <w:p>
            <w:pPr>
              <w:pStyle w:val="4"/>
              <w:jc w:val="center"/>
              <w:rPr>
                <w:rFonts w:hint="default" w:ascii="Times New Roman" w:hAnsi="Times New Roman" w:cs="Times New Roman" w:eastAsiaTheme="minorEastAsia"/>
                <w:color w:val="000000" w:themeColor="text1"/>
                <w:sz w:val="21"/>
                <w:szCs w:val="21"/>
                <w:vertAlign w:val="baseline"/>
                <w14:textFill>
                  <w14:solidFill>
                    <w14:schemeClr w14:val="tx1"/>
                  </w14:solidFill>
                </w14:textFill>
              </w:rPr>
            </w:pPr>
          </w:p>
        </w:tc>
        <w:tc>
          <w:tcPr>
            <w:tcW w:w="1096" w:type="dxa"/>
            <w:vAlign w:val="center"/>
          </w:tcPr>
          <w:p>
            <w:pPr>
              <w:pStyle w:val="4"/>
              <w:jc w:val="cente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5</w:t>
            </w:r>
          </w:p>
        </w:tc>
        <w:tc>
          <w:tcPr>
            <w:tcW w:w="1258" w:type="dxa"/>
            <w:vAlign w:val="center"/>
          </w:tcPr>
          <w:p>
            <w:pPr>
              <w:pStyle w:val="4"/>
              <w:jc w:val="cente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服务资质</w:t>
            </w:r>
          </w:p>
        </w:tc>
        <w:tc>
          <w:tcPr>
            <w:tcW w:w="4258" w:type="dxa"/>
            <w:vAlign w:val="center"/>
          </w:tcPr>
          <w:p>
            <w:pPr>
              <w:pStyle w:val="4"/>
              <w:jc w:val="left"/>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申报门店获得医保定点资格定点2年（含）以上的得5分。</w:t>
            </w:r>
          </w:p>
        </w:tc>
        <w:tc>
          <w:tcPr>
            <w:tcW w:w="6819" w:type="dxa"/>
            <w:vAlign w:val="center"/>
          </w:tcPr>
          <w:p>
            <w:pPr>
              <w:pStyle w:val="4"/>
              <w:jc w:val="left"/>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提供医保服务协议复印件。</w:t>
            </w:r>
          </w:p>
        </w:tc>
      </w:tr>
    </w:tbl>
    <w:p>
      <w:pPr>
        <w:pStyle w:val="4"/>
        <w:rPr>
          <w:rFonts w:hint="default" w:ascii="Times New Roman" w:hAnsi="Times New Roman" w:cs="Times New Roman"/>
          <w:color w:val="000000" w:themeColor="text1"/>
          <w:sz w:val="21"/>
          <w:szCs w:val="21"/>
          <w14:textFill>
            <w14:solidFill>
              <w14:schemeClr w14:val="tx1"/>
            </w14:solidFill>
          </w14:textFill>
        </w:rPr>
      </w:pPr>
    </w:p>
    <w:p>
      <w:pPr>
        <w:pStyle w:val="4"/>
        <w:rPr>
          <w:rFonts w:hint="default" w:ascii="Times New Roman" w:hAnsi="Times New Roman" w:cs="Times New Roman"/>
          <w:color w:val="000000" w:themeColor="text1"/>
          <w:sz w:val="21"/>
          <w:szCs w:val="21"/>
          <w14:textFill>
            <w14:solidFill>
              <w14:schemeClr w14:val="tx1"/>
            </w14:solidFill>
          </w14:textFill>
        </w:rPr>
      </w:pPr>
    </w:p>
    <w:p>
      <w:pPr>
        <w:pStyle w:val="4"/>
        <w:rPr>
          <w:rFonts w:hint="default" w:ascii="Times New Roman" w:hAnsi="Times New Roman" w:cs="Times New Roman"/>
          <w:color w:val="000000" w:themeColor="text1"/>
          <w:sz w:val="21"/>
          <w:szCs w:val="21"/>
          <w14:textFill>
            <w14:solidFill>
              <w14:schemeClr w14:val="tx1"/>
            </w14:solidFill>
          </w14:textFill>
        </w:rPr>
      </w:pPr>
    </w:p>
    <w:tbl>
      <w:tblPr>
        <w:tblStyle w:val="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1223"/>
        <w:gridCol w:w="1581"/>
        <w:gridCol w:w="3300"/>
        <w:gridCol w:w="6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62" w:type="dxa"/>
            <w:vAlign w:val="center"/>
          </w:tcPr>
          <w:p>
            <w:pPr>
              <w:pStyle w:val="4"/>
              <w:jc w:val="center"/>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评分项目</w:t>
            </w:r>
          </w:p>
        </w:tc>
        <w:tc>
          <w:tcPr>
            <w:tcW w:w="1223" w:type="dxa"/>
            <w:vAlign w:val="center"/>
          </w:tcPr>
          <w:p>
            <w:pPr>
              <w:pStyle w:val="4"/>
              <w:jc w:val="center"/>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标准分</w:t>
            </w:r>
          </w:p>
        </w:tc>
        <w:tc>
          <w:tcPr>
            <w:tcW w:w="1581" w:type="dxa"/>
            <w:vAlign w:val="center"/>
          </w:tcPr>
          <w:p>
            <w:pPr>
              <w:pStyle w:val="4"/>
              <w:jc w:val="center"/>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w:t>评分分项</w:t>
            </w:r>
          </w:p>
        </w:tc>
        <w:tc>
          <w:tcPr>
            <w:tcW w:w="3300" w:type="dxa"/>
            <w:vAlign w:val="center"/>
          </w:tcPr>
          <w:p>
            <w:pPr>
              <w:pStyle w:val="4"/>
              <w:jc w:val="center"/>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w:t>评分内容</w:t>
            </w:r>
          </w:p>
        </w:tc>
        <w:tc>
          <w:tcPr>
            <w:tcW w:w="6308" w:type="dxa"/>
            <w:vAlign w:val="center"/>
          </w:tcPr>
          <w:p>
            <w:pPr>
              <w:pStyle w:val="4"/>
              <w:jc w:val="center"/>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6" w:hRule="atLeast"/>
        </w:trPr>
        <w:tc>
          <w:tcPr>
            <w:tcW w:w="1762" w:type="dxa"/>
            <w:vAlign w:val="center"/>
          </w:tcPr>
          <w:p>
            <w:pPr>
              <w:pStyle w:val="11"/>
              <w:spacing w:before="1" w:line="323" w:lineRule="exact"/>
              <w:ind w:left="0" w:leftChars="0" w:firstLine="0" w:firstLineChars="0"/>
              <w:jc w:val="cente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管理能力</w:t>
            </w:r>
          </w:p>
          <w:p>
            <w:pPr>
              <w:pStyle w:val="11"/>
              <w:spacing w:before="1" w:line="323" w:lineRule="exact"/>
              <w:ind w:left="0" w:leftChars="0" w:firstLine="0" w:firstLineChars="0"/>
              <w:jc w:val="center"/>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w:t>
            </w:r>
            <w:r>
              <w:rPr>
                <w:rFonts w:hint="eastAsia"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50</w:t>
            </w: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 xml:space="preserve"> 分）</w:t>
            </w:r>
          </w:p>
        </w:tc>
        <w:tc>
          <w:tcPr>
            <w:tcW w:w="1223" w:type="dxa"/>
            <w:vAlign w:val="center"/>
          </w:tcPr>
          <w:p>
            <w:pPr>
              <w:pStyle w:val="4"/>
              <w:jc w:val="center"/>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10</w:t>
            </w:r>
          </w:p>
        </w:tc>
        <w:tc>
          <w:tcPr>
            <w:tcW w:w="1581" w:type="dxa"/>
            <w:vAlign w:val="center"/>
          </w:tcPr>
          <w:p>
            <w:pPr>
              <w:pStyle w:val="4"/>
              <w:jc w:val="center"/>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信息化管理</w:t>
            </w:r>
          </w:p>
        </w:tc>
        <w:tc>
          <w:tcPr>
            <w:tcW w:w="3300" w:type="dxa"/>
            <w:vAlign w:val="center"/>
          </w:tcPr>
          <w:p>
            <w:pPr>
              <w:pStyle w:val="4"/>
              <w:numPr>
                <w:ilvl w:val="0"/>
                <w:numId w:val="4"/>
              </w:numPr>
              <w:jc w:val="left"/>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申报门店有药房至患者侧配送管理及冷链全程记录的得5分</w:t>
            </w: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w:t>
            </w:r>
          </w:p>
          <w:p>
            <w:pPr>
              <w:pStyle w:val="4"/>
              <w:numPr>
                <w:ilvl w:val="0"/>
                <w:numId w:val="4"/>
              </w:numPr>
              <w:jc w:val="left"/>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为患者提供用药提醒、用药指导、随访跟踪等服务管理的得5分。</w:t>
            </w:r>
          </w:p>
        </w:tc>
        <w:tc>
          <w:tcPr>
            <w:tcW w:w="6308" w:type="dxa"/>
            <w:vAlign w:val="center"/>
          </w:tcPr>
          <w:p>
            <w:pPr>
              <w:pStyle w:val="11"/>
              <w:spacing w:before="23" w:line="160" w:lineRule="auto"/>
              <w:ind w:right="96"/>
              <w:jc w:val="both"/>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1.药房至患者侧配送管理及冷链全程记录：包括能够管理到药品销售使用全过程，从而能够分辨配送给患者的是哪一盒药；对于药品配送有清晰的记录，配送给谁、谁送货、何时出发、何时送到；能够查看专用冷链箱在配送途中的温度和位置；对于冷链药品，在配送管理中能够清晰展现配送全程的途中温度状况及配送路线，从而确保药品出库地点和配送起止时间和实际情况匹配；配送管理能够对配送途中的超温情况给出提醒。</w:t>
            </w:r>
          </w:p>
          <w:p>
            <w:pPr>
              <w:pStyle w:val="11"/>
              <w:spacing w:line="238" w:lineRule="exact"/>
              <w:jc w:val="both"/>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以上没有信息化管理得0分，有但功能不健全，每少一项扣1分，扣完为止。</w:t>
            </w: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（国家谈判药品）</w:t>
            </w:r>
          </w:p>
          <w:p>
            <w:pPr>
              <w:pStyle w:val="11"/>
              <w:spacing w:before="27" w:line="160" w:lineRule="auto"/>
              <w:ind w:right="-15"/>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2.患者服务管理信息化：包括能够清楚记录哪个患者购买了何种药品，以便于随后围绕此患者使用的具体药品情况开展售后服务； 能够管理维护针对患者的服务计划；能够根据患者服务计划创建服务任务，并将任务分配给指定客服人员或执业药师开展服务；能够清晰记录开展的一系列服务情况，如谁什么时候联系了患者，做了什么服务（用药提醒、用药指导、随访跟踪、赠药提醒等）；能够提供患者服务执行的时效管理，对于超过服务时限的任务能够给予药房管理人员明显地提醒。</w:t>
            </w:r>
          </w:p>
          <w:p>
            <w:pPr>
              <w:pStyle w:val="11"/>
              <w:spacing w:line="238" w:lineRule="exact"/>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以上没有信息化管理得0分，有但功能不健全，每少一项扣1分，扣完为止。</w:t>
            </w:r>
          </w:p>
        </w:tc>
      </w:tr>
    </w:tbl>
    <w:p>
      <w:pPr>
        <w:rPr>
          <w:rFonts w:hint="default" w:ascii="Times New Roman" w:hAnsi="Times New Roman" w:cs="Times New Roman"/>
          <w:color w:val="000000" w:themeColor="text1"/>
          <w:sz w:val="21"/>
          <w:szCs w:val="21"/>
          <w14:textFill>
            <w14:solidFill>
              <w14:schemeClr w14:val="tx1"/>
            </w14:solidFill>
          </w14:textFill>
        </w:rPr>
      </w:pPr>
    </w:p>
    <w:tbl>
      <w:tblPr>
        <w:tblStyle w:val="9"/>
        <w:tblpPr w:leftFromText="180" w:rightFromText="180" w:vertAnchor="text" w:horzAnchor="page" w:tblpX="1327" w:tblpY="152"/>
        <w:tblOverlap w:val="never"/>
        <w:tblW w:w="142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957"/>
        <w:gridCol w:w="1373"/>
        <w:gridCol w:w="4870"/>
        <w:gridCol w:w="5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416" w:type="dxa"/>
            <w:vAlign w:val="center"/>
          </w:tcPr>
          <w:p>
            <w:pPr>
              <w:pStyle w:val="4"/>
              <w:jc w:val="center"/>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评分项目</w:t>
            </w:r>
          </w:p>
        </w:tc>
        <w:tc>
          <w:tcPr>
            <w:tcW w:w="957" w:type="dxa"/>
            <w:vAlign w:val="center"/>
          </w:tcPr>
          <w:p>
            <w:pPr>
              <w:pStyle w:val="4"/>
              <w:jc w:val="center"/>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标准分</w:t>
            </w:r>
          </w:p>
        </w:tc>
        <w:tc>
          <w:tcPr>
            <w:tcW w:w="1373" w:type="dxa"/>
            <w:vAlign w:val="center"/>
          </w:tcPr>
          <w:p>
            <w:pPr>
              <w:pStyle w:val="4"/>
              <w:jc w:val="center"/>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w:t>评分分项</w:t>
            </w:r>
          </w:p>
        </w:tc>
        <w:tc>
          <w:tcPr>
            <w:tcW w:w="4870" w:type="dxa"/>
            <w:vAlign w:val="center"/>
          </w:tcPr>
          <w:p>
            <w:pPr>
              <w:pStyle w:val="4"/>
              <w:jc w:val="center"/>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w:t>评分内容</w:t>
            </w:r>
          </w:p>
        </w:tc>
        <w:tc>
          <w:tcPr>
            <w:tcW w:w="5605" w:type="dxa"/>
            <w:vAlign w:val="center"/>
          </w:tcPr>
          <w:p>
            <w:pPr>
              <w:pStyle w:val="4"/>
              <w:jc w:val="center"/>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4" w:hRule="atLeast"/>
        </w:trPr>
        <w:tc>
          <w:tcPr>
            <w:tcW w:w="1416" w:type="dxa"/>
            <w:vMerge w:val="restart"/>
            <w:vAlign w:val="center"/>
          </w:tcPr>
          <w:p>
            <w:pPr>
              <w:pStyle w:val="11"/>
              <w:spacing w:before="1" w:line="323" w:lineRule="exact"/>
              <w:ind w:left="0" w:leftChars="0" w:firstLine="0" w:firstLineChars="0"/>
              <w:jc w:val="cente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管理能力</w:t>
            </w:r>
          </w:p>
          <w:p>
            <w:pPr>
              <w:pStyle w:val="11"/>
              <w:spacing w:before="1" w:line="323" w:lineRule="exact"/>
              <w:ind w:left="0" w:leftChars="0" w:firstLine="0" w:firstLineChars="0"/>
              <w:jc w:val="center"/>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w:t>
            </w:r>
            <w:r>
              <w:rPr>
                <w:rFonts w:hint="eastAsia"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50</w:t>
            </w: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分）</w:t>
            </w:r>
          </w:p>
        </w:tc>
        <w:tc>
          <w:tcPr>
            <w:tcW w:w="957" w:type="dxa"/>
            <w:vAlign w:val="center"/>
          </w:tcPr>
          <w:p>
            <w:pPr>
              <w:pStyle w:val="11"/>
              <w:spacing w:line="259" w:lineRule="exact"/>
              <w:jc w:val="cente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p>
          <w:p>
            <w:pPr>
              <w:pStyle w:val="11"/>
              <w:spacing w:line="259" w:lineRule="exact"/>
              <w:jc w:val="cente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5</w:t>
            </w:r>
          </w:p>
        </w:tc>
        <w:tc>
          <w:tcPr>
            <w:tcW w:w="1373" w:type="dxa"/>
            <w:vAlign w:val="center"/>
          </w:tcPr>
          <w:p>
            <w:pPr>
              <w:pStyle w:val="11"/>
              <w:spacing w:line="259" w:lineRule="exact"/>
              <w:jc w:val="cente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p>
          <w:p>
            <w:pPr>
              <w:pStyle w:val="11"/>
              <w:spacing w:line="259" w:lineRule="exact"/>
              <w:jc w:val="cente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系统对接</w:t>
            </w:r>
          </w:p>
        </w:tc>
        <w:tc>
          <w:tcPr>
            <w:tcW w:w="4870" w:type="dxa"/>
            <w:shd w:val="clear" w:color="auto" w:fill="auto"/>
            <w:vAlign w:val="center"/>
          </w:tcPr>
          <w:p>
            <w:pPr>
              <w:pStyle w:val="7"/>
              <w:numPr>
                <w:ilvl w:val="0"/>
                <w:numId w:val="0"/>
              </w:numPr>
              <w:shd w:val="clear"/>
              <w:spacing w:before="0" w:beforeAutospacing="0" w:after="0" w:afterAutospacing="0"/>
              <w:jc w:val="both"/>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1.做好信息系统对接，依托全省统一的处方流转平台，进一步强化医保结算功能、人证相符审核、电子处方认证等信息模块运用，实现处方流转外购药品“一站式”结算。鼓励定点医疗机构和“双通道”药店依托云南医保移动支付平台，促进“双通道”用药保障机制和移动支付有效结合，开通网上支付、移动支付等功能，提供“双通道”药品医保直接结算服务。</w:t>
            </w:r>
          </w:p>
          <w:p>
            <w:pPr>
              <w:pStyle w:val="7"/>
              <w:numPr>
                <w:ilvl w:val="0"/>
                <w:numId w:val="0"/>
              </w:numPr>
              <w:shd w:val="clear"/>
              <w:spacing w:before="0" w:beforeAutospacing="0" w:after="0" w:afterAutospacing="0"/>
              <w:jc w:val="both"/>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2.鼓励定点医疗机构和“双通道”药店提供“互联网+”药品流通服务，打通线上线下服务通道，实现“网订店取”或“网订店送”。</w:t>
            </w:r>
          </w:p>
          <w:p>
            <w:pPr>
              <w:pStyle w:val="11"/>
              <w:spacing w:line="259" w:lineRule="exact"/>
              <w:jc w:val="both"/>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p>
        </w:tc>
        <w:tc>
          <w:tcPr>
            <w:tcW w:w="5605" w:type="dxa"/>
            <w:vAlign w:val="center"/>
          </w:tcPr>
          <w:p>
            <w:pPr>
              <w:pStyle w:val="11"/>
              <w:spacing w:line="259" w:lineRule="exact"/>
              <w:jc w:val="both"/>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未完成信息系统对接得0分；完成信息系统对接，但不能提供“互联网+”药品流通服务的扣1分。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416" w:type="dxa"/>
            <w:vMerge w:val="continue"/>
            <w:vAlign w:val="center"/>
          </w:tcPr>
          <w:p>
            <w:pPr>
              <w:pStyle w:val="11"/>
              <w:spacing w:line="259" w:lineRule="exact"/>
              <w:jc w:val="cente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p>
        </w:tc>
        <w:tc>
          <w:tcPr>
            <w:tcW w:w="957" w:type="dxa"/>
            <w:vAlign w:val="center"/>
          </w:tcPr>
          <w:p>
            <w:pPr>
              <w:pStyle w:val="11"/>
              <w:spacing w:line="259" w:lineRule="exact"/>
              <w:jc w:val="cente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5</w:t>
            </w:r>
          </w:p>
        </w:tc>
        <w:tc>
          <w:tcPr>
            <w:tcW w:w="1373" w:type="dxa"/>
            <w:vAlign w:val="center"/>
          </w:tcPr>
          <w:p>
            <w:pPr>
              <w:pStyle w:val="11"/>
              <w:spacing w:line="259" w:lineRule="exact"/>
              <w:jc w:val="cente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违规情况</w:t>
            </w:r>
          </w:p>
        </w:tc>
        <w:tc>
          <w:tcPr>
            <w:tcW w:w="4870" w:type="dxa"/>
            <w:vAlign w:val="center"/>
          </w:tcPr>
          <w:p>
            <w:pPr>
              <w:pStyle w:val="11"/>
              <w:spacing w:line="259" w:lineRule="exact"/>
              <w:jc w:val="both"/>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2022年1月1日以来，无医保违规记录，无重大违法行为外的行业主管部门处罚记录的得5分。</w:t>
            </w:r>
          </w:p>
        </w:tc>
        <w:tc>
          <w:tcPr>
            <w:tcW w:w="5605" w:type="dxa"/>
            <w:vAlign w:val="center"/>
          </w:tcPr>
          <w:p>
            <w:pPr>
              <w:pStyle w:val="11"/>
              <w:spacing w:line="259" w:lineRule="exact"/>
              <w:jc w:val="both"/>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药品经营连锁企业县市辖区内门店有医保违规或行政处罚记录的，每发生一例扣2分，扣完5分为止。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416" w:type="dxa"/>
            <w:vMerge w:val="continue"/>
            <w:vAlign w:val="center"/>
          </w:tcPr>
          <w:p>
            <w:pPr>
              <w:pStyle w:val="11"/>
              <w:spacing w:line="259" w:lineRule="exact"/>
              <w:jc w:val="cente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p>
        </w:tc>
        <w:tc>
          <w:tcPr>
            <w:tcW w:w="957" w:type="dxa"/>
            <w:vAlign w:val="center"/>
          </w:tcPr>
          <w:p>
            <w:pPr>
              <w:pStyle w:val="11"/>
              <w:spacing w:line="259" w:lineRule="exact"/>
              <w:jc w:val="cente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5</w:t>
            </w:r>
          </w:p>
        </w:tc>
        <w:tc>
          <w:tcPr>
            <w:tcW w:w="1373" w:type="dxa"/>
            <w:vAlign w:val="center"/>
          </w:tcPr>
          <w:p>
            <w:pPr>
              <w:pStyle w:val="11"/>
              <w:spacing w:line="259" w:lineRule="exact"/>
              <w:jc w:val="cente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医保管理</w:t>
            </w:r>
          </w:p>
        </w:tc>
        <w:tc>
          <w:tcPr>
            <w:tcW w:w="4870" w:type="dxa"/>
            <w:vAlign w:val="center"/>
          </w:tcPr>
          <w:p>
            <w:pPr>
              <w:pStyle w:val="11"/>
              <w:spacing w:line="259" w:lineRule="exact"/>
              <w:jc w:val="both"/>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参加医保组织的培训或会议、按质按量配合完成医保安排的各项工作的得5分。</w:t>
            </w:r>
          </w:p>
        </w:tc>
        <w:tc>
          <w:tcPr>
            <w:tcW w:w="5605" w:type="dxa"/>
            <w:vAlign w:val="center"/>
          </w:tcPr>
          <w:p>
            <w:pPr>
              <w:pStyle w:val="11"/>
              <w:spacing w:line="259" w:lineRule="exact"/>
              <w:jc w:val="both"/>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未参加或未配合完成一次扣</w:t>
            </w: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1</w:t>
            </w: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1416" w:type="dxa"/>
            <w:vMerge w:val="continue"/>
            <w:vAlign w:val="center"/>
          </w:tcPr>
          <w:p>
            <w:pPr>
              <w:pStyle w:val="11"/>
              <w:spacing w:line="259" w:lineRule="exact"/>
              <w:jc w:val="cente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p>
        </w:tc>
        <w:tc>
          <w:tcPr>
            <w:tcW w:w="957" w:type="dxa"/>
            <w:vAlign w:val="center"/>
          </w:tcPr>
          <w:p>
            <w:pPr>
              <w:pStyle w:val="11"/>
              <w:spacing w:line="259" w:lineRule="exact"/>
              <w:jc w:val="cente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5</w:t>
            </w:r>
          </w:p>
        </w:tc>
        <w:tc>
          <w:tcPr>
            <w:tcW w:w="1373" w:type="dxa"/>
            <w:vAlign w:val="center"/>
          </w:tcPr>
          <w:p>
            <w:pPr>
              <w:pStyle w:val="11"/>
              <w:spacing w:line="259" w:lineRule="exact"/>
              <w:jc w:val="cente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管理要求</w:t>
            </w:r>
          </w:p>
        </w:tc>
        <w:tc>
          <w:tcPr>
            <w:tcW w:w="4870" w:type="dxa"/>
            <w:vAlign w:val="center"/>
          </w:tcPr>
          <w:p>
            <w:pPr>
              <w:pStyle w:val="11"/>
              <w:spacing w:line="259" w:lineRule="exact"/>
              <w:jc w:val="both"/>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申报门店要提供“双通道”用药管理方案，应严格按药品分类管理的要求销售药品，不得以任何形式变相向患者推销其他药品、医疗器械、保健品等，切实保障患者权益和用药安全。</w:t>
            </w:r>
          </w:p>
        </w:tc>
        <w:tc>
          <w:tcPr>
            <w:tcW w:w="5605" w:type="dxa"/>
            <w:vAlign w:val="center"/>
          </w:tcPr>
          <w:p>
            <w:pPr>
              <w:pStyle w:val="11"/>
              <w:spacing w:line="259" w:lineRule="exact"/>
              <w:jc w:val="both"/>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提供谈判药管理方案，综合介绍与谈判药管理、服务紧密相关的内容。评委根据管理方案的完整、优化合理程度及执行情况综合评分，较好得4-5分，一般得2-3分，较差得1分，没有不得分。</w:t>
            </w:r>
          </w:p>
        </w:tc>
      </w:tr>
    </w:tbl>
    <w:tbl>
      <w:tblPr>
        <w:tblStyle w:val="8"/>
        <w:tblpPr w:leftFromText="180" w:rightFromText="180" w:vertAnchor="text" w:horzAnchor="page" w:tblpX="1441" w:tblpY="187"/>
        <w:tblOverlap w:val="never"/>
        <w:tblW w:w="139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3"/>
        <w:gridCol w:w="1093"/>
        <w:gridCol w:w="1719"/>
        <w:gridCol w:w="3141"/>
        <w:gridCol w:w="65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1413" w:type="dxa"/>
            <w:vAlign w:val="center"/>
          </w:tcPr>
          <w:p>
            <w:pPr>
              <w:pStyle w:val="11"/>
              <w:spacing w:before="86"/>
              <w:jc w:val="cente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评分项目</w:t>
            </w:r>
          </w:p>
        </w:tc>
        <w:tc>
          <w:tcPr>
            <w:tcW w:w="1093" w:type="dxa"/>
            <w:vAlign w:val="center"/>
          </w:tcPr>
          <w:p>
            <w:pPr>
              <w:pStyle w:val="11"/>
              <w:spacing w:before="86"/>
              <w:ind w:right="23" w:rightChars="0"/>
              <w:jc w:val="cente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标准分</w:t>
            </w:r>
          </w:p>
        </w:tc>
        <w:tc>
          <w:tcPr>
            <w:tcW w:w="1719" w:type="dxa"/>
            <w:vAlign w:val="center"/>
          </w:tcPr>
          <w:p>
            <w:pPr>
              <w:pStyle w:val="11"/>
              <w:spacing w:before="86"/>
              <w:ind w:right="29" w:rightChars="0"/>
              <w:jc w:val="cente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评分分项</w:t>
            </w:r>
          </w:p>
        </w:tc>
        <w:tc>
          <w:tcPr>
            <w:tcW w:w="3141" w:type="dxa"/>
            <w:vAlign w:val="center"/>
          </w:tcPr>
          <w:p>
            <w:pPr>
              <w:pStyle w:val="11"/>
              <w:spacing w:before="86"/>
              <w:ind w:left="0" w:leftChars="0" w:right="-29" w:rightChars="0" w:firstLine="0" w:firstLineChars="0"/>
              <w:jc w:val="cente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评分内容</w:t>
            </w:r>
          </w:p>
        </w:tc>
        <w:tc>
          <w:tcPr>
            <w:tcW w:w="6584" w:type="dxa"/>
            <w:vAlign w:val="center"/>
          </w:tcPr>
          <w:p>
            <w:pPr>
              <w:pStyle w:val="11"/>
              <w:spacing w:before="86"/>
              <w:ind w:right="54" w:rightChars="0"/>
              <w:jc w:val="cente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2" w:hRule="atLeast"/>
        </w:trPr>
        <w:tc>
          <w:tcPr>
            <w:tcW w:w="1413" w:type="dxa"/>
            <w:vMerge w:val="restart"/>
            <w:vAlign w:val="center"/>
          </w:tcPr>
          <w:p>
            <w:pPr>
              <w:pStyle w:val="11"/>
              <w:spacing w:before="1" w:line="323" w:lineRule="exact"/>
              <w:ind w:left="0" w:leftChars="0" w:firstLine="0" w:firstLineChars="0"/>
              <w:jc w:val="cente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服务能力</w:t>
            </w:r>
          </w:p>
          <w:p>
            <w:pPr>
              <w:pStyle w:val="11"/>
              <w:spacing w:before="1" w:line="323" w:lineRule="exact"/>
              <w:ind w:left="0" w:leftChars="0" w:firstLine="0" w:firstLineChars="0"/>
              <w:jc w:val="center"/>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w:t>
            </w:r>
            <w:r>
              <w:rPr>
                <w:rFonts w:hint="eastAsia"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25</w:t>
            </w: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分）</w:t>
            </w:r>
          </w:p>
        </w:tc>
        <w:tc>
          <w:tcPr>
            <w:tcW w:w="1093" w:type="dxa"/>
            <w:vAlign w:val="center"/>
          </w:tcPr>
          <w:p>
            <w:pPr>
              <w:pStyle w:val="11"/>
              <w:spacing w:line="259" w:lineRule="exact"/>
              <w:jc w:val="cente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p>
          <w:p>
            <w:pPr>
              <w:pStyle w:val="11"/>
              <w:spacing w:line="259" w:lineRule="exact"/>
              <w:jc w:val="cente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p>
          <w:p>
            <w:pPr>
              <w:pStyle w:val="11"/>
              <w:spacing w:line="259" w:lineRule="exact"/>
              <w:jc w:val="cente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5</w:t>
            </w:r>
          </w:p>
        </w:tc>
        <w:tc>
          <w:tcPr>
            <w:tcW w:w="1719" w:type="dxa"/>
            <w:vAlign w:val="center"/>
          </w:tcPr>
          <w:p>
            <w:pPr>
              <w:pStyle w:val="11"/>
              <w:spacing w:line="259" w:lineRule="exact"/>
              <w:jc w:val="left"/>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p>
          <w:p>
            <w:pPr>
              <w:pStyle w:val="11"/>
              <w:spacing w:line="259" w:lineRule="exact"/>
              <w:jc w:val="left"/>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p>
          <w:p>
            <w:pPr>
              <w:pStyle w:val="11"/>
              <w:spacing w:line="259" w:lineRule="exact"/>
              <w:jc w:val="left"/>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配送服务</w:t>
            </w:r>
          </w:p>
        </w:tc>
        <w:tc>
          <w:tcPr>
            <w:tcW w:w="3141" w:type="dxa"/>
            <w:vAlign w:val="center"/>
          </w:tcPr>
          <w:p>
            <w:pPr>
              <w:pStyle w:val="11"/>
              <w:spacing w:line="259" w:lineRule="exact"/>
              <w:jc w:val="left"/>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p>
          <w:p>
            <w:pPr>
              <w:pStyle w:val="11"/>
              <w:spacing w:line="259" w:lineRule="exact"/>
              <w:jc w:val="both"/>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申报门店具备将谈判药按时保质配送到患者家里或指定地点的能力。有明确的配送操作规程的得1分，有近一年的配送服务信息化记录的得</w:t>
            </w: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2</w:t>
            </w: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分，有零售专用冷链配送设备的得</w:t>
            </w: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2</w:t>
            </w: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分。</w:t>
            </w:r>
          </w:p>
        </w:tc>
        <w:tc>
          <w:tcPr>
            <w:tcW w:w="6584" w:type="dxa"/>
            <w:vAlign w:val="center"/>
          </w:tcPr>
          <w:p>
            <w:pPr>
              <w:pStyle w:val="11"/>
              <w:spacing w:line="259" w:lineRule="exact"/>
              <w:jc w:val="both"/>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提供配送操作规程，有清晰完整配送操作规程制度文件的得1分；冷链箱能够通过移动网络实时传送配送途中的箱内温度和位置数据给药房管理系统的得</w:t>
            </w: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1</w:t>
            </w: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分；冷链箱通过第三方验证，保证能够有良好的温控效果的得</w:t>
            </w: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1</w:t>
            </w: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分；检查第三方冷链认证的证明文件复印件；</w:t>
            </w:r>
          </w:p>
          <w:p>
            <w:pPr>
              <w:pStyle w:val="11"/>
              <w:spacing w:line="259" w:lineRule="exact"/>
              <w:jc w:val="left"/>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提供实际配送记录复印件：患者签收单据和配送管理系统（和前述的信息化系统为同一个系统）的记录能够匹配。符合要求的得</w:t>
            </w: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3</w:t>
            </w: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6" w:hRule="atLeast"/>
        </w:trPr>
        <w:tc>
          <w:tcPr>
            <w:tcW w:w="1413" w:type="dxa"/>
            <w:vMerge w:val="continue"/>
            <w:tcBorders>
              <w:top w:val="nil"/>
            </w:tcBorders>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1093" w:type="dxa"/>
            <w:vAlign w:val="center"/>
          </w:tcPr>
          <w:p>
            <w:pPr>
              <w:pStyle w:val="11"/>
              <w:spacing w:line="259" w:lineRule="exact"/>
              <w:jc w:val="cente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p>
          <w:p>
            <w:pPr>
              <w:pStyle w:val="11"/>
              <w:spacing w:line="259" w:lineRule="exact"/>
              <w:jc w:val="cente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15</w:t>
            </w:r>
          </w:p>
        </w:tc>
        <w:tc>
          <w:tcPr>
            <w:tcW w:w="1719" w:type="dxa"/>
            <w:vAlign w:val="center"/>
          </w:tcPr>
          <w:p>
            <w:pPr>
              <w:pStyle w:val="11"/>
              <w:spacing w:line="259" w:lineRule="exact"/>
              <w:jc w:val="left"/>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谈判药配备率</w:t>
            </w:r>
          </w:p>
        </w:tc>
        <w:tc>
          <w:tcPr>
            <w:tcW w:w="3141" w:type="dxa"/>
            <w:vAlign w:val="center"/>
          </w:tcPr>
          <w:p>
            <w:pPr>
              <w:pStyle w:val="11"/>
              <w:numPr>
                <w:ilvl w:val="0"/>
                <w:numId w:val="5"/>
              </w:numPr>
              <w:spacing w:line="259" w:lineRule="exact"/>
              <w:jc w:val="both"/>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国家医保谈判药品品种配备≧30%的得10分</w:t>
            </w: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w:t>
            </w:r>
          </w:p>
          <w:p>
            <w:pPr>
              <w:pStyle w:val="11"/>
              <w:numPr>
                <w:ilvl w:val="0"/>
                <w:numId w:val="5"/>
              </w:numPr>
              <w:spacing w:line="259" w:lineRule="exact"/>
              <w:jc w:val="both"/>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现场配备品种≧30个品种的得5分；≧20个品种的得3分；少于20个品种的不得分。</w:t>
            </w:r>
          </w:p>
        </w:tc>
        <w:tc>
          <w:tcPr>
            <w:tcW w:w="6584" w:type="dxa"/>
            <w:vAlign w:val="center"/>
          </w:tcPr>
          <w:p>
            <w:pPr>
              <w:pStyle w:val="11"/>
              <w:spacing w:line="259" w:lineRule="exact"/>
              <w:jc w:val="left"/>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查看国家医保谈判药品进销存发票（单据）或台账，进销发票（单据）与进销存系统记录保持一致；提供国家医保谈判药品品种配备能力清单及相关证明材料。</w:t>
            </w: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（国家谈判药品）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3" w:hRule="atLeast"/>
        </w:trPr>
        <w:tc>
          <w:tcPr>
            <w:tcW w:w="1413" w:type="dxa"/>
            <w:vMerge w:val="continue"/>
            <w:tcBorders>
              <w:top w:val="nil"/>
            </w:tcBorders>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1093" w:type="dxa"/>
            <w:vAlign w:val="center"/>
          </w:tcPr>
          <w:p>
            <w:pPr>
              <w:pStyle w:val="11"/>
              <w:spacing w:line="259" w:lineRule="exact"/>
              <w:jc w:val="cente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p>
          <w:p>
            <w:pPr>
              <w:pStyle w:val="11"/>
              <w:spacing w:line="259" w:lineRule="exact"/>
              <w:jc w:val="cente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5</w:t>
            </w:r>
          </w:p>
        </w:tc>
        <w:tc>
          <w:tcPr>
            <w:tcW w:w="1719" w:type="dxa"/>
            <w:vAlign w:val="center"/>
          </w:tcPr>
          <w:p>
            <w:pPr>
              <w:pStyle w:val="11"/>
              <w:spacing w:line="259" w:lineRule="exact"/>
              <w:jc w:val="left"/>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p>
          <w:p>
            <w:pPr>
              <w:pStyle w:val="11"/>
              <w:spacing w:line="259" w:lineRule="exact"/>
              <w:jc w:val="left"/>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药品追溯机制</w:t>
            </w:r>
          </w:p>
        </w:tc>
        <w:tc>
          <w:tcPr>
            <w:tcW w:w="3141" w:type="dxa"/>
            <w:vAlign w:val="center"/>
          </w:tcPr>
          <w:p>
            <w:pPr>
              <w:pStyle w:val="11"/>
              <w:spacing w:line="259" w:lineRule="exact"/>
              <w:jc w:val="both"/>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按照国家有关规定使用药品电子追溯码，且能通过扫码的方式实时将进、销、存数据上传至云南省医保信息平台，并按照药品监督管理部门药品追溯工作要求，建立完善药品追溯工作机制。</w:t>
            </w:r>
          </w:p>
        </w:tc>
        <w:tc>
          <w:tcPr>
            <w:tcW w:w="6584" w:type="dxa"/>
            <w:vAlign w:val="center"/>
          </w:tcPr>
          <w:p>
            <w:pPr>
              <w:pStyle w:val="11"/>
              <w:spacing w:line="259" w:lineRule="exact"/>
              <w:jc w:val="left"/>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未使用药品电子追溯码的得0分；已使用药品电子追溯码，但未上传至云南省医保信息平台或上传信息不全的扣2分；未建立药品追溯工作机制的扣2分。</w:t>
            </w:r>
          </w:p>
        </w:tc>
      </w:tr>
    </w:tbl>
    <w:p>
      <w:pPr>
        <w:rPr>
          <w:rFonts w:hint="default"/>
        </w:rPr>
      </w:pPr>
      <w:r>
        <w:rPr>
          <w:rFonts w:hint="default"/>
        </w:rPr>
        <w:br w:type="page"/>
      </w:r>
    </w:p>
    <w:p>
      <w:pPr>
        <w:pStyle w:val="2"/>
        <w:rPr>
          <w:rFonts w:hint="default"/>
        </w:rPr>
        <w:sectPr>
          <w:footerReference r:id="rId3" w:type="default"/>
          <w:pgSz w:w="16838" w:h="11905" w:orient="landscape"/>
          <w:pgMar w:top="1803" w:right="1440" w:bottom="1803" w:left="1440" w:header="850" w:footer="992" w:gutter="0"/>
          <w:pgBorders>
            <w:top w:val="none" w:sz="0" w:space="0"/>
            <w:left w:val="none" w:sz="0" w:space="0"/>
            <w:bottom w:val="none" w:sz="0" w:space="0"/>
            <w:right w:val="none" w:sz="0" w:space="0"/>
          </w:pgBorders>
          <w:cols w:space="0" w:num="1"/>
          <w:rtlGutter w:val="0"/>
          <w:docGrid w:type="lines" w:linePitch="319" w:charSpace="0"/>
        </w:sectPr>
      </w:pPr>
    </w:p>
    <w:p>
      <w:pPr>
        <w:pStyle w:val="4"/>
        <w:rPr>
          <w:rFonts w:hint="default" w:ascii="Times New Roman" w:hAnsi="Times New Roman" w:cs="Times New Roman"/>
          <w:color w:val="000000" w:themeColor="text1"/>
          <w:sz w:val="21"/>
          <w:szCs w:val="21"/>
          <w14:textFill>
            <w14:solidFill>
              <w14:schemeClr w14:val="tx1"/>
            </w14:solidFill>
          </w14:textFill>
        </w:rPr>
      </w:pPr>
    </w:p>
    <w:p>
      <w:pPr>
        <w:rPr>
          <w:rFonts w:hint="default"/>
          <w:lang w:val="en-US"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5278755</wp:posOffset>
              </wp:positionH>
              <wp:positionV relativeFrom="page">
                <wp:posOffset>6745605</wp:posOffset>
              </wp:positionV>
              <wp:extent cx="530860" cy="3225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0860" cy="322580"/>
                      </a:xfrm>
                      <a:prstGeom prst="rect">
                        <a:avLst/>
                      </a:prstGeom>
                      <a:noFill/>
                      <a:ln>
                        <a:noFill/>
                      </a:ln>
                    </wps:spPr>
                    <wps:txbx>
                      <w:txbxContent>
                        <w:p>
                          <w:pPr>
                            <w:spacing w:before="0" w:line="203" w:lineRule="exact"/>
                            <w:ind w:left="60" w:right="0" w:firstLine="0"/>
                            <w:jc w:val="lef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p>
                      </w:txbxContent>
                    </wps:txbx>
                    <wps:bodyPr lIns="0" tIns="0" rIns="0" bIns="0" upright="1"/>
                  </wps:wsp>
                </a:graphicData>
              </a:graphic>
            </wp:anchor>
          </w:drawing>
        </mc:Choice>
        <mc:Fallback>
          <w:pict>
            <v:shape id="_x0000_s1026" o:spid="_x0000_s1026" o:spt="202" type="#_x0000_t202" style="position:absolute;left:0pt;margin-left:415.65pt;margin-top:531.15pt;height:25.4pt;width:41.8pt;mso-position-horizontal-relative:page;mso-position-vertical-relative:page;z-index:-251657216;mso-width-relative:page;mso-height-relative:page;" filled="f" stroked="f" coordsize="21600,21600" o:gfxdata="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FXVQz2gAAAA0BAAAPAAAAAAAA&#10;AAEAIAAAACIAAABkcnMvZG93bnJldi54bWxQSwECFAAUAAAACACHTuJANnSt1Z4BAAAjAwAADgAA&#10;AAAAAAABACAAAAApAQAAZHJzL2Uyb0RvYy54bWxQSwUGAAAAAAYABgBZAQAAOQUAAAAA&#10;">
              <v:fill on="f" focussize="0,0"/>
              <v:stroke on="f"/>
              <v:imagedata o:title=""/>
              <o:lock v:ext="edit" aspectratio="f"/>
              <v:textbox inset="0mm,0mm,0mm,0mm">
                <w:txbxContent>
                  <w:p>
                    <w:pPr>
                      <w:spacing w:before="0" w:line="203" w:lineRule="exact"/>
                      <w:ind w:left="60" w:right="0" w:firstLine="0"/>
                      <w:jc w:val="lef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68A48B"/>
    <w:multiLevelType w:val="singleLevel"/>
    <w:tmpl w:val="8B68A48B"/>
    <w:lvl w:ilvl="0" w:tentative="0">
      <w:start w:val="1"/>
      <w:numFmt w:val="decimal"/>
      <w:suff w:val="space"/>
      <w:lvlText w:val="%1."/>
      <w:lvlJc w:val="left"/>
    </w:lvl>
  </w:abstractNum>
  <w:abstractNum w:abstractNumId="1">
    <w:nsid w:val="F94C4113"/>
    <w:multiLevelType w:val="singleLevel"/>
    <w:tmpl w:val="F94C4113"/>
    <w:lvl w:ilvl="0" w:tentative="0">
      <w:start w:val="1"/>
      <w:numFmt w:val="decimal"/>
      <w:suff w:val="space"/>
      <w:lvlText w:val="%1."/>
      <w:lvlJc w:val="left"/>
    </w:lvl>
  </w:abstractNum>
  <w:abstractNum w:abstractNumId="2">
    <w:nsid w:val="19CC3CA3"/>
    <w:multiLevelType w:val="singleLevel"/>
    <w:tmpl w:val="19CC3CA3"/>
    <w:lvl w:ilvl="0" w:tentative="0">
      <w:start w:val="1"/>
      <w:numFmt w:val="decimal"/>
      <w:lvlText w:val="%1."/>
      <w:lvlJc w:val="left"/>
      <w:pPr>
        <w:tabs>
          <w:tab w:val="left" w:pos="312"/>
        </w:tabs>
      </w:pPr>
    </w:lvl>
  </w:abstractNum>
  <w:abstractNum w:abstractNumId="3">
    <w:nsid w:val="2533CF70"/>
    <w:multiLevelType w:val="singleLevel"/>
    <w:tmpl w:val="2533CF70"/>
    <w:lvl w:ilvl="0" w:tentative="0">
      <w:start w:val="1"/>
      <w:numFmt w:val="decimal"/>
      <w:lvlText w:val="%1."/>
      <w:lvlJc w:val="left"/>
      <w:pPr>
        <w:tabs>
          <w:tab w:val="left" w:pos="312"/>
        </w:tabs>
      </w:pPr>
    </w:lvl>
  </w:abstractNum>
  <w:abstractNum w:abstractNumId="4">
    <w:nsid w:val="71F8FAC1"/>
    <w:multiLevelType w:val="singleLevel"/>
    <w:tmpl w:val="71F8FAC1"/>
    <w:lvl w:ilvl="0" w:tentative="0">
      <w:start w:val="1"/>
      <w:numFmt w:val="decimal"/>
      <w:lvlText w:val="%1."/>
      <w:lvlJc w:val="left"/>
      <w:pPr>
        <w:tabs>
          <w:tab w:val="left" w:pos="312"/>
        </w:tabs>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1" w:cryptProviderType="rsaFull" w:cryptAlgorithmClass="hash" w:cryptAlgorithmType="typeAny" w:cryptAlgorithmSid="4" w:cryptSpinCount="0" w:hash="1fpS4gtBUCLBCfP4OIb36ABPP4M=" w:salt="hgrvuCtQpFbmAENULHGnM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RiMDc2ZDZhZDIzZjM0OTI2Nzg1ZmMxYzFhMmQ3NTgifQ=="/>
  </w:docVars>
  <w:rsids>
    <w:rsidRoot w:val="00000000"/>
    <w:rsid w:val="01080A12"/>
    <w:rsid w:val="01AA42E1"/>
    <w:rsid w:val="05CF7D50"/>
    <w:rsid w:val="0957598F"/>
    <w:rsid w:val="0EB37A2F"/>
    <w:rsid w:val="11B81FE1"/>
    <w:rsid w:val="12AB56A1"/>
    <w:rsid w:val="12D50556"/>
    <w:rsid w:val="15E23EF9"/>
    <w:rsid w:val="1756358F"/>
    <w:rsid w:val="18CB5415"/>
    <w:rsid w:val="1AEB6FEB"/>
    <w:rsid w:val="201123E9"/>
    <w:rsid w:val="21F71AC8"/>
    <w:rsid w:val="436C03B1"/>
    <w:rsid w:val="477D6248"/>
    <w:rsid w:val="48027536"/>
    <w:rsid w:val="5E4D172D"/>
    <w:rsid w:val="604D2EC1"/>
    <w:rsid w:val="68E7237A"/>
    <w:rsid w:val="6A072332"/>
    <w:rsid w:val="6AA52DD3"/>
    <w:rsid w:val="70B65108"/>
    <w:rsid w:val="71566079"/>
    <w:rsid w:val="77F757C5"/>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2">
    <w:name w:val="heading 1"/>
    <w:next w:val="1"/>
    <w:qFormat/>
    <w:uiPriority w:val="0"/>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paragraph" w:styleId="3">
    <w:name w:val="heading 4"/>
    <w:basedOn w:val="1"/>
    <w:next w:val="1"/>
    <w:unhideWhenUsed/>
    <w:qFormat/>
    <w:uiPriority w:val="0"/>
    <w:pPr>
      <w:keepNext/>
      <w:keepLines/>
      <w:spacing w:beforeLines="0" w:beforeAutospacing="0" w:afterLines="0" w:afterAutospacing="0" w:line="240" w:lineRule="auto"/>
      <w:jc w:val="left"/>
      <w:outlineLvl w:val="3"/>
    </w:pPr>
    <w:rPr>
      <w:rFonts w:ascii="Arial" w:hAnsi="Arial" w:eastAsia="宋体"/>
      <w:b/>
      <w:sz w:val="28"/>
    </w:rPr>
  </w:style>
  <w:style w:type="character" w:default="1" w:styleId="10">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4">
    <w:name w:val="Body Text"/>
    <w:basedOn w:val="1"/>
    <w:qFormat/>
    <w:uiPriority w:val="0"/>
    <w:rPr>
      <w:rFonts w:ascii="宋体" w:hAnsi="宋体" w:eastAsia="宋体" w:cs="宋体"/>
      <w:sz w:val="32"/>
      <w:szCs w:val="32"/>
      <w:lang w:val="en-US" w:eastAsia="zh-CN"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Table Paragraph"/>
    <w:basedOn w:val="1"/>
    <w:qFormat/>
    <w:uiPriority w:val="1"/>
    <w:pPr>
      <w:ind w:left="108"/>
    </w:pPr>
    <w:rPr>
      <w:rFonts w:ascii="微软雅黑" w:hAnsi="微软雅黑" w:eastAsia="微软雅黑" w:cs="微软雅黑"/>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2995</Words>
  <Characters>3042</Characters>
  <Paragraphs>73</Paragraphs>
  <TotalTime>1</TotalTime>
  <ScaleCrop>false</ScaleCrop>
  <LinksUpToDate>false</LinksUpToDate>
  <CharactersWithSpaces>3252</CharactersWithSpaces>
  <Application>WPS Office_11.8.6.8810_F1E327BC-269C-435d-A152-05C5408002CA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2024-06-14T01:50:00Z</dcterms:created>
  <dc:creator>23127PN0CC</dc:creator>
  <cp:lastModifiedBy>Administrator</cp:lastModifiedBy>
  <dcterms:modified xsi:type="dcterms:W3CDTF">2024-07-01T08:58:49Z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2A72B2A41E8447B28E5D3CC0A3F19C77_13</vt:lpwstr>
  </property>
  <property fmtid="{D5CDD505-2E9C-101B-9397-08002B2CF9AE}" pid="3" name="KSOProductBuildVer">
    <vt:lpwstr>2052-11.8.6.8810</vt:lpwstr>
  </property>
  <property fmtid="{D5CDD505-2E9C-101B-9397-08002B2CF9AE}" pid="4" name="docranid">
    <vt:lpwstr>56952B67E0724C88AD2686EB4BB5A46F</vt:lpwstr>
  </property>
</Properties>
</file>