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AD556">
      <w:pPr>
        <w:keepNext w:val="0"/>
        <w:keepLines w:val="0"/>
        <w:pageBreakBefore w:val="0"/>
        <w:kinsoku/>
        <w:wordWrap/>
        <w:overflowPunct/>
        <w:topLinePunct w:val="0"/>
        <w:autoSpaceDE/>
        <w:autoSpaceDN/>
        <w:bidi w:val="0"/>
        <w:snapToGrid w:val="0"/>
        <w:spacing w:line="580" w:lineRule="exact"/>
        <w:jc w:val="center"/>
        <w:textAlignment w:val="auto"/>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玉溪市江川区</w:t>
      </w:r>
      <w:r>
        <w:rPr>
          <w:rFonts w:hint="eastAsia" w:ascii="方正小标宋简体" w:eastAsia="方正小标宋简体"/>
          <w:sz w:val="44"/>
          <w:szCs w:val="44"/>
          <w:lang w:val="en-US" w:eastAsia="zh-CN"/>
        </w:rPr>
        <w:t>前卫镇人民政府2022</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02FF5EF7">
      <w:pPr>
        <w:keepNext w:val="0"/>
        <w:keepLines w:val="0"/>
        <w:pageBreakBefore w:val="0"/>
        <w:kinsoku/>
        <w:wordWrap/>
        <w:overflowPunct/>
        <w:topLinePunct w:val="0"/>
        <w:autoSpaceDE/>
        <w:autoSpaceDN/>
        <w:bidi w:val="0"/>
        <w:snapToGrid w:val="0"/>
        <w:spacing w:line="580" w:lineRule="exact"/>
        <w:jc w:val="center"/>
        <w:textAlignment w:val="auto"/>
        <w:rPr>
          <w:rFonts w:hint="eastAsia" w:ascii="方正小标宋简体" w:hAnsi="华文中宋" w:eastAsia="方正小标宋简体"/>
          <w:color w:val="auto"/>
          <w:spacing w:val="14"/>
          <w:sz w:val="44"/>
          <w:szCs w:val="44"/>
          <w:highlight w:val="none"/>
          <w:lang w:eastAsia="zh-CN"/>
        </w:rPr>
      </w:pPr>
    </w:p>
    <w:p w14:paraId="1987FF6A">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项目名称</w:t>
      </w:r>
    </w:p>
    <w:p w14:paraId="4FB9FBB6">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预备费专项资金</w:t>
      </w:r>
    </w:p>
    <w:p w14:paraId="2B456EFB">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立项依据</w:t>
      </w:r>
    </w:p>
    <w:p w14:paraId="1AFBADEE">
      <w:pPr>
        <w:keepNext w:val="0"/>
        <w:keepLines w:val="0"/>
        <w:pageBreakBefore w:val="0"/>
        <w:widowControl/>
        <w:kinsoku/>
        <w:wordWrap/>
        <w:overflowPunct/>
        <w:topLinePunct w:val="0"/>
        <w:autoSpaceDE/>
        <w:autoSpaceDN/>
        <w:bidi w:val="0"/>
        <w:spacing w:line="580" w:lineRule="exact"/>
        <w:ind w:firstLine="6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主席令第12号新预算法</w:t>
      </w:r>
    </w:p>
    <w:p w14:paraId="00A98679">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项目实施单位</w:t>
      </w:r>
    </w:p>
    <w:p w14:paraId="703BB8AD">
      <w:pPr>
        <w:keepNext w:val="0"/>
        <w:keepLines w:val="0"/>
        <w:pageBreakBefore w:val="0"/>
        <w:widowControl/>
        <w:kinsoku/>
        <w:wordWrap/>
        <w:overflowPunct/>
        <w:topLinePunct w:val="0"/>
        <w:autoSpaceDE/>
        <w:autoSpaceDN/>
        <w:bidi w:val="0"/>
        <w:spacing w:line="580" w:lineRule="exact"/>
        <w:ind w:firstLine="6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玉溪市江川区前卫镇人民政府</w:t>
      </w:r>
    </w:p>
    <w:p w14:paraId="64D88495">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项目基本概况</w:t>
      </w:r>
    </w:p>
    <w:p w14:paraId="49DEB5EE">
      <w:pPr>
        <w:pStyle w:val="2"/>
        <w:ind w:firstLine="640" w:firstLineChars="200"/>
        <w:rPr>
          <w:rFonts w:hint="eastAsia" w:ascii="楷体" w:hAnsi="楷体" w:eastAsia="楷体" w:cs="楷体"/>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为了规范政府收支行为，强化预算约束，加强对预算的管理和监督，建立健全全面规范、公开透明的预算制度，保障经济社会的健康发展，根据宪法，制定本法。预算、决算的编制、审查、批准、监督，以及预算的执行和调整，依照本法规定执行。</w:t>
      </w:r>
    </w:p>
    <w:p w14:paraId="70759A92">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项目实施内容</w:t>
      </w:r>
    </w:p>
    <w:p w14:paraId="57128FB3">
      <w:pPr>
        <w:keepNext w:val="0"/>
        <w:keepLines w:val="0"/>
        <w:pageBreakBefore w:val="0"/>
        <w:widowControl/>
        <w:kinsoku/>
        <w:wordWrap/>
        <w:overflowPunct/>
        <w:topLinePunct w:val="0"/>
        <w:autoSpaceDE/>
        <w:autoSpaceDN/>
        <w:bidi w:val="0"/>
        <w:spacing w:line="580" w:lineRule="exact"/>
        <w:ind w:firstLine="600"/>
        <w:jc w:val="lef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根据《中华人民共和国预算法》第四十条规定</w:t>
      </w:r>
      <w:r>
        <w:rPr>
          <w:rFonts w:hint="eastAsia" w:eastAsia="方正仿宋_GBK"/>
          <w:kern w:val="2"/>
          <w:sz w:val="32"/>
          <w:szCs w:val="32"/>
          <w:lang w:eastAsia="zh-CN"/>
        </w:rPr>
        <w:t>“</w:t>
      </w:r>
      <w:r>
        <w:rPr>
          <w:rFonts w:hint="eastAsia" w:ascii="Times New Roman" w:hAnsi="Times New Roman" w:eastAsia="仿宋_GB2312" w:cs="Times New Roman"/>
          <w:kern w:val="0"/>
          <w:sz w:val="32"/>
          <w:szCs w:val="32"/>
          <w:lang w:val="en-US" w:eastAsia="zh-CN"/>
        </w:rPr>
        <w:t>各级政府预算应当按照本级政府预算支出额的百分之一至百分之三设置预备费，用于当年预算执行中的自然灾害救灾开支及其他难以预见的特殊开支</w:t>
      </w:r>
      <w:r>
        <w:rPr>
          <w:rFonts w:hint="eastAsia" w:eastAsia="方正仿宋_GBK"/>
          <w:kern w:val="2"/>
          <w:sz w:val="32"/>
          <w:szCs w:val="32"/>
          <w:lang w:eastAsia="zh-CN"/>
        </w:rPr>
        <w:t>”。</w:t>
      </w:r>
    </w:p>
    <w:p w14:paraId="21C74221">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资金安排情况</w:t>
      </w:r>
    </w:p>
    <w:p w14:paraId="74607644">
      <w:pPr>
        <w:keepNext w:val="0"/>
        <w:keepLines w:val="0"/>
        <w:pageBreakBefore w:val="0"/>
        <w:widowControl/>
        <w:kinsoku/>
        <w:wordWrap/>
        <w:overflowPunct/>
        <w:topLinePunct w:val="0"/>
        <w:autoSpaceDE/>
        <w:autoSpaceDN/>
        <w:bidi w:val="0"/>
        <w:spacing w:line="580" w:lineRule="exact"/>
        <w:ind w:firstLine="6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本年度</w:t>
      </w:r>
      <w:r>
        <w:rPr>
          <w:rFonts w:hint="default" w:eastAsia="仿宋_GB2312"/>
          <w:kern w:val="0"/>
          <w:sz w:val="32"/>
          <w:szCs w:val="32"/>
          <w:lang w:val="en-US" w:eastAsia="zh-CN"/>
        </w:rPr>
        <w:t>安排资金</w:t>
      </w:r>
      <w:r>
        <w:rPr>
          <w:rFonts w:hint="eastAsia" w:eastAsia="仿宋_GB2312"/>
          <w:kern w:val="0"/>
          <w:sz w:val="32"/>
          <w:szCs w:val="32"/>
          <w:lang w:val="en-US" w:eastAsia="zh-CN"/>
        </w:rPr>
        <w:t>26</w:t>
      </w:r>
      <w:r>
        <w:rPr>
          <w:rFonts w:hint="default" w:eastAsia="仿宋_GB2312"/>
          <w:kern w:val="0"/>
          <w:sz w:val="32"/>
          <w:szCs w:val="32"/>
          <w:lang w:val="en-US" w:eastAsia="zh-CN"/>
        </w:rPr>
        <w:t>万元。</w:t>
      </w:r>
    </w:p>
    <w:p w14:paraId="6193DC28">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项目实施计划</w:t>
      </w:r>
    </w:p>
    <w:p w14:paraId="439861A4">
      <w:pPr>
        <w:keepNext w:val="0"/>
        <w:keepLines w:val="0"/>
        <w:pageBreakBefore w:val="0"/>
        <w:widowControl/>
        <w:kinsoku/>
        <w:wordWrap/>
        <w:overflowPunct/>
        <w:topLinePunct w:val="0"/>
        <w:autoSpaceDE/>
        <w:autoSpaceDN/>
        <w:bidi w:val="0"/>
        <w:spacing w:line="580" w:lineRule="exact"/>
        <w:ind w:firstLine="600"/>
        <w:jc w:val="left"/>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color w:val="auto"/>
          <w:kern w:val="2"/>
          <w:sz w:val="32"/>
          <w:szCs w:val="32"/>
          <w:lang w:val="en-US" w:eastAsia="zh-CN" w:bidi="ar-SA"/>
        </w:rPr>
        <w:t xml:space="preserve">根据《中华人民共和国预算法》第四十条规定"各级政府预算应当按照本级政府预算支出额的百分之一至百分之三设置预备费，用于当年预算执行中的自然灾害救灾开支及其他难以预见的特殊开支。"，项目开展内容根据实际发生的重大事件来定，若不发生则武实施内容及措施，资金也不形成支出。  </w:t>
      </w:r>
    </w:p>
    <w:p w14:paraId="6932107D">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项目实施成效</w:t>
      </w:r>
    </w:p>
    <w:p w14:paraId="58F67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方正仿宋_GBK" w:hAnsi="方正仿宋_GBK" w:eastAsia="方正仿宋_GBK" w:cs="方正仿宋_GBK"/>
          <w:kern w:val="2"/>
          <w:sz w:val="32"/>
          <w:szCs w:val="32"/>
          <w:u w:val="none"/>
          <w:shd w:val="clear"/>
          <w:lang w:val="en-US" w:eastAsia="zh-CN" w:bidi="ar-SA"/>
        </w:rPr>
        <w:t>按照本级政府预算支出额的百分之一至百分之三设置预备费26万元，</w:t>
      </w:r>
      <w:r>
        <w:rPr>
          <w:rFonts w:hint="eastAsia" w:ascii="Times New Roman" w:hAnsi="Times New Roman" w:eastAsia="方正仿宋_GBK" w:cs="Times New Roman"/>
          <w:color w:val="auto"/>
          <w:kern w:val="2"/>
          <w:sz w:val="32"/>
          <w:szCs w:val="32"/>
          <w:lang w:val="en-US" w:eastAsia="zh-CN" w:bidi="ar-SA"/>
        </w:rPr>
        <w:t>用于当年预算执行中的自然灾害救灾开支及其他难以预见的特殊开支</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 xml:space="preserve">若不发生则武实施内容及措施，资金也不形成支出。  </w:t>
      </w:r>
    </w:p>
    <w:p w14:paraId="09969BF0">
      <w:pPr>
        <w:keepNext w:val="0"/>
        <w:keepLines w:val="0"/>
        <w:pageBreakBefore w:val="0"/>
        <w:widowControl/>
        <w:kinsoku/>
        <w:wordWrap/>
        <w:overflowPunct/>
        <w:topLinePunct w:val="0"/>
        <w:autoSpaceDE/>
        <w:autoSpaceDN/>
        <w:bidi w:val="0"/>
        <w:spacing w:line="580" w:lineRule="exact"/>
        <w:ind w:firstLine="600"/>
        <w:jc w:val="left"/>
        <w:textAlignment w:val="auto"/>
      </w:pPr>
    </w:p>
    <w:p w14:paraId="384E2AED">
      <w:pPr>
        <w:pStyle w:val="2"/>
      </w:pPr>
    </w:p>
    <w:p w14:paraId="676B9BF3">
      <w:pPr>
        <w:pStyle w:val="2"/>
      </w:pPr>
    </w:p>
    <w:p w14:paraId="39DB1ADD">
      <w:pPr>
        <w:pStyle w:val="2"/>
      </w:pPr>
    </w:p>
    <w:p w14:paraId="67FBE061">
      <w:pPr>
        <w:pStyle w:val="2"/>
      </w:pPr>
    </w:p>
    <w:p w14:paraId="36157260">
      <w:pPr>
        <w:pStyle w:val="2"/>
      </w:pPr>
    </w:p>
    <w:p w14:paraId="356D5752">
      <w:pPr>
        <w:pStyle w:val="2"/>
      </w:pPr>
    </w:p>
    <w:p w14:paraId="6F63FD75">
      <w:pPr>
        <w:pStyle w:val="2"/>
      </w:pPr>
    </w:p>
    <w:p w14:paraId="69312C7D">
      <w:pPr>
        <w:pStyle w:val="2"/>
      </w:pPr>
    </w:p>
    <w:p w14:paraId="0A70782D">
      <w:pPr>
        <w:pStyle w:val="2"/>
      </w:pPr>
    </w:p>
    <w:p w14:paraId="69E043FC">
      <w:pPr>
        <w:pStyle w:val="2"/>
      </w:pPr>
    </w:p>
    <w:p w14:paraId="3AF0DE3B">
      <w:pPr>
        <w:pStyle w:val="2"/>
      </w:pPr>
    </w:p>
    <w:p w14:paraId="21151182">
      <w:pPr>
        <w:pStyle w:val="2"/>
      </w:pPr>
    </w:p>
    <w:p w14:paraId="289C229A">
      <w:pPr>
        <w:pStyle w:val="2"/>
      </w:pPr>
    </w:p>
    <w:p w14:paraId="02EA36EF">
      <w:pPr>
        <w:pStyle w:val="2"/>
      </w:pPr>
    </w:p>
    <w:p w14:paraId="1F528C7A">
      <w:pPr>
        <w:pStyle w:val="2"/>
      </w:pPr>
    </w:p>
    <w:p w14:paraId="1D93F1BB">
      <w:pPr>
        <w:pStyle w:val="2"/>
      </w:pPr>
    </w:p>
    <w:p w14:paraId="56AFFE1E">
      <w:pPr>
        <w:pStyle w:val="2"/>
      </w:pPr>
    </w:p>
    <w:p w14:paraId="40B119A8">
      <w:pPr>
        <w:pStyle w:val="2"/>
      </w:pPr>
    </w:p>
    <w:p w14:paraId="4A30169D">
      <w:pPr>
        <w:pStyle w:val="2"/>
      </w:pPr>
    </w:p>
    <w:p w14:paraId="1EF4478C">
      <w:pPr>
        <w:pStyle w:val="2"/>
      </w:pPr>
    </w:p>
    <w:p w14:paraId="1057435F">
      <w:pPr>
        <w:pStyle w:val="2"/>
      </w:pPr>
    </w:p>
    <w:p w14:paraId="51A6BD61">
      <w:pPr>
        <w:pStyle w:val="2"/>
      </w:pPr>
    </w:p>
    <w:p w14:paraId="3FD22DE5">
      <w:pPr>
        <w:pStyle w:val="2"/>
      </w:pPr>
    </w:p>
    <w:p w14:paraId="480CB5E4">
      <w:pPr>
        <w:pStyle w:val="2"/>
      </w:pPr>
    </w:p>
    <w:p w14:paraId="51BB6394">
      <w:pPr>
        <w:keepNext w:val="0"/>
        <w:keepLines w:val="0"/>
        <w:pageBreakBefore w:val="0"/>
        <w:kinsoku/>
        <w:wordWrap/>
        <w:overflowPunct/>
        <w:topLinePunct w:val="0"/>
        <w:autoSpaceDE/>
        <w:autoSpaceDN/>
        <w:bidi w:val="0"/>
        <w:snapToGrid w:val="0"/>
        <w:spacing w:line="580" w:lineRule="exact"/>
        <w:jc w:val="center"/>
        <w:textAlignment w:val="auto"/>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玉溪市江川区</w:t>
      </w:r>
      <w:r>
        <w:rPr>
          <w:rFonts w:hint="eastAsia" w:ascii="方正小标宋简体" w:eastAsia="方正小标宋简体"/>
          <w:sz w:val="44"/>
          <w:szCs w:val="44"/>
          <w:lang w:val="en-US" w:eastAsia="zh-CN"/>
        </w:rPr>
        <w:t>前卫镇人民政府2022</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2322FC76">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olor w:val="auto"/>
          <w:kern w:val="0"/>
          <w:sz w:val="32"/>
          <w:szCs w:val="32"/>
          <w:highlight w:val="none"/>
          <w:lang w:eastAsia="zh-CN"/>
        </w:rPr>
      </w:pPr>
    </w:p>
    <w:p w14:paraId="3139FAC2">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14:paraId="5DD640D7">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hint="eastAsia" w:eastAsia="仿宋_GB2312"/>
          <w:kern w:val="0"/>
          <w:sz w:val="32"/>
          <w:szCs w:val="32"/>
          <w:lang w:val="en-US" w:eastAsia="zh-CN"/>
        </w:rPr>
      </w:pPr>
      <w:r>
        <w:rPr>
          <w:rFonts w:hint="eastAsia" w:ascii="Times New Roman" w:hAnsi="Times New Roman" w:eastAsia="方正仿宋_GBK" w:cs="Times New Roman"/>
          <w:spacing w:val="0"/>
          <w:sz w:val="32"/>
          <w:szCs w:val="32"/>
          <w:lang w:eastAsia="zh-CN"/>
        </w:rPr>
        <w:t>购置公务用车</w:t>
      </w:r>
      <w:r>
        <w:rPr>
          <w:rFonts w:hint="eastAsia" w:eastAsia="方正仿宋_GBK" w:cs="Times New Roman"/>
          <w:spacing w:val="0"/>
          <w:sz w:val="32"/>
          <w:szCs w:val="32"/>
          <w:lang w:eastAsia="zh-CN"/>
        </w:rPr>
        <w:t>专项资金</w:t>
      </w:r>
    </w:p>
    <w:p w14:paraId="06CA3E11">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3672076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前卫镇共有行政车辆编制3辆；目前，单位共有公务用车2辆，小轿车1辆（云FC9186）、SUV车辆1辆（云FP7946）；借用公车平台1辆SUV（云F557GW），加上借用的一共3辆公务用车，因公务用车购置时间较长，有效行驶里程也已超过30万公里，有的车龄已满20年，使用年限久，车辆老化，车况较差，维修保养费用较高；我镇镇域范围大、机关工作人员多，现有的车辆已难以满足正常工作需要。为保证我镇机关工作的正常开展，确保各项工作的顺利完成，必须增加必要的公务车辆，所以急需启动余编新购置公务用车</w:t>
      </w:r>
      <w:r>
        <w:rPr>
          <w:rFonts w:hint="eastAsia" w:ascii="Times New Roman" w:hAnsi="Times New Roman" w:eastAsia="方正仿宋_GBK" w:cs="Times New Roman"/>
          <w:spacing w:val="0"/>
          <w:sz w:val="32"/>
          <w:szCs w:val="32"/>
          <w:lang w:eastAsia="zh-CN"/>
        </w:rPr>
        <w:t>。</w:t>
      </w:r>
    </w:p>
    <w:p w14:paraId="12FA03C9">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3778194E">
      <w:pPr>
        <w:keepNext w:val="0"/>
        <w:keepLines w:val="0"/>
        <w:pageBreakBefore w:val="0"/>
        <w:widowControl/>
        <w:kinsoku/>
        <w:wordWrap/>
        <w:overflowPunct/>
        <w:topLinePunct w:val="0"/>
        <w:autoSpaceDE/>
        <w:autoSpaceDN/>
        <w:bidi w:val="0"/>
        <w:spacing w:line="580" w:lineRule="exact"/>
        <w:ind w:firstLine="6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玉溪市江川区前卫镇人民政府</w:t>
      </w:r>
    </w:p>
    <w:p w14:paraId="5954A883">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7A791E8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前卫镇共有行政车辆编制3辆；目前，单位共有公务用车2辆</w:t>
      </w:r>
      <w:r>
        <w:rPr>
          <w:rFonts w:hint="eastAsia" w:ascii="Times New Roman" w:hAnsi="Times New Roman" w:eastAsia="方正仿宋_GBK" w:cs="Times New Roman"/>
          <w:spacing w:val="0"/>
          <w:sz w:val="32"/>
          <w:szCs w:val="32"/>
          <w:lang w:eastAsia="zh-CN"/>
        </w:rPr>
        <w:t>，尚有车辆编制，可开展项目实施</w:t>
      </w:r>
      <w:r>
        <w:rPr>
          <w:rFonts w:hint="default" w:ascii="Times New Roman" w:hAnsi="Times New Roman" w:eastAsia="方正仿宋_GBK" w:cs="Times New Roman"/>
          <w:spacing w:val="0"/>
          <w:sz w:val="32"/>
          <w:szCs w:val="32"/>
        </w:rPr>
        <w:t>。</w:t>
      </w:r>
    </w:p>
    <w:p w14:paraId="7D70D912">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78189DE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eastAsia="zh-CN"/>
        </w:rPr>
        <w:t>前卫镇人民政府于</w:t>
      </w:r>
      <w:r>
        <w:rPr>
          <w:rFonts w:hint="eastAsia" w:ascii="Times New Roman" w:hAnsi="Times New Roman" w:eastAsia="方正仿宋_GBK" w:cs="Times New Roman"/>
          <w:spacing w:val="0"/>
          <w:sz w:val="32"/>
          <w:szCs w:val="32"/>
          <w:lang w:val="en-US" w:eastAsia="zh-CN"/>
        </w:rPr>
        <w:t>2021年7月23日向江川区公务用车管理领导小组办公室提交项目申请，2021年11月15日过审，计划于202</w:t>
      </w:r>
      <w:r>
        <w:rPr>
          <w:rFonts w:hint="eastAsia" w:eastAsia="方正仿宋_GBK" w:cs="Times New Roman"/>
          <w:spacing w:val="0"/>
          <w:sz w:val="32"/>
          <w:szCs w:val="32"/>
          <w:lang w:val="en-US" w:eastAsia="zh-CN"/>
        </w:rPr>
        <w:t>2</w:t>
      </w:r>
      <w:r>
        <w:rPr>
          <w:rFonts w:hint="eastAsia" w:ascii="Times New Roman" w:hAnsi="Times New Roman" w:eastAsia="方正仿宋_GBK" w:cs="Times New Roman"/>
          <w:spacing w:val="0"/>
          <w:sz w:val="32"/>
          <w:szCs w:val="32"/>
          <w:lang w:val="en-US" w:eastAsia="zh-CN"/>
        </w:rPr>
        <w:t>年年内完成项目实施。</w:t>
      </w:r>
    </w:p>
    <w:p w14:paraId="4691BC12">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72ACE8DD">
      <w:pPr>
        <w:keepNext w:val="0"/>
        <w:keepLines w:val="0"/>
        <w:pageBreakBefore w:val="0"/>
        <w:widowControl/>
        <w:kinsoku/>
        <w:wordWrap/>
        <w:overflowPunct/>
        <w:topLinePunct w:val="0"/>
        <w:autoSpaceDE/>
        <w:autoSpaceDN/>
        <w:bidi w:val="0"/>
        <w:spacing w:line="580" w:lineRule="exact"/>
        <w:ind w:firstLine="6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本年度</w:t>
      </w:r>
      <w:r>
        <w:rPr>
          <w:rFonts w:hint="default" w:eastAsia="仿宋_GB2312"/>
          <w:kern w:val="0"/>
          <w:sz w:val="32"/>
          <w:szCs w:val="32"/>
          <w:lang w:val="en-US" w:eastAsia="zh-CN"/>
        </w:rPr>
        <w:t>安排资金</w:t>
      </w:r>
      <w:r>
        <w:rPr>
          <w:rFonts w:hint="eastAsia" w:eastAsia="仿宋_GB2312"/>
          <w:kern w:val="0"/>
          <w:sz w:val="32"/>
          <w:szCs w:val="32"/>
          <w:lang w:val="en-US" w:eastAsia="zh-CN"/>
        </w:rPr>
        <w:t>10</w:t>
      </w:r>
      <w:r>
        <w:rPr>
          <w:rFonts w:hint="default" w:eastAsia="仿宋_GB2312"/>
          <w:kern w:val="0"/>
          <w:sz w:val="32"/>
          <w:szCs w:val="32"/>
          <w:lang w:val="en-US" w:eastAsia="zh-CN"/>
        </w:rPr>
        <w:t>万元。</w:t>
      </w:r>
    </w:p>
    <w:p w14:paraId="201A4741">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311D423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根据项目</w:t>
      </w:r>
      <w:r>
        <w:rPr>
          <w:rFonts w:hint="eastAsia" w:ascii="Times New Roman" w:hAnsi="Times New Roman" w:eastAsia="方正仿宋_GBK" w:cs="Times New Roman"/>
          <w:spacing w:val="0"/>
          <w:sz w:val="32"/>
          <w:szCs w:val="32"/>
          <w:lang w:eastAsia="zh-CN"/>
        </w:rPr>
        <w:t>经费下达情况及</w:t>
      </w:r>
      <w:r>
        <w:rPr>
          <w:rFonts w:hint="default" w:ascii="Times New Roman" w:hAnsi="Times New Roman" w:eastAsia="方正仿宋_GBK" w:cs="Times New Roman"/>
          <w:spacing w:val="0"/>
          <w:sz w:val="32"/>
          <w:szCs w:val="32"/>
        </w:rPr>
        <w:t>开展情况，</w:t>
      </w:r>
      <w:r>
        <w:rPr>
          <w:rFonts w:hint="eastAsia" w:ascii="Times New Roman" w:hAnsi="Times New Roman" w:eastAsia="方正仿宋_GBK" w:cs="Times New Roman"/>
          <w:spacing w:val="0"/>
          <w:sz w:val="32"/>
          <w:szCs w:val="32"/>
          <w:lang w:eastAsia="zh-CN"/>
        </w:rPr>
        <w:t>购置公务用车项目</w:t>
      </w:r>
      <w:r>
        <w:rPr>
          <w:rFonts w:hint="default" w:ascii="Times New Roman" w:hAnsi="Times New Roman" w:eastAsia="方正仿宋_GBK" w:cs="Times New Roman"/>
          <w:spacing w:val="0"/>
          <w:sz w:val="32"/>
          <w:szCs w:val="32"/>
        </w:rPr>
        <w:t>一次性付款，</w:t>
      </w:r>
      <w:r>
        <w:rPr>
          <w:rFonts w:hint="eastAsia" w:ascii="Times New Roman" w:hAnsi="Times New Roman" w:eastAsia="方正仿宋_GBK" w:cs="Times New Roman"/>
          <w:spacing w:val="0"/>
          <w:sz w:val="32"/>
          <w:szCs w:val="32"/>
          <w:lang w:eastAsia="zh-CN"/>
        </w:rPr>
        <w:t>我单位预计付款时间为</w:t>
      </w:r>
      <w:r>
        <w:rPr>
          <w:rFonts w:hint="eastAsia" w:ascii="Times New Roman" w:hAnsi="Times New Roman" w:eastAsia="方正仿宋_GBK" w:cs="Times New Roman"/>
          <w:spacing w:val="0"/>
          <w:sz w:val="32"/>
          <w:szCs w:val="32"/>
          <w:lang w:val="en-US" w:eastAsia="zh-CN"/>
        </w:rPr>
        <w:t>2022年</w:t>
      </w:r>
      <w:r>
        <w:rPr>
          <w:rFonts w:hint="eastAsia" w:eastAsia="方正仿宋_GBK" w:cs="Times New Roman"/>
          <w:spacing w:val="0"/>
          <w:sz w:val="32"/>
          <w:szCs w:val="32"/>
          <w:lang w:val="en-US" w:eastAsia="zh-CN"/>
        </w:rPr>
        <w:t>上半年</w:t>
      </w:r>
      <w:r>
        <w:rPr>
          <w:rFonts w:hint="eastAsia" w:ascii="Times New Roman" w:hAnsi="Times New Roman" w:eastAsia="方正仿宋_GBK" w:cs="Times New Roman"/>
          <w:spacing w:val="0"/>
          <w:sz w:val="32"/>
          <w:szCs w:val="32"/>
          <w:lang w:val="en-US" w:eastAsia="zh-CN"/>
        </w:rPr>
        <w:t>。</w:t>
      </w:r>
    </w:p>
    <w:p w14:paraId="2CE5428D">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358636C3">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项目</w:t>
      </w:r>
      <w:r>
        <w:rPr>
          <w:rFonts w:hint="eastAsia" w:ascii="Times New Roman" w:hAnsi="Times New Roman" w:eastAsia="方正仿宋_GBK" w:cs="Times New Roman"/>
          <w:spacing w:val="0"/>
          <w:sz w:val="32"/>
          <w:szCs w:val="32"/>
          <w:lang w:eastAsia="zh-CN"/>
        </w:rPr>
        <w:t>实施后可保障前卫镇</w:t>
      </w:r>
      <w:r>
        <w:rPr>
          <w:rFonts w:hint="default" w:ascii="Times New Roman" w:hAnsi="Times New Roman" w:eastAsia="方正仿宋_GBK" w:cs="Times New Roman"/>
          <w:spacing w:val="0"/>
          <w:sz w:val="32"/>
          <w:szCs w:val="32"/>
        </w:rPr>
        <w:t>机关工作的正常开展，确保各项工作的顺利完成。</w:t>
      </w:r>
    </w:p>
    <w:p w14:paraId="2B633B1C">
      <w:pPr>
        <w:keepNext w:val="0"/>
        <w:keepLines w:val="0"/>
        <w:pageBreakBefore w:val="0"/>
        <w:widowControl/>
        <w:kinsoku/>
        <w:wordWrap/>
        <w:overflowPunct/>
        <w:topLinePunct w:val="0"/>
        <w:autoSpaceDE/>
        <w:autoSpaceDN/>
        <w:bidi w:val="0"/>
        <w:spacing w:line="580" w:lineRule="exact"/>
        <w:ind w:firstLine="600"/>
        <w:jc w:val="left"/>
        <w:textAlignment w:val="auto"/>
      </w:pPr>
    </w:p>
    <w:p w14:paraId="4EAA4833">
      <w:pPr>
        <w:pStyle w:val="2"/>
      </w:pPr>
    </w:p>
    <w:p w14:paraId="1A5BB6F5">
      <w:pPr>
        <w:pStyle w:val="2"/>
      </w:pPr>
    </w:p>
    <w:p w14:paraId="368D1425">
      <w:pPr>
        <w:pStyle w:val="2"/>
      </w:pPr>
    </w:p>
    <w:p w14:paraId="296678C6">
      <w:pPr>
        <w:pStyle w:val="2"/>
      </w:pPr>
    </w:p>
    <w:p w14:paraId="51A85C4E">
      <w:pPr>
        <w:pStyle w:val="2"/>
      </w:pPr>
    </w:p>
    <w:p w14:paraId="63CD0E82">
      <w:pPr>
        <w:pStyle w:val="2"/>
      </w:pPr>
    </w:p>
    <w:p w14:paraId="7EC290F7">
      <w:pPr>
        <w:pStyle w:val="2"/>
      </w:pPr>
    </w:p>
    <w:p w14:paraId="1404F16F">
      <w:pPr>
        <w:pStyle w:val="2"/>
      </w:pPr>
    </w:p>
    <w:p w14:paraId="5CCDE09D">
      <w:pPr>
        <w:pStyle w:val="2"/>
      </w:pPr>
    </w:p>
    <w:p w14:paraId="6BC2C7B7">
      <w:pPr>
        <w:pStyle w:val="2"/>
      </w:pPr>
    </w:p>
    <w:p w14:paraId="64A4CB8A">
      <w:pPr>
        <w:pStyle w:val="2"/>
      </w:pPr>
    </w:p>
    <w:p w14:paraId="2A344EBB">
      <w:pPr>
        <w:pStyle w:val="2"/>
      </w:pPr>
    </w:p>
    <w:p w14:paraId="34C2AD9C">
      <w:pPr>
        <w:pStyle w:val="2"/>
      </w:pPr>
    </w:p>
    <w:p w14:paraId="0B7FE338">
      <w:pPr>
        <w:pStyle w:val="2"/>
      </w:pPr>
    </w:p>
    <w:p w14:paraId="0DD43F42">
      <w:pPr>
        <w:pStyle w:val="2"/>
      </w:pPr>
    </w:p>
    <w:p w14:paraId="31911C27">
      <w:pPr>
        <w:pStyle w:val="2"/>
      </w:pPr>
    </w:p>
    <w:p w14:paraId="25E135BC">
      <w:pPr>
        <w:pStyle w:val="2"/>
      </w:pPr>
    </w:p>
    <w:p w14:paraId="7B89F4A0">
      <w:pPr>
        <w:pStyle w:val="2"/>
      </w:pPr>
    </w:p>
    <w:p w14:paraId="1E9BD44D">
      <w:pPr>
        <w:pStyle w:val="2"/>
      </w:pPr>
    </w:p>
    <w:p w14:paraId="12B3619B">
      <w:pPr>
        <w:pStyle w:val="2"/>
      </w:pPr>
    </w:p>
    <w:p w14:paraId="3B64DDDF">
      <w:pPr>
        <w:pStyle w:val="2"/>
      </w:pPr>
    </w:p>
    <w:p w14:paraId="5F8A5D15">
      <w:pPr>
        <w:pStyle w:val="2"/>
      </w:pPr>
    </w:p>
    <w:p w14:paraId="15FDD8BB">
      <w:pPr>
        <w:pStyle w:val="2"/>
      </w:pPr>
    </w:p>
    <w:p w14:paraId="424364B4">
      <w:pPr>
        <w:pStyle w:val="2"/>
      </w:pPr>
    </w:p>
    <w:p w14:paraId="3B3F6CB4">
      <w:pPr>
        <w:pStyle w:val="2"/>
      </w:pPr>
    </w:p>
    <w:p w14:paraId="43170859">
      <w:pPr>
        <w:pStyle w:val="2"/>
      </w:pPr>
    </w:p>
    <w:p w14:paraId="36E73D06">
      <w:pPr>
        <w:pStyle w:val="2"/>
      </w:pPr>
    </w:p>
    <w:p w14:paraId="661D3845">
      <w:pPr>
        <w:pStyle w:val="2"/>
      </w:pPr>
    </w:p>
    <w:p w14:paraId="5254CF1E">
      <w:pPr>
        <w:pStyle w:val="2"/>
      </w:pPr>
    </w:p>
    <w:p w14:paraId="5E425B81">
      <w:pPr>
        <w:keepNext w:val="0"/>
        <w:keepLines w:val="0"/>
        <w:pageBreakBefore w:val="0"/>
        <w:kinsoku/>
        <w:wordWrap/>
        <w:overflowPunct/>
        <w:topLinePunct w:val="0"/>
        <w:autoSpaceDE/>
        <w:autoSpaceDN/>
        <w:bidi w:val="0"/>
        <w:snapToGrid w:val="0"/>
        <w:spacing w:line="580" w:lineRule="exact"/>
        <w:jc w:val="center"/>
        <w:textAlignment w:val="auto"/>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玉溪市江川区</w:t>
      </w:r>
      <w:r>
        <w:rPr>
          <w:rFonts w:hint="eastAsia" w:ascii="方正小标宋简体" w:eastAsia="方正小标宋简体"/>
          <w:sz w:val="44"/>
          <w:szCs w:val="44"/>
          <w:lang w:val="en-US" w:eastAsia="zh-CN"/>
        </w:rPr>
        <w:t>前卫镇人民政府2022</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504B6A1F">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olor w:val="auto"/>
          <w:kern w:val="0"/>
          <w:sz w:val="32"/>
          <w:szCs w:val="32"/>
          <w:highlight w:val="none"/>
          <w:lang w:eastAsia="zh-CN"/>
        </w:rPr>
      </w:pPr>
    </w:p>
    <w:p w14:paraId="69FA5FB4">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14:paraId="73FC750E">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hint="eastAsia" w:eastAsia="仿宋_GB2312"/>
          <w:kern w:val="0"/>
          <w:sz w:val="32"/>
          <w:szCs w:val="32"/>
          <w:lang w:val="en-US" w:eastAsia="zh-CN"/>
        </w:rPr>
      </w:pPr>
      <w:r>
        <w:rPr>
          <w:rFonts w:hint="eastAsia" w:eastAsia="方正仿宋_GBK" w:cs="Times New Roman"/>
          <w:spacing w:val="0"/>
          <w:sz w:val="32"/>
          <w:szCs w:val="32"/>
          <w:lang w:eastAsia="zh-CN"/>
        </w:rPr>
        <w:t>干部职工周转性住房专项资金</w:t>
      </w:r>
    </w:p>
    <w:p w14:paraId="683A4834">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593B43E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根据玉组复〔2018〕2号关于红塔区等县区乡镇干部职工基本生活条件改善工程项目计划的批复，要求各县区上报建设方案，认真做好项目开工前的各项准备工作，按照基本建设程序组织实施，严格项目和资金管理，确保建设任务圆满完成</w:t>
      </w:r>
    </w:p>
    <w:p w14:paraId="42432D42">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09D567C9">
      <w:pPr>
        <w:keepNext w:val="0"/>
        <w:keepLines w:val="0"/>
        <w:pageBreakBefore w:val="0"/>
        <w:widowControl/>
        <w:kinsoku/>
        <w:wordWrap/>
        <w:overflowPunct/>
        <w:topLinePunct w:val="0"/>
        <w:autoSpaceDE/>
        <w:autoSpaceDN/>
        <w:bidi w:val="0"/>
        <w:spacing w:line="580" w:lineRule="exact"/>
        <w:ind w:firstLine="6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玉溪市江川区前卫镇人民政府</w:t>
      </w:r>
    </w:p>
    <w:p w14:paraId="222646D2">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4B2A951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spacing w:val="0"/>
          <w:sz w:val="32"/>
          <w:szCs w:val="32"/>
          <w:lang w:eastAsia="zh-CN"/>
        </w:rPr>
        <w:t>前卫镇人民政府于</w:t>
      </w:r>
      <w:r>
        <w:rPr>
          <w:rFonts w:hint="eastAsia" w:ascii="方正仿宋_GBK" w:hAnsi="方正仿宋_GBK" w:eastAsia="方正仿宋_GBK" w:cs="方正仿宋_GBK"/>
          <w:spacing w:val="0"/>
          <w:sz w:val="32"/>
          <w:szCs w:val="32"/>
          <w:lang w:val="en-US" w:eastAsia="zh-CN"/>
        </w:rPr>
        <w:t>2019年开展</w:t>
      </w:r>
      <w:r>
        <w:rPr>
          <w:rFonts w:hint="eastAsia" w:ascii="Times New Roman" w:hAnsi="Times New Roman" w:eastAsia="方正仿宋_GBK" w:cs="Times New Roman"/>
          <w:spacing w:val="0"/>
          <w:sz w:val="32"/>
          <w:szCs w:val="32"/>
          <w:lang w:val="en-US" w:eastAsia="zh-CN"/>
        </w:rPr>
        <w:t>干部职工周转性住房建设工程，严格按照招标等程序进行合同价为7342739.40元，项目于2019年2月11日动工</w:t>
      </w:r>
    </w:p>
    <w:p w14:paraId="130970BE">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7E6BFD9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项目实施能够改善乡镇干部职工基本工作和生活，妥善解决乡镇干部职工住宿问题。新建1栋综合楼，总建筑面积3354.1平方米，建筑占地面积530.71平方米，地上六层，地下一层，建筑高度21.15米，负一层为消防水池及水泵房，一层为值班室、职工活动室、物资储备室，二层至六层为职工宿舍。</w:t>
      </w:r>
      <w:r>
        <w:rPr>
          <w:rFonts w:hint="eastAsia" w:ascii="Times New Roman" w:hAnsi="Times New Roman" w:eastAsia="方正仿宋_GBK" w:cs="Times New Roman"/>
          <w:spacing w:val="0"/>
          <w:sz w:val="32"/>
          <w:szCs w:val="32"/>
          <w:lang w:eastAsia="zh-CN"/>
        </w:rPr>
        <w:t>项目已完工，待拨付剩余工程款</w:t>
      </w:r>
    </w:p>
    <w:p w14:paraId="05169FC0">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526E2352">
      <w:pPr>
        <w:keepNext w:val="0"/>
        <w:keepLines w:val="0"/>
        <w:pageBreakBefore w:val="0"/>
        <w:widowControl/>
        <w:kinsoku/>
        <w:wordWrap/>
        <w:overflowPunct/>
        <w:topLinePunct w:val="0"/>
        <w:autoSpaceDE/>
        <w:autoSpaceDN/>
        <w:bidi w:val="0"/>
        <w:spacing w:line="580" w:lineRule="exact"/>
        <w:ind w:firstLine="6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本年度</w:t>
      </w:r>
      <w:r>
        <w:rPr>
          <w:rFonts w:hint="default" w:eastAsia="仿宋_GB2312"/>
          <w:kern w:val="0"/>
          <w:sz w:val="32"/>
          <w:szCs w:val="32"/>
          <w:lang w:val="en-US" w:eastAsia="zh-CN"/>
        </w:rPr>
        <w:t>安排资金</w:t>
      </w:r>
      <w:r>
        <w:rPr>
          <w:rFonts w:hint="eastAsia" w:eastAsia="仿宋_GB2312"/>
          <w:kern w:val="0"/>
          <w:sz w:val="32"/>
          <w:szCs w:val="32"/>
          <w:lang w:val="en-US" w:eastAsia="zh-CN"/>
        </w:rPr>
        <w:t>10</w:t>
      </w:r>
      <w:r>
        <w:rPr>
          <w:rFonts w:hint="default" w:eastAsia="仿宋_GB2312"/>
          <w:kern w:val="0"/>
          <w:sz w:val="32"/>
          <w:szCs w:val="32"/>
          <w:lang w:val="en-US" w:eastAsia="zh-CN"/>
        </w:rPr>
        <w:t>万元</w:t>
      </w:r>
    </w:p>
    <w:p w14:paraId="5C17A306">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1CE1A205">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rPr>
      </w:pPr>
      <w:r>
        <w:rPr>
          <w:rFonts w:hint="eastAsia" w:ascii="方正仿宋_GBK" w:hAnsi="方正仿宋_GBK" w:eastAsia="方正仿宋_GBK" w:cs="方正仿宋_GBK"/>
          <w:spacing w:val="0"/>
          <w:sz w:val="32"/>
          <w:szCs w:val="32"/>
          <w:lang w:val="en-US" w:eastAsia="zh-CN"/>
        </w:rPr>
        <w:t>2019年支付工程款及设计费、审计费306.31万元,2020年拨付周转房工程款及各项基础设施费用141.32万元，2021年拨付40万元工程款，缺口资金还较大，现申请补助资金拨付剩余工程款</w:t>
      </w:r>
    </w:p>
    <w:p w14:paraId="3688C6B7">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55D4272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项目实施能够改善乡镇干部职工基本工作和生活，妥善解决乡镇干部职工住宿问题</w:t>
      </w:r>
    </w:p>
    <w:p w14:paraId="63834068">
      <w:pPr>
        <w:keepNext w:val="0"/>
        <w:keepLines w:val="0"/>
        <w:pageBreakBefore w:val="0"/>
        <w:widowControl/>
        <w:kinsoku/>
        <w:wordWrap/>
        <w:overflowPunct/>
        <w:topLinePunct w:val="0"/>
        <w:autoSpaceDE/>
        <w:autoSpaceDN/>
        <w:bidi w:val="0"/>
        <w:spacing w:line="580" w:lineRule="exact"/>
        <w:ind w:firstLine="600"/>
        <w:jc w:val="left"/>
        <w:textAlignment w:val="auto"/>
      </w:pPr>
    </w:p>
    <w:p w14:paraId="406F3027">
      <w:pPr>
        <w:pStyle w:val="2"/>
      </w:pPr>
    </w:p>
    <w:p w14:paraId="4A3834E3">
      <w:pPr>
        <w:pStyle w:val="2"/>
      </w:pPr>
    </w:p>
    <w:p w14:paraId="51F6F250">
      <w:pPr>
        <w:pStyle w:val="2"/>
      </w:pPr>
    </w:p>
    <w:p w14:paraId="2EEAFF6F">
      <w:pPr>
        <w:pStyle w:val="2"/>
      </w:pPr>
    </w:p>
    <w:p w14:paraId="7C1B47FE">
      <w:pPr>
        <w:pStyle w:val="2"/>
      </w:pPr>
    </w:p>
    <w:p w14:paraId="23B2859D">
      <w:pPr>
        <w:pStyle w:val="2"/>
      </w:pPr>
    </w:p>
    <w:p w14:paraId="637E9003">
      <w:pPr>
        <w:pStyle w:val="2"/>
      </w:pPr>
    </w:p>
    <w:p w14:paraId="4741A8C5">
      <w:pPr>
        <w:pStyle w:val="2"/>
      </w:pPr>
    </w:p>
    <w:p w14:paraId="0B497451">
      <w:pPr>
        <w:pStyle w:val="2"/>
      </w:pPr>
    </w:p>
    <w:p w14:paraId="17AFED17">
      <w:pPr>
        <w:pStyle w:val="2"/>
      </w:pPr>
    </w:p>
    <w:p w14:paraId="16E3776B">
      <w:pPr>
        <w:pStyle w:val="2"/>
      </w:pPr>
    </w:p>
    <w:p w14:paraId="1F694856">
      <w:pPr>
        <w:pStyle w:val="2"/>
      </w:pPr>
    </w:p>
    <w:p w14:paraId="79A00AF9">
      <w:pPr>
        <w:pStyle w:val="2"/>
      </w:pPr>
    </w:p>
    <w:p w14:paraId="2045B063">
      <w:pPr>
        <w:pStyle w:val="2"/>
      </w:pPr>
    </w:p>
    <w:p w14:paraId="1E009150">
      <w:pPr>
        <w:pStyle w:val="2"/>
      </w:pPr>
    </w:p>
    <w:p w14:paraId="1A5568D0">
      <w:pPr>
        <w:pStyle w:val="2"/>
      </w:pPr>
    </w:p>
    <w:p w14:paraId="503F9383">
      <w:pPr>
        <w:pStyle w:val="2"/>
      </w:pPr>
    </w:p>
    <w:p w14:paraId="6449F5AE">
      <w:pPr>
        <w:pStyle w:val="2"/>
      </w:pPr>
    </w:p>
    <w:p w14:paraId="3274B633">
      <w:pPr>
        <w:pStyle w:val="2"/>
      </w:pPr>
    </w:p>
    <w:p w14:paraId="3D088702">
      <w:pPr>
        <w:pStyle w:val="2"/>
      </w:pPr>
    </w:p>
    <w:p w14:paraId="18C390BE">
      <w:pPr>
        <w:pStyle w:val="2"/>
      </w:pPr>
    </w:p>
    <w:p w14:paraId="05779130">
      <w:pPr>
        <w:pStyle w:val="2"/>
      </w:pPr>
    </w:p>
    <w:p w14:paraId="7A90233D">
      <w:pPr>
        <w:pStyle w:val="2"/>
      </w:pPr>
    </w:p>
    <w:p w14:paraId="073E5900">
      <w:pPr>
        <w:pStyle w:val="2"/>
      </w:pPr>
    </w:p>
    <w:p w14:paraId="510D0C68">
      <w:pPr>
        <w:pStyle w:val="2"/>
      </w:pPr>
    </w:p>
    <w:p w14:paraId="67FC61E1">
      <w:pPr>
        <w:keepNext w:val="0"/>
        <w:keepLines w:val="0"/>
        <w:pageBreakBefore w:val="0"/>
        <w:kinsoku/>
        <w:wordWrap/>
        <w:overflowPunct/>
        <w:topLinePunct w:val="0"/>
        <w:autoSpaceDE/>
        <w:autoSpaceDN/>
        <w:bidi w:val="0"/>
        <w:snapToGrid w:val="0"/>
        <w:spacing w:line="580" w:lineRule="exact"/>
        <w:jc w:val="center"/>
        <w:textAlignment w:val="auto"/>
        <w:rPr>
          <w:rFonts w:hint="eastAsia" w:ascii="方正小标宋简体" w:hAnsi="华文中宋" w:eastAsia="方正小标宋简体"/>
          <w:color w:val="auto"/>
          <w:spacing w:val="14"/>
          <w:sz w:val="44"/>
          <w:szCs w:val="44"/>
          <w:highlight w:val="none"/>
          <w:lang w:val="en-US" w:eastAsia="zh-CN"/>
        </w:rPr>
      </w:pPr>
      <w:r>
        <w:rPr>
          <w:rFonts w:hint="eastAsia" w:ascii="方正小标宋简体" w:eastAsia="方正小标宋简体"/>
          <w:sz w:val="44"/>
          <w:szCs w:val="44"/>
          <w:lang w:eastAsia="zh-CN"/>
        </w:rPr>
        <w:t>玉溪市江川区</w:t>
      </w:r>
      <w:r>
        <w:rPr>
          <w:rFonts w:hint="eastAsia" w:ascii="方正小标宋简体" w:eastAsia="方正小标宋简体"/>
          <w:sz w:val="44"/>
          <w:szCs w:val="44"/>
          <w:lang w:val="en-US" w:eastAsia="zh-CN"/>
        </w:rPr>
        <w:t>前卫镇人民政府2022</w:t>
      </w:r>
      <w:r>
        <w:rPr>
          <w:rFonts w:hint="eastAsia" w:ascii="方正小标宋简体" w:eastAsia="方正小标宋简体"/>
          <w:sz w:val="44"/>
          <w:szCs w:val="44"/>
          <w:lang w:eastAsia="zh-CN"/>
        </w:rPr>
        <w:t>年</w:t>
      </w:r>
      <w:r>
        <w:rPr>
          <w:rFonts w:hint="eastAsia" w:ascii="方正小标宋简体" w:hAnsi="华文中宋" w:eastAsia="方正小标宋简体"/>
          <w:color w:val="auto"/>
          <w:spacing w:val="14"/>
          <w:sz w:val="44"/>
          <w:szCs w:val="44"/>
          <w:highlight w:val="none"/>
          <w:lang w:val="en-US" w:eastAsia="zh-CN"/>
        </w:rPr>
        <w:t>预算重点领域财政项目文本公开</w:t>
      </w:r>
    </w:p>
    <w:p w14:paraId="3339EF7C">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olor w:val="auto"/>
          <w:kern w:val="0"/>
          <w:sz w:val="32"/>
          <w:szCs w:val="32"/>
          <w:highlight w:val="none"/>
          <w:lang w:eastAsia="zh-CN"/>
        </w:rPr>
      </w:pPr>
    </w:p>
    <w:p w14:paraId="29B25CD1">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olor w:val="auto"/>
          <w:kern w:val="0"/>
          <w:sz w:val="32"/>
          <w:szCs w:val="32"/>
          <w:highlight w:val="none"/>
          <w:lang w:eastAsia="zh-CN"/>
        </w:rPr>
      </w:pPr>
      <w:r>
        <w:rPr>
          <w:rFonts w:hint="eastAsia" w:ascii="黑体" w:hAnsi="黑体" w:eastAsia="黑体"/>
          <w:color w:val="auto"/>
          <w:kern w:val="0"/>
          <w:sz w:val="32"/>
          <w:szCs w:val="32"/>
          <w:highlight w:val="none"/>
          <w:lang w:eastAsia="zh-CN"/>
        </w:rPr>
        <w:t>一、项目名称</w:t>
      </w:r>
    </w:p>
    <w:p w14:paraId="693F2F33">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eastAsia="方正仿宋_GBK" w:cs="Times New Roman"/>
          <w:spacing w:val="0"/>
          <w:sz w:val="32"/>
          <w:szCs w:val="32"/>
          <w:lang w:eastAsia="zh-CN"/>
        </w:rPr>
      </w:pPr>
      <w:r>
        <w:rPr>
          <w:rFonts w:hint="eastAsia" w:eastAsia="方正仿宋_GBK" w:cs="Times New Roman"/>
          <w:spacing w:val="0"/>
          <w:sz w:val="32"/>
          <w:szCs w:val="32"/>
          <w:lang w:eastAsia="zh-CN"/>
        </w:rPr>
        <w:t>前卫镇人民政府</w:t>
      </w:r>
      <w:bookmarkStart w:id="0" w:name="_GoBack"/>
      <w:bookmarkEnd w:id="0"/>
      <w:r>
        <w:rPr>
          <w:rFonts w:hint="eastAsia" w:eastAsia="方正仿宋_GBK" w:cs="Times New Roman"/>
          <w:spacing w:val="0"/>
          <w:sz w:val="32"/>
          <w:szCs w:val="32"/>
          <w:lang w:eastAsia="zh-CN"/>
        </w:rPr>
        <w:t>采购项目专项资金</w:t>
      </w:r>
    </w:p>
    <w:p w14:paraId="4F930B00">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二、立项依据</w:t>
      </w:r>
    </w:p>
    <w:p w14:paraId="579EFBC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前卫镇人民政府即将需要采购一批办公用品，以保证我单位正常开展工作，严格项目和资金管理，确保任务圆满完成</w:t>
      </w:r>
    </w:p>
    <w:p w14:paraId="66EC6628">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三、项目实施单位</w:t>
      </w:r>
    </w:p>
    <w:p w14:paraId="2FA0CF5C">
      <w:pPr>
        <w:keepNext w:val="0"/>
        <w:keepLines w:val="0"/>
        <w:pageBreakBefore w:val="0"/>
        <w:widowControl/>
        <w:kinsoku/>
        <w:wordWrap/>
        <w:overflowPunct/>
        <w:topLinePunct w:val="0"/>
        <w:autoSpaceDE/>
        <w:autoSpaceDN/>
        <w:bidi w:val="0"/>
        <w:spacing w:line="580" w:lineRule="exact"/>
        <w:ind w:firstLine="600"/>
        <w:jc w:val="left"/>
        <w:textAlignment w:val="auto"/>
        <w:rPr>
          <w:rFonts w:hint="eastAsia" w:eastAsia="仿宋_GB2312"/>
          <w:kern w:val="0"/>
          <w:sz w:val="32"/>
          <w:szCs w:val="32"/>
          <w:lang w:val="en-US" w:eastAsia="zh-CN"/>
        </w:rPr>
      </w:pPr>
      <w:r>
        <w:rPr>
          <w:rFonts w:hint="eastAsia" w:eastAsia="仿宋_GB2312"/>
          <w:kern w:val="0"/>
          <w:sz w:val="32"/>
          <w:szCs w:val="32"/>
          <w:lang w:val="en-US" w:eastAsia="zh-CN"/>
        </w:rPr>
        <w:t>玉溪市江川区前卫镇人民政府</w:t>
      </w:r>
    </w:p>
    <w:p w14:paraId="253EBA66">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四、项目基本概况</w:t>
      </w:r>
    </w:p>
    <w:p w14:paraId="36B13DD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spacing w:val="0"/>
          <w:sz w:val="32"/>
          <w:szCs w:val="32"/>
          <w:lang w:eastAsia="zh-CN"/>
        </w:rPr>
        <w:t>前卫镇人民政府即将采购办公设备，预算时间为</w:t>
      </w:r>
      <w:r>
        <w:rPr>
          <w:rFonts w:hint="eastAsia" w:ascii="方正仿宋_GBK" w:hAnsi="方正仿宋_GBK" w:eastAsia="方正仿宋_GBK" w:cs="方正仿宋_GBK"/>
          <w:spacing w:val="0"/>
          <w:sz w:val="32"/>
          <w:szCs w:val="32"/>
          <w:lang w:val="en-US" w:eastAsia="zh-CN"/>
        </w:rPr>
        <w:t>2022年3月</w:t>
      </w:r>
      <w:r>
        <w:rPr>
          <w:rFonts w:hint="eastAsia" w:ascii="Times New Roman" w:hAnsi="Times New Roman" w:eastAsia="方正仿宋_GBK" w:cs="Times New Roman"/>
          <w:spacing w:val="0"/>
          <w:sz w:val="32"/>
          <w:szCs w:val="32"/>
          <w:lang w:val="en-US" w:eastAsia="zh-CN"/>
        </w:rPr>
        <w:t>。</w:t>
      </w:r>
    </w:p>
    <w:p w14:paraId="1F4B4D9D">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五、项目实施内容</w:t>
      </w:r>
    </w:p>
    <w:p w14:paraId="4E40CC1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项目开展的前期进行采购项目及数量的确定，按照政府采购程序进行审批，通过政府采购及政采云平台进行采购。</w:t>
      </w:r>
    </w:p>
    <w:p w14:paraId="2A162300">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六、资金安排情况</w:t>
      </w:r>
    </w:p>
    <w:p w14:paraId="4C95DD25">
      <w:pPr>
        <w:keepNext w:val="0"/>
        <w:keepLines w:val="0"/>
        <w:pageBreakBefore w:val="0"/>
        <w:widowControl/>
        <w:kinsoku/>
        <w:wordWrap/>
        <w:overflowPunct/>
        <w:topLinePunct w:val="0"/>
        <w:autoSpaceDE/>
        <w:autoSpaceDN/>
        <w:bidi w:val="0"/>
        <w:spacing w:line="580" w:lineRule="exact"/>
        <w:ind w:firstLine="600"/>
        <w:jc w:val="left"/>
        <w:textAlignment w:val="auto"/>
        <w:rPr>
          <w:rFonts w:hint="default" w:eastAsia="仿宋_GB2312"/>
          <w:kern w:val="0"/>
          <w:sz w:val="32"/>
          <w:szCs w:val="32"/>
          <w:lang w:val="en-US" w:eastAsia="zh-CN"/>
        </w:rPr>
      </w:pPr>
      <w:r>
        <w:rPr>
          <w:rFonts w:hint="eastAsia" w:eastAsia="仿宋_GB2312"/>
          <w:kern w:val="0"/>
          <w:sz w:val="32"/>
          <w:szCs w:val="32"/>
          <w:lang w:val="en-US" w:eastAsia="zh-CN"/>
        </w:rPr>
        <w:t>本年度</w:t>
      </w:r>
      <w:r>
        <w:rPr>
          <w:rFonts w:hint="default" w:eastAsia="仿宋_GB2312"/>
          <w:kern w:val="0"/>
          <w:sz w:val="32"/>
          <w:szCs w:val="32"/>
          <w:lang w:val="en-US" w:eastAsia="zh-CN"/>
        </w:rPr>
        <w:t>安排资金</w:t>
      </w:r>
      <w:r>
        <w:rPr>
          <w:rFonts w:hint="eastAsia" w:eastAsia="仿宋_GB2312"/>
          <w:kern w:val="0"/>
          <w:sz w:val="32"/>
          <w:szCs w:val="32"/>
          <w:lang w:val="en-US" w:eastAsia="zh-CN"/>
        </w:rPr>
        <w:t>10</w:t>
      </w:r>
      <w:r>
        <w:rPr>
          <w:rFonts w:hint="default" w:eastAsia="仿宋_GB2312"/>
          <w:kern w:val="0"/>
          <w:sz w:val="32"/>
          <w:szCs w:val="32"/>
          <w:lang w:val="en-US" w:eastAsia="zh-CN"/>
        </w:rPr>
        <w:t>万元。</w:t>
      </w:r>
    </w:p>
    <w:p w14:paraId="39FE5681">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七、项目实施计划</w:t>
      </w:r>
    </w:p>
    <w:p w14:paraId="757C864E">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5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预计2022年3</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月份一次性购买:</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采购电脑</w:t>
      </w:r>
      <w:r>
        <w:rPr>
          <w:rFonts w:hint="eastAsia"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台</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万元</w:t>
      </w:r>
    </w:p>
    <w:p w14:paraId="6AC66735">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5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采购笔记本电脑1台7000元</w:t>
      </w:r>
    </w:p>
    <w:p w14:paraId="60B27DA2">
      <w:pPr>
        <w:keepNext w:val="0"/>
        <w:keepLines w:val="0"/>
        <w:pageBreakBefore w:val="0"/>
        <w:widowControl w:val="0"/>
        <w:numPr>
          <w:ilvl w:val="0"/>
          <w:numId w:val="0"/>
        </w:numPr>
        <w:kinsoku/>
        <w:wordWrap/>
        <w:overflowPunct/>
        <w:topLinePunct w:val="0"/>
        <w:autoSpaceDE/>
        <w:autoSpaceDN/>
        <w:bidi w:val="0"/>
        <w:adjustRightInd/>
        <w:snapToGrid/>
        <w:spacing w:after="240" w:afterAutospacing="0" w:line="5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打印机</w:t>
      </w: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台</w:t>
      </w:r>
      <w:r>
        <w:rPr>
          <w:rFonts w:hint="default" w:ascii="Times New Roman" w:hAnsi="Times New Roman" w:eastAsia="方正仿宋_GBK" w:cs="Times New Roman"/>
          <w:sz w:val="32"/>
          <w:szCs w:val="32"/>
          <w:highlight w:val="none"/>
          <w:lang w:eastAsia="zh-CN"/>
        </w:rPr>
        <w:t>，</w:t>
      </w: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000元</w:t>
      </w:r>
    </w:p>
    <w:p w14:paraId="6A5B13DC">
      <w:pPr>
        <w:keepNext w:val="0"/>
        <w:keepLines w:val="0"/>
        <w:pageBreakBefore w:val="0"/>
        <w:widowControl w:val="0"/>
        <w:kinsoku/>
        <w:wordWrap/>
        <w:overflowPunct/>
        <w:topLinePunct w:val="0"/>
        <w:autoSpaceDE/>
        <w:autoSpaceDN/>
        <w:bidi w:val="0"/>
        <w:adjustRightInd/>
        <w:snapToGrid/>
        <w:spacing w:after="240" w:afterAutospacing="0" w:line="5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物业管理费</w:t>
      </w:r>
      <w:r>
        <w:rPr>
          <w:rFonts w:hint="eastAsia" w:eastAsia="方正仿宋_GBK" w:cs="Times New Roman"/>
          <w:sz w:val="32"/>
          <w:szCs w:val="32"/>
          <w:highlight w:val="none"/>
          <w:lang w:val="en-US" w:eastAsia="zh-CN"/>
        </w:rPr>
        <w:t>1万</w:t>
      </w:r>
      <w:r>
        <w:rPr>
          <w:rFonts w:hint="default" w:ascii="Times New Roman" w:hAnsi="Times New Roman" w:eastAsia="方正仿宋_GBK" w:cs="Times New Roman"/>
          <w:sz w:val="32"/>
          <w:szCs w:val="32"/>
          <w:highlight w:val="none"/>
        </w:rPr>
        <w:t>元</w:t>
      </w:r>
    </w:p>
    <w:p w14:paraId="7FE07791">
      <w:pPr>
        <w:keepNext w:val="0"/>
        <w:keepLines w:val="0"/>
        <w:pageBreakBefore w:val="0"/>
        <w:widowControl w:val="0"/>
        <w:kinsoku/>
        <w:wordWrap/>
        <w:overflowPunct/>
        <w:topLinePunct w:val="0"/>
        <w:autoSpaceDE/>
        <w:autoSpaceDN/>
        <w:bidi w:val="0"/>
        <w:adjustRightInd/>
        <w:snapToGrid/>
        <w:spacing w:after="240" w:afterAutospacing="0" w:line="5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车辆维修和保养</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万元，机动车保险服务2万元</w:t>
      </w:r>
    </w:p>
    <w:p w14:paraId="600EECB0">
      <w:pPr>
        <w:keepNext w:val="0"/>
        <w:keepLines w:val="0"/>
        <w:pageBreakBefore w:val="0"/>
        <w:widowControl w:val="0"/>
        <w:kinsoku/>
        <w:wordWrap/>
        <w:overflowPunct/>
        <w:topLinePunct w:val="0"/>
        <w:autoSpaceDE/>
        <w:autoSpaceDN/>
        <w:bidi w:val="0"/>
        <w:adjustRightInd/>
        <w:snapToGrid/>
        <w:spacing w:after="240" w:afterAutospacing="0" w:line="50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车辆加油服务2万元，</w:t>
      </w:r>
    </w:p>
    <w:p w14:paraId="561321D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z w:val="32"/>
          <w:szCs w:val="32"/>
        </w:rPr>
        <w:t>此单价参照玉江财字(2019) 21号文件:玉溪市江川区行政事业单位资产配置标准( 2019版)执行。</w:t>
      </w:r>
    </w:p>
    <w:p w14:paraId="04CA4440">
      <w:pPr>
        <w:keepNext w:val="0"/>
        <w:keepLines w:val="0"/>
        <w:pageBreakBefore w:val="0"/>
        <w:widowControl/>
        <w:numPr>
          <w:ilvl w:val="0"/>
          <w:numId w:val="0"/>
        </w:numPr>
        <w:kinsoku/>
        <w:wordWrap/>
        <w:overflowPunct/>
        <w:topLinePunct w:val="0"/>
        <w:autoSpaceDE/>
        <w:autoSpaceDN/>
        <w:bidi w:val="0"/>
        <w:adjustRightInd/>
        <w:snapToGrid/>
        <w:spacing w:line="580" w:lineRule="exact"/>
        <w:ind w:leftChars="200" w:right="0" w:rightChars="0" w:firstLine="320" w:firstLineChars="100"/>
        <w:jc w:val="left"/>
        <w:textAlignment w:val="auto"/>
        <w:outlineLvl w:val="9"/>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八、项目实施成效</w:t>
      </w:r>
    </w:p>
    <w:p w14:paraId="6D8AAC4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前卫镇人民政府即将配置相应的办公用品及设备，进行政府采购以保证我单位工作正常开展，加强对全镇中心工作的指导和推进，充分发挥前卫镇人力资源作用，为前卫镇的规划建设共同发力。前卫镇将秉承资产配置与履行职责相适应、科学合理优化资产结构、勤俭节约、从严控制的资产配置原则，在标准限额内优先选择经济、适用、低能耗产品，遵循满足履行职能需要原则。</w:t>
      </w:r>
    </w:p>
    <w:p w14:paraId="0FAE29BC">
      <w:pPr>
        <w:pStyle w:val="2"/>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F93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903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MGU1YjQ0NmEzMTM4OTBkOWI5MTJkMDBlNzdhYWEifQ=="/>
  </w:docVars>
  <w:rsids>
    <w:rsidRoot w:val="45617368"/>
    <w:rsid w:val="01722E24"/>
    <w:rsid w:val="13734C48"/>
    <w:rsid w:val="1A9609E5"/>
    <w:rsid w:val="1D523FD0"/>
    <w:rsid w:val="1F7E08BA"/>
    <w:rsid w:val="20F53383"/>
    <w:rsid w:val="24775D23"/>
    <w:rsid w:val="256C2E05"/>
    <w:rsid w:val="25A44345"/>
    <w:rsid w:val="26C90647"/>
    <w:rsid w:val="28977D93"/>
    <w:rsid w:val="2D06582D"/>
    <w:rsid w:val="2FF246F6"/>
    <w:rsid w:val="32015F7F"/>
    <w:rsid w:val="33610DB0"/>
    <w:rsid w:val="33867B9F"/>
    <w:rsid w:val="361E32B7"/>
    <w:rsid w:val="391249BC"/>
    <w:rsid w:val="3C7C494B"/>
    <w:rsid w:val="44147581"/>
    <w:rsid w:val="444239B2"/>
    <w:rsid w:val="45617368"/>
    <w:rsid w:val="48950DB4"/>
    <w:rsid w:val="49184B95"/>
    <w:rsid w:val="4AF12095"/>
    <w:rsid w:val="54DA4391"/>
    <w:rsid w:val="576F531E"/>
    <w:rsid w:val="57986CDF"/>
    <w:rsid w:val="590824FD"/>
    <w:rsid w:val="5BE81F09"/>
    <w:rsid w:val="5C3D35AD"/>
    <w:rsid w:val="5D196E24"/>
    <w:rsid w:val="5DC7386F"/>
    <w:rsid w:val="624B666D"/>
    <w:rsid w:val="63DB51A4"/>
    <w:rsid w:val="64015735"/>
    <w:rsid w:val="64856F77"/>
    <w:rsid w:val="67586053"/>
    <w:rsid w:val="695403EB"/>
    <w:rsid w:val="698815B1"/>
    <w:rsid w:val="6A152735"/>
    <w:rsid w:val="6E4E6C5F"/>
    <w:rsid w:val="6EE91FEB"/>
    <w:rsid w:val="715775D2"/>
    <w:rsid w:val="718C202B"/>
    <w:rsid w:val="7231010A"/>
    <w:rsid w:val="73AB0DF5"/>
    <w:rsid w:val="74047D81"/>
    <w:rsid w:val="7A1A23B2"/>
    <w:rsid w:val="7D373DE9"/>
    <w:rsid w:val="7E9E59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Normal Indent"/>
    <w:basedOn w:val="1"/>
    <w:next w:val="1"/>
    <w:qFormat/>
    <w:uiPriority w:val="0"/>
    <w:pPr>
      <w:ind w:firstLine="420"/>
    </w:pPr>
  </w:style>
  <w:style w:type="paragraph" w:styleId="4">
    <w:name w:val="Body Text Indent 2"/>
    <w:basedOn w:val="1"/>
    <w:qFormat/>
    <w:uiPriority w:val="0"/>
    <w:pPr>
      <w:spacing w:line="600" w:lineRule="exact"/>
      <w:ind w:firstLine="658"/>
    </w:pPr>
    <w:rPr>
      <w:rFonts w:ascii="仿宋_GB2312" w:hAnsi="宋体" w:eastAsia="仿宋_GB2312"/>
      <w:b/>
      <w:bCs/>
      <w:sz w:val="32"/>
      <w:szCs w:val="32"/>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8</Pages>
  <Words>2137</Words>
  <Characters>2268</Characters>
  <Lines>0</Lines>
  <Paragraphs>0</Paragraphs>
  <TotalTime>3</TotalTime>
  <ScaleCrop>false</ScaleCrop>
  <LinksUpToDate>false</LinksUpToDate>
  <CharactersWithSpaces>2278</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2021-04-09T06:44:00Z</dcterms:created>
  <dc:creator>lenovo</dc:creator>
  <cp:lastModifiedBy>ximooo</cp:lastModifiedBy>
  <dcterms:modified xsi:type="dcterms:W3CDTF">2024-09-27T02:52:21Z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006CB43CC340456087DD9C98BC3705A3</vt:lpwstr>
  </property>
</Properties>
</file>