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722E3">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36"/>
          <w:szCs w:val="36"/>
        </w:rPr>
      </w:pPr>
    </w:p>
    <w:p w14:paraId="1E6DFCD2">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36"/>
          <w:szCs w:val="36"/>
        </w:rPr>
      </w:pPr>
    </w:p>
    <w:p w14:paraId="73531B6A">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36"/>
          <w:szCs w:val="36"/>
        </w:rPr>
      </w:pPr>
    </w:p>
    <w:p w14:paraId="39103564">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36"/>
          <w:szCs w:val="36"/>
        </w:rPr>
      </w:pPr>
    </w:p>
    <w:p w14:paraId="1A7A8297">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36"/>
          <w:szCs w:val="36"/>
        </w:rPr>
      </w:pPr>
    </w:p>
    <w:p w14:paraId="07B5DDE4">
      <w:pPr>
        <w:keepNext w:val="0"/>
        <w:keepLines w:val="0"/>
        <w:pageBreakBefore w:val="0"/>
        <w:widowControl w:val="0"/>
        <w:kinsoku/>
        <w:wordWrap/>
        <w:overflowPunct/>
        <w:topLinePunct w:val="0"/>
        <w:autoSpaceDE/>
        <w:autoSpaceDN/>
        <w:bidi w:val="0"/>
        <w:adjustRightInd w:val="0"/>
        <w:snapToGrid w:val="0"/>
        <w:ind w:firstLine="0"/>
        <w:jc w:val="center"/>
        <w:textAlignment w:val="auto"/>
        <w:outlineLvl w:val="0"/>
        <w:rPr>
          <w:rFonts w:hint="default" w:ascii="Times New Roman" w:hAnsi="Times New Roman" w:eastAsia="宋体" w:cs="Times New Roman"/>
          <w:bCs/>
          <w:color w:val="auto"/>
          <w:sz w:val="72"/>
          <w:szCs w:val="72"/>
        </w:rPr>
      </w:pPr>
      <w:bookmarkStart w:id="0" w:name="_Toc3774"/>
      <w:r>
        <w:rPr>
          <w:rFonts w:hint="default" w:ascii="Times New Roman" w:hAnsi="Times New Roman" w:eastAsia="宋体" w:cs="Times New Roman"/>
          <w:bCs/>
          <w:color w:val="auto"/>
          <w:sz w:val="72"/>
          <w:szCs w:val="72"/>
        </w:rPr>
        <w:t>建设项目环境影响报告表</w:t>
      </w:r>
      <w:bookmarkEnd w:id="0"/>
    </w:p>
    <w:p w14:paraId="15D8A64B">
      <w:pPr>
        <w:keepNext w:val="0"/>
        <w:keepLines w:val="0"/>
        <w:pageBreakBefore w:val="0"/>
        <w:widowControl w:val="0"/>
        <w:kinsoku/>
        <w:wordWrap/>
        <w:overflowPunct/>
        <w:topLinePunct w:val="0"/>
        <w:autoSpaceDE/>
        <w:autoSpaceDN/>
        <w:bidi w:val="0"/>
        <w:adjustRightInd w:val="0"/>
        <w:snapToGrid w:val="0"/>
        <w:spacing w:before="192" w:beforeLines="80"/>
        <w:ind w:firstLine="0"/>
        <w:jc w:val="center"/>
        <w:textAlignment w:val="auto"/>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7C931B9E">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outlineLvl w:val="9"/>
        <w:rPr>
          <w:rFonts w:hint="default" w:ascii="Times New Roman" w:hAnsi="Times New Roman" w:eastAsia="宋体" w:cs="Times New Roman"/>
          <w:color w:val="auto"/>
          <w:kern w:val="44"/>
          <w:sz w:val="44"/>
          <w:szCs w:val="44"/>
        </w:rPr>
      </w:pPr>
    </w:p>
    <w:p w14:paraId="79F0BF17">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52"/>
          <w:szCs w:val="52"/>
        </w:rPr>
      </w:pPr>
    </w:p>
    <w:p w14:paraId="061154CD">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44"/>
          <w:szCs w:val="44"/>
        </w:rPr>
      </w:pPr>
    </w:p>
    <w:p w14:paraId="634ECBB2">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44"/>
          <w:szCs w:val="44"/>
        </w:rPr>
      </w:pPr>
    </w:p>
    <w:p w14:paraId="45A7DF82">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44"/>
          <w:szCs w:val="44"/>
        </w:rPr>
      </w:pPr>
    </w:p>
    <w:p w14:paraId="6888D832">
      <w:pPr>
        <w:keepNext w:val="0"/>
        <w:keepLines w:val="0"/>
        <w:pageBreakBefore w:val="0"/>
        <w:widowControl w:val="0"/>
        <w:kinsoku/>
        <w:wordWrap/>
        <w:overflowPunct/>
        <w:topLinePunct w:val="0"/>
        <w:autoSpaceDE/>
        <w:autoSpaceDN/>
        <w:bidi w:val="0"/>
        <w:snapToGrid w:val="0"/>
        <w:ind w:firstLine="0"/>
        <w:jc w:val="center"/>
        <w:textAlignment w:val="auto"/>
        <w:rPr>
          <w:rFonts w:hint="default" w:ascii="Times New Roman" w:hAnsi="Times New Roman" w:eastAsia="宋体" w:cs="Times New Roman"/>
          <w:color w:val="auto"/>
          <w:sz w:val="44"/>
          <w:szCs w:val="44"/>
        </w:rPr>
      </w:pPr>
    </w:p>
    <w:tbl>
      <w:tblPr>
        <w:tblStyle w:val="25"/>
        <w:tblW w:w="0" w:type="auto"/>
        <w:tblInd w:w="0" w:type="dxa"/>
        <w:tblLayout w:type="autofit"/>
        <w:tblCellMar>
          <w:top w:w="0" w:type="dxa"/>
          <w:left w:w="108" w:type="dxa"/>
          <w:bottom w:w="0" w:type="dxa"/>
          <w:right w:w="108" w:type="dxa"/>
        </w:tblCellMar>
      </w:tblPr>
      <w:tblGrid>
        <w:gridCol w:w="3174"/>
        <w:gridCol w:w="5886"/>
      </w:tblGrid>
      <w:tr w14:paraId="582E4991">
        <w:trPr>
          <w:trHeight w:val="910" w:hRule="atLeast"/>
        </w:trPr>
        <w:tc>
          <w:tcPr>
            <w:tcW w:w="3174" w:type="dxa"/>
            <w:tcBorders>
              <w:tl2br w:val="nil"/>
              <w:tr2bl w:val="nil"/>
            </w:tcBorders>
            <w:shd w:val="clear" w:color="auto" w:fill="auto"/>
            <w:vAlign w:val="center"/>
          </w:tcPr>
          <w:p w14:paraId="24F48EC8">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Cs/>
                <w:color w:val="auto"/>
                <w:sz w:val="36"/>
                <w:szCs w:val="36"/>
              </w:rPr>
            </w:pPr>
            <w:bookmarkStart w:id="1" w:name="_Hlk57884087"/>
            <w:r>
              <w:rPr>
                <w:rFonts w:hint="default" w:ascii="Times New Roman" w:hAnsi="Times New Roman" w:eastAsia="宋体" w:cs="Times New Roman"/>
                <w:bCs/>
                <w:color w:val="auto"/>
                <w:sz w:val="36"/>
                <w:szCs w:val="36"/>
              </w:rPr>
              <w:t>项目名称：</w:t>
            </w:r>
          </w:p>
        </w:tc>
        <w:tc>
          <w:tcPr>
            <w:tcW w:w="5886" w:type="dxa"/>
            <w:tcBorders>
              <w:tl2br w:val="nil"/>
              <w:tr2bl w:val="nil"/>
            </w:tcBorders>
            <w:shd w:val="clear" w:color="auto" w:fill="auto"/>
            <w:vAlign w:val="center"/>
          </w:tcPr>
          <w:p w14:paraId="7E79BF36">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Cs/>
                <w:color w:val="auto"/>
                <w:sz w:val="36"/>
                <w:szCs w:val="36"/>
                <w:lang w:eastAsia="zh-CN"/>
              </w:rPr>
            </w:pPr>
            <w:r>
              <w:rPr>
                <w:rFonts w:hint="eastAsia" w:cs="Times New Roman"/>
                <w:bCs/>
                <w:color w:val="auto"/>
                <w:sz w:val="36"/>
                <w:szCs w:val="36"/>
                <w:u w:val="single"/>
                <w:lang w:eastAsia="zh-CN"/>
              </w:rPr>
              <w:t>12GWh电池储能舱及其配套10GWh磷酸铁锂电芯智能制造项目(一期)</w:t>
            </w:r>
          </w:p>
        </w:tc>
      </w:tr>
      <w:tr w14:paraId="631405B2">
        <w:tblPrEx>
          <w:tblCellMar>
            <w:top w:w="0" w:type="dxa"/>
            <w:left w:w="108" w:type="dxa"/>
            <w:bottom w:w="0" w:type="dxa"/>
            <w:right w:w="108" w:type="dxa"/>
          </w:tblCellMar>
        </w:tblPrEx>
        <w:trPr>
          <w:trHeight w:val="935" w:hRule="atLeast"/>
        </w:trPr>
        <w:tc>
          <w:tcPr>
            <w:tcW w:w="3174" w:type="dxa"/>
            <w:tcBorders>
              <w:tl2br w:val="nil"/>
              <w:tr2bl w:val="nil"/>
            </w:tcBorders>
            <w:shd w:val="clear" w:color="auto" w:fill="auto"/>
            <w:vAlign w:val="center"/>
          </w:tcPr>
          <w:p w14:paraId="1F4FDAA5">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Cs/>
                <w:color w:val="auto"/>
                <w:sz w:val="36"/>
                <w:szCs w:val="36"/>
              </w:rPr>
            </w:pPr>
            <w:r>
              <w:rPr>
                <w:rFonts w:hint="default" w:ascii="Times New Roman" w:hAnsi="Times New Roman" w:eastAsia="宋体" w:cs="Times New Roman"/>
                <w:bCs/>
                <w:color w:val="auto"/>
                <w:sz w:val="36"/>
                <w:szCs w:val="36"/>
              </w:rPr>
              <w:t>建设单位（盖章）：</w:t>
            </w:r>
          </w:p>
        </w:tc>
        <w:tc>
          <w:tcPr>
            <w:tcW w:w="5886" w:type="dxa"/>
            <w:tcBorders>
              <w:tl2br w:val="nil"/>
              <w:tr2bl w:val="nil"/>
            </w:tcBorders>
            <w:shd w:val="clear" w:color="auto" w:fill="auto"/>
            <w:vAlign w:val="center"/>
          </w:tcPr>
          <w:p w14:paraId="0696ACB5">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Cs/>
                <w:color w:val="auto"/>
                <w:sz w:val="36"/>
                <w:szCs w:val="36"/>
                <w:lang w:eastAsia="zh-CN"/>
              </w:rPr>
            </w:pPr>
            <w:r>
              <w:rPr>
                <w:rFonts w:hint="eastAsia" w:cs="Times New Roman"/>
                <w:bCs/>
                <w:color w:val="auto"/>
                <w:sz w:val="36"/>
                <w:szCs w:val="36"/>
                <w:u w:val="single"/>
                <w:lang w:eastAsia="zh-CN"/>
              </w:rPr>
              <w:t>星链正储(玉溪)新能源科技有限公司</w:t>
            </w:r>
          </w:p>
        </w:tc>
      </w:tr>
      <w:tr w14:paraId="14D5349A">
        <w:tblPrEx>
          <w:tblCellMar>
            <w:top w:w="0" w:type="dxa"/>
            <w:left w:w="108" w:type="dxa"/>
            <w:bottom w:w="0" w:type="dxa"/>
            <w:right w:w="108" w:type="dxa"/>
          </w:tblCellMar>
        </w:tblPrEx>
        <w:tc>
          <w:tcPr>
            <w:tcW w:w="3174" w:type="dxa"/>
            <w:tcBorders>
              <w:tl2br w:val="nil"/>
              <w:tr2bl w:val="nil"/>
            </w:tcBorders>
            <w:shd w:val="clear" w:color="auto" w:fill="auto"/>
            <w:vAlign w:val="center"/>
          </w:tcPr>
          <w:p w14:paraId="5E3D9FE1">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Cs/>
                <w:color w:val="auto"/>
                <w:sz w:val="36"/>
                <w:szCs w:val="36"/>
              </w:rPr>
            </w:pPr>
            <w:r>
              <w:rPr>
                <w:rFonts w:hint="default" w:ascii="Times New Roman" w:hAnsi="Times New Roman" w:eastAsia="宋体" w:cs="Times New Roman"/>
                <w:bCs/>
                <w:color w:val="auto"/>
                <w:sz w:val="36"/>
                <w:szCs w:val="36"/>
              </w:rPr>
              <w:t>编制日期：</w:t>
            </w:r>
          </w:p>
        </w:tc>
        <w:tc>
          <w:tcPr>
            <w:tcW w:w="5886" w:type="dxa"/>
            <w:tcBorders>
              <w:tl2br w:val="nil"/>
              <w:tr2bl w:val="nil"/>
            </w:tcBorders>
            <w:shd w:val="clear" w:color="auto" w:fill="auto"/>
            <w:vAlign w:val="center"/>
          </w:tcPr>
          <w:p w14:paraId="5737D024">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bCs/>
                <w:color w:val="auto"/>
                <w:sz w:val="36"/>
                <w:szCs w:val="36"/>
              </w:rPr>
            </w:pPr>
            <w:r>
              <w:rPr>
                <w:rFonts w:hint="default" w:ascii="Times New Roman" w:hAnsi="Times New Roman" w:eastAsia="宋体" w:cs="Times New Roman"/>
                <w:bCs/>
                <w:color w:val="auto"/>
                <w:sz w:val="36"/>
                <w:szCs w:val="36"/>
                <w:u w:val="single"/>
                <w:lang w:val="en-US" w:eastAsia="zh-CN"/>
              </w:rPr>
              <w:t>2024</w:t>
            </w:r>
            <w:r>
              <w:rPr>
                <w:rFonts w:hint="default" w:ascii="Times New Roman" w:hAnsi="Times New Roman" w:eastAsia="宋体" w:cs="Times New Roman"/>
                <w:bCs/>
                <w:color w:val="auto"/>
                <w:sz w:val="36"/>
                <w:szCs w:val="36"/>
                <w:u w:val="single"/>
              </w:rPr>
              <w:t>年</w:t>
            </w:r>
            <w:r>
              <w:rPr>
                <w:rFonts w:hint="eastAsia" w:cs="Times New Roman"/>
                <w:bCs/>
                <w:color w:val="auto"/>
                <w:sz w:val="36"/>
                <w:szCs w:val="36"/>
                <w:u w:val="single"/>
                <w:lang w:val="en-US" w:eastAsia="zh-CN"/>
              </w:rPr>
              <w:t>12</w:t>
            </w:r>
            <w:r>
              <w:rPr>
                <w:rFonts w:hint="default" w:ascii="Times New Roman" w:hAnsi="Times New Roman" w:eastAsia="宋体" w:cs="Times New Roman"/>
                <w:bCs/>
                <w:color w:val="auto"/>
                <w:sz w:val="36"/>
                <w:szCs w:val="36"/>
                <w:u w:val="single"/>
              </w:rPr>
              <w:t>月</w:t>
            </w:r>
          </w:p>
        </w:tc>
      </w:tr>
    </w:tbl>
    <w:p w14:paraId="4DC26248">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u w:val="single"/>
        </w:rPr>
      </w:pPr>
    </w:p>
    <w:p w14:paraId="2A702B4C">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rPr>
      </w:pPr>
    </w:p>
    <w:p w14:paraId="2BAE7C3D">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rPr>
      </w:pPr>
    </w:p>
    <w:p w14:paraId="7BBA56F5">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rPr>
      </w:pPr>
    </w:p>
    <w:p w14:paraId="10C6A9CA">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rPr>
      </w:pPr>
    </w:p>
    <w:bookmarkEnd w:id="1"/>
    <w:p w14:paraId="751232B6">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36"/>
          <w:szCs w:val="36"/>
        </w:rPr>
        <w:t>中华人民共和国生态环境部制</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6732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1" w:hRule="atLeast"/>
        </w:trPr>
        <w:tc>
          <w:tcPr>
            <w:tcW w:w="13652" w:type="dxa"/>
          </w:tcPr>
          <w:p w14:paraId="14BAB197">
            <w:pPr>
              <w:jc w:val="center"/>
              <w:rPr>
                <w:rFonts w:hint="default"/>
                <w:vertAlign w:val="baseline"/>
                <w:lang w:val="en-US" w:eastAsia="zh-CN"/>
              </w:rPr>
            </w:pPr>
            <w:r>
              <w:drawing>
                <wp:inline distT="0" distB="0" distL="114300" distR="114300">
                  <wp:extent cx="7762240" cy="5174615"/>
                  <wp:effectExtent l="0" t="0" r="10160"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7762240" cy="5174615"/>
                          </a:xfrm>
                          <a:prstGeom prst="rect">
                            <a:avLst/>
                          </a:prstGeom>
                          <a:noFill/>
                          <a:ln>
                            <a:noFill/>
                          </a:ln>
                        </pic:spPr>
                      </pic:pic>
                    </a:graphicData>
                  </a:graphic>
                </wp:inline>
              </w:drawing>
            </w:r>
          </w:p>
        </w:tc>
      </w:tr>
      <w:tr w14:paraId="6A77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3652" w:type="dxa"/>
          </w:tcPr>
          <w:p w14:paraId="711DDFB3">
            <w:pPr>
              <w:jc w:val="center"/>
              <w:rPr>
                <w:rFonts w:hint="default"/>
                <w:vertAlign w:val="baseline"/>
                <w:lang w:val="en-US" w:eastAsia="zh-CN"/>
              </w:rPr>
            </w:pPr>
            <w:r>
              <w:rPr>
                <w:rFonts w:hint="eastAsia"/>
                <w:b/>
                <w:bCs/>
                <w:sz w:val="24"/>
                <w:szCs w:val="24"/>
                <w:vertAlign w:val="baseline"/>
                <w:lang w:val="en-US" w:eastAsia="zh-CN"/>
              </w:rPr>
              <w:t>本项目所在地块周边情况</w:t>
            </w:r>
          </w:p>
        </w:tc>
      </w:tr>
    </w:tbl>
    <w:p w14:paraId="1524E4FC">
      <w:pPr>
        <w:rPr>
          <w:rFonts w:hint="default"/>
          <w:lang w:val="en-US" w:eastAsia="zh-CN"/>
        </w:rPr>
        <w:sectPr>
          <w:footerReference r:id="rId5"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p>
    <w:p w14:paraId="5B2EB8F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b/>
          <w:bCs/>
          <w:color w:val="auto"/>
          <w:sz w:val="36"/>
          <w:szCs w:val="36"/>
          <w:lang w:val="en-US" w:eastAsia="zh-CN"/>
        </w:rPr>
      </w:pPr>
      <w:r>
        <w:rPr>
          <w:rFonts w:hint="default" w:ascii="Times New Roman" w:hAnsi="Times New Roman" w:eastAsia="宋体" w:cs="Times New Roman"/>
          <w:b/>
          <w:bCs/>
          <w:color w:val="auto"/>
          <w:sz w:val="36"/>
          <w:szCs w:val="36"/>
          <w:lang w:val="en-US" w:eastAsia="zh-CN"/>
        </w:rPr>
        <w:t>项目由来</w:t>
      </w:r>
    </w:p>
    <w:p w14:paraId="4B60645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星链正储(玉溪)新能源科技有限公司通过国有建设用地使用权出让的方式取得了玉溪市玉溪高新技术产业开发区龙泉片区一块6.6668公顷的土地，批准用地文号为玉江政复[2024]8号</w:t>
      </w:r>
      <w:r>
        <w:rPr>
          <w:rFonts w:hint="default" w:ascii="Times New Roman" w:hAnsi="Times New Roman" w:eastAsia="宋体" w:cs="Times New Roman"/>
          <w:color w:val="auto"/>
          <w:sz w:val="24"/>
          <w:szCs w:val="24"/>
          <w:lang w:val="en-US" w:eastAsia="zh-CN"/>
        </w:rPr>
        <w:t>；建设用地规划许可证</w:t>
      </w:r>
      <w:r>
        <w:rPr>
          <w:rFonts w:hint="eastAsia" w:cs="Times New Roman"/>
          <w:color w:val="auto"/>
          <w:sz w:val="24"/>
          <w:szCs w:val="24"/>
          <w:lang w:val="en-US" w:eastAsia="zh-CN"/>
        </w:rPr>
        <w:t>编号为：530432202400002。星链正储(玉溪)新能源科技有限公司计划在该地块建设12GWh电池储能舱及其配套10GWh磷酸铁锂电芯智能制造项目；本次评价内容为一期项目，一期项目主要建设内容为45000㎡的生产厂房及配套设施，建设一条年产4GWh电池储能舱及其配套2GWh磷酸铁锂电芯生产线，一期项目于2024年3月28日</w:t>
      </w:r>
      <w:r>
        <w:rPr>
          <w:rFonts w:hint="default" w:ascii="Times New Roman" w:hAnsi="Times New Roman" w:eastAsia="宋体" w:cs="Times New Roman"/>
          <w:color w:val="auto"/>
          <w:sz w:val="24"/>
          <w:szCs w:val="24"/>
          <w:lang w:val="en-US" w:eastAsia="zh-CN"/>
        </w:rPr>
        <w:t>取得了玉溪高新技术产业开发区管理委员会出具的项目投资备案证，文号：玉</w:t>
      </w:r>
      <w:r>
        <w:rPr>
          <w:rFonts w:hint="eastAsia" w:cs="Times New Roman"/>
          <w:color w:val="auto"/>
          <w:sz w:val="24"/>
          <w:szCs w:val="24"/>
          <w:lang w:val="en-US" w:eastAsia="zh-CN"/>
        </w:rPr>
        <w:t>高开委发备案</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号，</w:t>
      </w:r>
      <w:r>
        <w:rPr>
          <w:rFonts w:hint="eastAsia" w:cs="Times New Roman"/>
          <w:color w:val="auto"/>
          <w:sz w:val="24"/>
          <w:szCs w:val="24"/>
          <w:lang w:val="en-US" w:eastAsia="zh-CN"/>
        </w:rPr>
        <w:t>本期项目</w:t>
      </w:r>
      <w:r>
        <w:rPr>
          <w:rFonts w:hint="default" w:ascii="Times New Roman" w:hAnsi="Times New Roman" w:eastAsia="宋体" w:cs="Times New Roman"/>
          <w:color w:val="auto"/>
          <w:sz w:val="24"/>
          <w:szCs w:val="24"/>
          <w:lang w:val="en-US" w:eastAsia="zh-CN"/>
        </w:rPr>
        <w:t>计划投资</w:t>
      </w:r>
      <w:r>
        <w:rPr>
          <w:rFonts w:hint="eastAsia" w:cs="Times New Roman"/>
          <w:color w:val="auto"/>
          <w:sz w:val="24"/>
          <w:szCs w:val="24"/>
          <w:lang w:val="en-US" w:eastAsia="zh-CN"/>
        </w:rPr>
        <w:t>1800</w:t>
      </w:r>
      <w:r>
        <w:rPr>
          <w:rFonts w:hint="default" w:ascii="Times New Roman" w:hAnsi="Times New Roman" w:eastAsia="宋体" w:cs="Times New Roman"/>
          <w:color w:val="auto"/>
          <w:sz w:val="24"/>
          <w:szCs w:val="24"/>
          <w:lang w:val="en-US" w:eastAsia="zh-CN"/>
        </w:rPr>
        <w:t>00万元。</w:t>
      </w:r>
    </w:p>
    <w:p w14:paraId="5462DC8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我公司根据现场踏勘，</w:t>
      </w:r>
      <w:r>
        <w:rPr>
          <w:rFonts w:hint="eastAsia" w:cs="Times New Roman"/>
          <w:color w:val="auto"/>
          <w:sz w:val="24"/>
          <w:szCs w:val="24"/>
          <w:lang w:val="en-US" w:eastAsia="zh-CN"/>
        </w:rPr>
        <w:t>项目区为闲置空地</w:t>
      </w:r>
      <w:r>
        <w:rPr>
          <w:rFonts w:hint="default" w:ascii="Times New Roman" w:hAnsi="Times New Roman" w:eastAsia="宋体" w:cs="Times New Roman"/>
          <w:color w:val="auto"/>
          <w:sz w:val="24"/>
          <w:szCs w:val="24"/>
          <w:lang w:val="en-US" w:eastAsia="zh-CN"/>
        </w:rPr>
        <w:t>。对照《国民经济行业分类》（GB/T4754-2017）本项目属于C</w:t>
      </w:r>
      <w:r>
        <w:rPr>
          <w:rFonts w:hint="eastAsia" w:cs="Times New Roman"/>
          <w:color w:val="auto"/>
          <w:sz w:val="24"/>
          <w:szCs w:val="24"/>
          <w:lang w:val="en-US" w:eastAsia="zh-CN"/>
        </w:rPr>
        <w:t>3481电池制造</w:t>
      </w:r>
      <w:r>
        <w:rPr>
          <w:rFonts w:hint="default" w:ascii="Times New Roman" w:hAnsi="Times New Roman" w:eastAsia="宋体" w:cs="Times New Roman"/>
          <w:color w:val="auto"/>
          <w:sz w:val="24"/>
          <w:szCs w:val="24"/>
          <w:lang w:val="en-US" w:eastAsia="zh-CN"/>
        </w:rPr>
        <w:t>，根据《建设项目环境影响评价分类管理名录（2021年版）》中“</w:t>
      </w:r>
      <w:r>
        <w:rPr>
          <w:rFonts w:hint="eastAsia" w:cs="Times New Roman"/>
          <w:color w:val="auto"/>
          <w:sz w:val="24"/>
          <w:szCs w:val="24"/>
          <w:lang w:val="en-US" w:eastAsia="zh-CN"/>
        </w:rPr>
        <w:t>三十五</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电气机械和器材制造业</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电池制造384-其它</w:t>
      </w:r>
      <w:r>
        <w:rPr>
          <w:rFonts w:hint="default" w:ascii="Times New Roman" w:hAnsi="Times New Roman" w:eastAsia="宋体" w:cs="Times New Roman"/>
          <w:color w:val="auto"/>
          <w:sz w:val="24"/>
          <w:szCs w:val="24"/>
          <w:lang w:val="en-US" w:eastAsia="zh-CN"/>
        </w:rPr>
        <w:t>”应编制环境影响评价报告表。</w:t>
      </w:r>
    </w:p>
    <w:p w14:paraId="2295F98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我公司接受委托后，开展了现场调查和资料收集，编制了《</w:t>
      </w:r>
      <w:r>
        <w:rPr>
          <w:rFonts w:hint="eastAsia" w:cs="Times New Roman"/>
          <w:color w:val="auto"/>
          <w:sz w:val="24"/>
          <w:szCs w:val="24"/>
          <w:lang w:eastAsia="zh-CN"/>
        </w:rPr>
        <w:t>12GWh电池储能舱及其配套10GWh磷酸铁锂电芯智能制造项目(一期)</w:t>
      </w:r>
      <w:r>
        <w:rPr>
          <w:rFonts w:hint="default" w:ascii="Times New Roman" w:hAnsi="Times New Roman" w:eastAsia="宋体" w:cs="Times New Roman"/>
          <w:color w:val="auto"/>
          <w:sz w:val="24"/>
          <w:szCs w:val="24"/>
          <w:lang w:val="en-US" w:eastAsia="zh-CN"/>
        </w:rPr>
        <w:t>环境影响报告表》供</w:t>
      </w:r>
      <w:r>
        <w:rPr>
          <w:rFonts w:hint="eastAsia" w:cs="Times New Roman"/>
          <w:color w:val="auto"/>
          <w:sz w:val="24"/>
          <w:szCs w:val="24"/>
          <w:lang w:val="en-US" w:eastAsia="zh-CN"/>
        </w:rPr>
        <w:t>星链正储(玉溪)新能源科技有限公司</w:t>
      </w:r>
      <w:r>
        <w:rPr>
          <w:rFonts w:hint="default" w:ascii="Times New Roman" w:hAnsi="Times New Roman" w:eastAsia="宋体" w:cs="Times New Roman"/>
          <w:color w:val="auto"/>
          <w:sz w:val="24"/>
          <w:szCs w:val="24"/>
          <w:lang w:val="en-US" w:eastAsia="zh-CN"/>
        </w:rPr>
        <w:t>提交玉溪市生态环境局江川分局审批。</w:t>
      </w:r>
    </w:p>
    <w:p w14:paraId="3AB0CB8E">
      <w:pPr>
        <w:pStyle w:val="36"/>
        <w:ind w:firstLine="420"/>
        <w:rPr>
          <w:rFonts w:hint="eastAsia"/>
          <w:color w:val="auto"/>
          <w:sz w:val="24"/>
          <w:szCs w:val="24"/>
        </w:rPr>
      </w:pPr>
      <w:r>
        <w:rPr>
          <w:rFonts w:hint="eastAsia"/>
          <w:color w:val="auto"/>
          <w:sz w:val="24"/>
          <w:szCs w:val="24"/>
        </w:rPr>
        <w:t>本项目运营期放射性污染源主要是</w:t>
      </w:r>
      <w:r>
        <w:rPr>
          <w:rFonts w:hint="eastAsia"/>
          <w:color w:val="auto"/>
          <w:sz w:val="24"/>
          <w:szCs w:val="24"/>
          <w:lang w:val="en-US" w:eastAsia="zh-CN"/>
        </w:rPr>
        <w:t>DR型</w:t>
      </w:r>
      <w:r>
        <w:rPr>
          <w:rFonts w:hint="eastAsia"/>
          <w:color w:val="auto"/>
          <w:sz w:val="24"/>
          <w:szCs w:val="24"/>
        </w:rPr>
        <w:t>X光机，探测器材料</w:t>
      </w:r>
      <w:r>
        <w:rPr>
          <w:rFonts w:hint="eastAsia"/>
          <w:color w:val="auto"/>
          <w:sz w:val="24"/>
          <w:szCs w:val="24"/>
          <w:lang w:val="en-US" w:eastAsia="zh-CN"/>
        </w:rPr>
        <w:t>为</w:t>
      </w:r>
      <w:r>
        <w:rPr>
          <w:rFonts w:hint="eastAsia"/>
          <w:color w:val="auto"/>
          <w:sz w:val="24"/>
          <w:szCs w:val="24"/>
        </w:rPr>
        <w:t>非晶硅</w:t>
      </w:r>
      <w:r>
        <w:rPr>
          <w:rFonts w:hint="eastAsia"/>
          <w:color w:val="auto"/>
          <w:sz w:val="24"/>
          <w:szCs w:val="24"/>
          <w:lang w:val="en-US" w:eastAsia="zh-CN"/>
        </w:rPr>
        <w:t>+荧光涂层</w:t>
      </w:r>
      <w:r>
        <w:rPr>
          <w:rFonts w:hint="eastAsia"/>
          <w:color w:val="auto"/>
          <w:sz w:val="24"/>
          <w:szCs w:val="24"/>
          <w:lang w:eastAsia="zh-CN"/>
        </w:rPr>
        <w:t>，</w:t>
      </w:r>
      <w:r>
        <w:rPr>
          <w:rFonts w:hint="eastAsia"/>
          <w:color w:val="auto"/>
          <w:sz w:val="24"/>
          <w:szCs w:val="24"/>
          <w:lang w:val="en-US" w:eastAsia="zh-CN"/>
        </w:rPr>
        <w:t>采用高频变发生器旋转阳极释放X射线，属于Ⅲ类射线装置；</w:t>
      </w:r>
      <w:r>
        <w:rPr>
          <w:rFonts w:hint="eastAsia"/>
          <w:color w:val="auto"/>
          <w:sz w:val="24"/>
          <w:szCs w:val="24"/>
        </w:rPr>
        <w:t>本报告不对</w:t>
      </w:r>
      <w:r>
        <w:rPr>
          <w:rFonts w:hint="eastAsia"/>
          <w:color w:val="auto"/>
          <w:sz w:val="24"/>
          <w:szCs w:val="24"/>
          <w:lang w:val="en-US" w:eastAsia="zh-CN"/>
        </w:rPr>
        <w:t>Ⅲ类射线装置</w:t>
      </w:r>
      <w:r>
        <w:rPr>
          <w:rFonts w:hint="eastAsia"/>
          <w:color w:val="auto"/>
          <w:sz w:val="24"/>
          <w:szCs w:val="24"/>
        </w:rPr>
        <w:t>进行环境影响评价，但放射性装置的安装和防护、开展</w:t>
      </w:r>
      <w:r>
        <w:rPr>
          <w:rFonts w:hint="eastAsia"/>
          <w:color w:val="auto"/>
          <w:sz w:val="24"/>
          <w:szCs w:val="24"/>
          <w:lang w:val="en-US" w:eastAsia="zh-CN"/>
        </w:rPr>
        <w:t>使用</w:t>
      </w:r>
      <w:r>
        <w:rPr>
          <w:rFonts w:hint="eastAsia"/>
          <w:color w:val="auto"/>
          <w:sz w:val="24"/>
          <w:szCs w:val="24"/>
        </w:rPr>
        <w:t>须按照有关规定，单独</w:t>
      </w:r>
      <w:r>
        <w:rPr>
          <w:rFonts w:hint="eastAsia"/>
          <w:color w:val="auto"/>
          <w:sz w:val="24"/>
          <w:szCs w:val="24"/>
          <w:lang w:val="en-US" w:eastAsia="zh-CN"/>
        </w:rPr>
        <w:t>进行</w:t>
      </w:r>
      <w:r>
        <w:rPr>
          <w:rFonts w:hint="eastAsia"/>
          <w:color w:val="auto"/>
          <w:sz w:val="24"/>
          <w:szCs w:val="24"/>
        </w:rPr>
        <w:t>放射性污染源</w:t>
      </w:r>
      <w:r>
        <w:rPr>
          <w:rFonts w:hint="eastAsia"/>
          <w:color w:val="auto"/>
          <w:sz w:val="24"/>
          <w:szCs w:val="24"/>
          <w:lang w:eastAsia="zh-CN"/>
        </w:rPr>
        <w:t>的</w:t>
      </w:r>
      <w:r>
        <w:rPr>
          <w:rFonts w:hint="eastAsia"/>
          <w:color w:val="auto"/>
          <w:sz w:val="24"/>
          <w:szCs w:val="24"/>
          <w:lang w:val="en-US" w:eastAsia="zh-CN"/>
        </w:rPr>
        <w:t>环境影响评价。</w:t>
      </w:r>
    </w:p>
    <w:p w14:paraId="2C3F709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44853A4">
      <w:pPr>
        <w:pStyle w:val="21"/>
        <w:jc w:val="center"/>
        <w:outlineLvl w:val="0"/>
        <w:rPr>
          <w:rFonts w:hint="default" w:ascii="Times New Roman" w:hAnsi="Times New Roman" w:eastAsia="宋体" w:cs="Times New Roman"/>
          <w:b/>
          <w:bCs/>
          <w:snapToGrid w:val="0"/>
          <w:color w:val="auto"/>
          <w:sz w:val="30"/>
          <w:szCs w:val="30"/>
        </w:rPr>
      </w:pPr>
      <w:bookmarkStart w:id="2" w:name="_Toc4466"/>
      <w:r>
        <w:rPr>
          <w:rFonts w:hint="default" w:ascii="Times New Roman" w:hAnsi="Times New Roman" w:eastAsia="宋体" w:cs="Times New Roman"/>
          <w:b/>
          <w:bCs/>
          <w:snapToGrid w:val="0"/>
          <w:color w:val="auto"/>
          <w:sz w:val="30"/>
          <w:szCs w:val="30"/>
        </w:rPr>
        <w:t>一、建设项目基本情况</w:t>
      </w:r>
      <w:bookmarkEnd w:id="2"/>
    </w:p>
    <w:tbl>
      <w:tblPr>
        <w:tblStyle w:val="25"/>
        <w:tblW w:w="97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78"/>
        <w:gridCol w:w="1469"/>
        <w:gridCol w:w="2073"/>
        <w:gridCol w:w="2011"/>
        <w:gridCol w:w="3511"/>
      </w:tblGrid>
      <w:tr w14:paraId="43947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7F63A8F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595" w:type="dxa"/>
            <w:gridSpan w:val="3"/>
            <w:vAlign w:val="center"/>
          </w:tcPr>
          <w:p w14:paraId="0E21DEA6">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12GWh电池储能舱及其配套10GWh磷酸铁锂电芯智能制造项目(一期)</w:t>
            </w:r>
          </w:p>
        </w:tc>
      </w:tr>
      <w:tr w14:paraId="48662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68F41B7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595" w:type="dxa"/>
            <w:gridSpan w:val="3"/>
            <w:vAlign w:val="center"/>
          </w:tcPr>
          <w:p w14:paraId="41A3DA11">
            <w:pPr>
              <w:adjustRightInd w:val="0"/>
              <w:snapToGrid w:val="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2403-530499-99-01-214774</w:t>
            </w:r>
          </w:p>
        </w:tc>
      </w:tr>
      <w:tr w14:paraId="59ECF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7A7BF83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2073" w:type="dxa"/>
            <w:vAlign w:val="center"/>
          </w:tcPr>
          <w:p w14:paraId="13D9C5AC">
            <w:pPr>
              <w:adjustRightInd w:val="0"/>
              <w:snapToGrid w:val="0"/>
              <w:jc w:val="center"/>
              <w:rPr>
                <w:rFonts w:hint="default" w:ascii="Times New Roman" w:hAnsi="Times New Roman" w:eastAsia="宋体" w:cs="Times New Roman"/>
                <w:color w:val="auto"/>
                <w:sz w:val="21"/>
                <w:szCs w:val="21"/>
                <w:lang w:val="en-US" w:eastAsia="zh-CN"/>
              </w:rPr>
            </w:pPr>
          </w:p>
        </w:tc>
        <w:tc>
          <w:tcPr>
            <w:tcW w:w="2011" w:type="dxa"/>
            <w:vAlign w:val="center"/>
          </w:tcPr>
          <w:p w14:paraId="5B88A4B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联系方式</w:t>
            </w:r>
          </w:p>
        </w:tc>
        <w:tc>
          <w:tcPr>
            <w:tcW w:w="3511" w:type="dxa"/>
            <w:vAlign w:val="center"/>
          </w:tcPr>
          <w:p w14:paraId="199B8861">
            <w:pPr>
              <w:adjustRightInd w:val="0"/>
              <w:snapToGrid w:val="0"/>
              <w:jc w:val="center"/>
              <w:rPr>
                <w:rFonts w:hint="default" w:ascii="Times New Roman" w:hAnsi="Times New Roman" w:eastAsia="宋体" w:cs="Times New Roman"/>
                <w:color w:val="auto"/>
                <w:sz w:val="21"/>
                <w:szCs w:val="21"/>
                <w:lang w:val="en-US" w:eastAsia="zh-CN"/>
              </w:rPr>
            </w:pPr>
          </w:p>
        </w:tc>
      </w:tr>
      <w:tr w14:paraId="6E387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103CEB8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595" w:type="dxa"/>
            <w:gridSpan w:val="3"/>
            <w:vAlign w:val="center"/>
          </w:tcPr>
          <w:p w14:paraId="652E488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云南省玉溪市江川区龙泉工业园区</w:t>
            </w:r>
          </w:p>
        </w:tc>
      </w:tr>
      <w:tr w14:paraId="71EE1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674E075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595" w:type="dxa"/>
            <w:gridSpan w:val="3"/>
            <w:vAlign w:val="center"/>
          </w:tcPr>
          <w:p w14:paraId="243A2A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东经：102°42'42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378"，北纬：24°18'37</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219"</w:t>
            </w:r>
          </w:p>
        </w:tc>
      </w:tr>
      <w:tr w14:paraId="49F3E7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7" w:type="dxa"/>
            <w:gridSpan w:val="2"/>
            <w:tcMar>
              <w:top w:w="16" w:type="dxa"/>
              <w:left w:w="16" w:type="dxa"/>
              <w:right w:w="16" w:type="dxa"/>
            </w:tcMar>
            <w:vAlign w:val="center"/>
          </w:tcPr>
          <w:p w14:paraId="73552C7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国民经济</w:t>
            </w:r>
          </w:p>
          <w:p w14:paraId="3DD6745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p>
        </w:tc>
        <w:tc>
          <w:tcPr>
            <w:tcW w:w="2073" w:type="dxa"/>
            <w:vAlign w:val="center"/>
          </w:tcPr>
          <w:p w14:paraId="3580819F">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C3481电池制造</w:t>
            </w:r>
          </w:p>
        </w:tc>
        <w:tc>
          <w:tcPr>
            <w:tcW w:w="2011" w:type="dxa"/>
            <w:vAlign w:val="center"/>
          </w:tcPr>
          <w:p w14:paraId="3D2C7353">
            <w:pPr>
              <w:adjustRightInd w:val="0"/>
              <w:snapToGrid w:val="0"/>
              <w:jc w:val="center"/>
              <w:rPr>
                <w:rFonts w:hint="default" w:ascii="Times New Roman" w:hAnsi="Times New Roman" w:eastAsia="宋体" w:cs="Times New Roman"/>
                <w:color w:val="auto"/>
                <w:sz w:val="21"/>
                <w:szCs w:val="21"/>
              </w:rPr>
            </w:pPr>
            <w:bookmarkStart w:id="3" w:name="_Hlk49843745"/>
            <w:r>
              <w:rPr>
                <w:rFonts w:hint="default" w:ascii="Times New Roman" w:hAnsi="Times New Roman" w:eastAsia="宋体" w:cs="Times New Roman"/>
                <w:color w:val="auto"/>
                <w:sz w:val="21"/>
                <w:szCs w:val="21"/>
              </w:rPr>
              <w:t>建设项目</w:t>
            </w:r>
          </w:p>
          <w:p w14:paraId="6FA4F7E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行业类别</w:t>
            </w:r>
            <w:bookmarkEnd w:id="3"/>
          </w:p>
        </w:tc>
        <w:tc>
          <w:tcPr>
            <w:tcW w:w="3511" w:type="dxa"/>
            <w:vAlign w:val="center"/>
          </w:tcPr>
          <w:p w14:paraId="4BE6242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三十五</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电气机械和器材制造业</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电池制造384-其它</w:t>
            </w:r>
          </w:p>
        </w:tc>
      </w:tr>
      <w:tr w14:paraId="31ED9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47" w:type="dxa"/>
            <w:gridSpan w:val="2"/>
            <w:tcMar>
              <w:top w:w="16" w:type="dxa"/>
              <w:left w:w="16" w:type="dxa"/>
              <w:right w:w="16" w:type="dxa"/>
            </w:tcMar>
            <w:vAlign w:val="center"/>
          </w:tcPr>
          <w:p w14:paraId="0EFE8B5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2073" w:type="dxa"/>
            <w:vAlign w:val="center"/>
          </w:tcPr>
          <w:p w14:paraId="4ED535C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新建（迁建）</w:t>
            </w:r>
          </w:p>
          <w:p w14:paraId="30BB86B0">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改建</w:t>
            </w:r>
          </w:p>
          <w:p w14:paraId="23D6FC9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扩建</w:t>
            </w:r>
          </w:p>
          <w:p w14:paraId="1BC6B632">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技术改造</w:t>
            </w:r>
          </w:p>
        </w:tc>
        <w:tc>
          <w:tcPr>
            <w:tcW w:w="2011" w:type="dxa"/>
            <w:vAlign w:val="center"/>
          </w:tcPr>
          <w:p w14:paraId="398CA28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14:paraId="71B6DB1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3511" w:type="dxa"/>
            <w:vAlign w:val="center"/>
          </w:tcPr>
          <w:p w14:paraId="07BF53DE">
            <w:pPr>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首次申报项目</w:t>
            </w:r>
          </w:p>
          <w:p w14:paraId="3045B960">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不予批准后再次申报项目</w:t>
            </w:r>
          </w:p>
          <w:p w14:paraId="44CA1943">
            <w:pPr>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超五年重新审核项目</w:t>
            </w:r>
          </w:p>
          <w:p w14:paraId="75175B24">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重大变动重新报批项目</w:t>
            </w:r>
          </w:p>
        </w:tc>
      </w:tr>
      <w:tr w14:paraId="0A17F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47" w:type="dxa"/>
            <w:gridSpan w:val="2"/>
            <w:tcMar>
              <w:top w:w="16" w:type="dxa"/>
              <w:left w:w="16" w:type="dxa"/>
              <w:right w:w="16" w:type="dxa"/>
            </w:tcMar>
            <w:vAlign w:val="center"/>
          </w:tcPr>
          <w:p w14:paraId="266D186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14:paraId="396101B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备案）部门（选填）</w:t>
            </w:r>
          </w:p>
        </w:tc>
        <w:tc>
          <w:tcPr>
            <w:tcW w:w="2073" w:type="dxa"/>
            <w:vAlign w:val="center"/>
          </w:tcPr>
          <w:p w14:paraId="4DF70E4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玉溪高新技术产业开发区管理委员会</w:t>
            </w:r>
          </w:p>
        </w:tc>
        <w:tc>
          <w:tcPr>
            <w:tcW w:w="2011" w:type="dxa"/>
            <w:vAlign w:val="center"/>
          </w:tcPr>
          <w:p w14:paraId="4C395C0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14:paraId="42032EB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备案）文号（选填）</w:t>
            </w:r>
          </w:p>
        </w:tc>
        <w:tc>
          <w:tcPr>
            <w:tcW w:w="3511" w:type="dxa"/>
            <w:vAlign w:val="center"/>
          </w:tcPr>
          <w:p w14:paraId="593A914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玉</w:t>
            </w:r>
            <w:r>
              <w:rPr>
                <w:rFonts w:hint="eastAsia" w:cs="Times New Roman"/>
                <w:color w:val="auto"/>
                <w:sz w:val="21"/>
                <w:szCs w:val="21"/>
                <w:lang w:val="en-US" w:eastAsia="zh-CN"/>
              </w:rPr>
              <w:t>高开委发备案</w:t>
            </w:r>
            <w:r>
              <w:rPr>
                <w:rFonts w:hint="default" w:ascii="Times New Roman" w:hAnsi="Times New Roman" w:eastAsia="宋体"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13</w:t>
            </w:r>
            <w:r>
              <w:rPr>
                <w:rFonts w:hint="default" w:ascii="Times New Roman" w:hAnsi="Times New Roman" w:eastAsia="宋体" w:cs="Times New Roman"/>
                <w:color w:val="auto"/>
                <w:sz w:val="21"/>
                <w:szCs w:val="21"/>
                <w:lang w:val="en-US" w:eastAsia="zh-CN"/>
              </w:rPr>
              <w:t>号</w:t>
            </w:r>
          </w:p>
        </w:tc>
      </w:tr>
      <w:tr w14:paraId="75959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18815DB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2073" w:type="dxa"/>
            <w:vAlign w:val="center"/>
          </w:tcPr>
          <w:p w14:paraId="7D7F04D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180000</w:t>
            </w:r>
          </w:p>
        </w:tc>
        <w:tc>
          <w:tcPr>
            <w:tcW w:w="2011" w:type="dxa"/>
            <w:tcMar>
              <w:top w:w="16" w:type="dxa"/>
              <w:left w:w="16" w:type="dxa"/>
              <w:right w:w="16" w:type="dxa"/>
            </w:tcMar>
            <w:vAlign w:val="center"/>
          </w:tcPr>
          <w:p w14:paraId="3847EC5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环保投资（万元）</w:t>
            </w:r>
          </w:p>
        </w:tc>
        <w:tc>
          <w:tcPr>
            <w:tcW w:w="3511" w:type="dxa"/>
            <w:vAlign w:val="center"/>
          </w:tcPr>
          <w:p w14:paraId="63F4D04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350.5</w:t>
            </w:r>
          </w:p>
        </w:tc>
      </w:tr>
      <w:tr w14:paraId="14E13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13CC685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2073" w:type="dxa"/>
            <w:vAlign w:val="center"/>
          </w:tcPr>
          <w:p w14:paraId="4F9E4A7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0.19</w:t>
            </w:r>
          </w:p>
        </w:tc>
        <w:tc>
          <w:tcPr>
            <w:tcW w:w="2011" w:type="dxa"/>
            <w:tcMar>
              <w:top w:w="16" w:type="dxa"/>
              <w:left w:w="16" w:type="dxa"/>
              <w:right w:w="16" w:type="dxa"/>
            </w:tcMar>
            <w:vAlign w:val="center"/>
          </w:tcPr>
          <w:p w14:paraId="4270CE7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施工工期</w:t>
            </w:r>
          </w:p>
        </w:tc>
        <w:tc>
          <w:tcPr>
            <w:tcW w:w="3511" w:type="dxa"/>
            <w:vAlign w:val="center"/>
          </w:tcPr>
          <w:p w14:paraId="0C898F1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r>
      <w:tr w14:paraId="27E77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7" w:type="dxa"/>
            <w:gridSpan w:val="2"/>
            <w:tcMar>
              <w:top w:w="16" w:type="dxa"/>
              <w:left w:w="16" w:type="dxa"/>
              <w:right w:w="16" w:type="dxa"/>
            </w:tcMar>
            <w:vAlign w:val="center"/>
          </w:tcPr>
          <w:p w14:paraId="4A56064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2073" w:type="dxa"/>
            <w:vAlign w:val="center"/>
          </w:tcPr>
          <w:p w14:paraId="037FD80E">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否</w:t>
            </w:r>
          </w:p>
          <w:p w14:paraId="13C4AB4F">
            <w:pPr>
              <w:adjustRightInd w:val="0"/>
              <w:snapToGrid w:val="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是：</w:t>
            </w:r>
          </w:p>
        </w:tc>
        <w:tc>
          <w:tcPr>
            <w:tcW w:w="2011" w:type="dxa"/>
            <w:tcMar>
              <w:top w:w="16" w:type="dxa"/>
              <w:left w:w="16" w:type="dxa"/>
              <w:right w:w="16" w:type="dxa"/>
            </w:tcMar>
            <w:vAlign w:val="center"/>
          </w:tcPr>
          <w:p w14:paraId="78995ABE">
            <w:pPr>
              <w:adjustRightInd w:val="0"/>
              <w:snapToGrid w:val="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用地（用海）</w:t>
            </w:r>
          </w:p>
          <w:p w14:paraId="091F918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3511" w:type="dxa"/>
            <w:vAlign w:val="center"/>
          </w:tcPr>
          <w:p w14:paraId="63BBF22C">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66668</w:t>
            </w:r>
          </w:p>
        </w:tc>
      </w:tr>
      <w:tr w14:paraId="48DA2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5" w:hRule="atLeast"/>
          <w:jc w:val="center"/>
        </w:trPr>
        <w:tc>
          <w:tcPr>
            <w:tcW w:w="678" w:type="dxa"/>
            <w:vAlign w:val="center"/>
          </w:tcPr>
          <w:p w14:paraId="1BDF5D2E">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9064" w:type="dxa"/>
            <w:gridSpan w:val="4"/>
            <w:vAlign w:val="center"/>
          </w:tcPr>
          <w:p w14:paraId="1105B48C">
            <w:pPr>
              <w:autoSpaceDE w:val="0"/>
              <w:autoSpaceDN w:val="0"/>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根据《建设项目环境影响报告表编制技术指南（污染影响类）（试行）》，专项设置原则及本项目专项设置情况如下：</w:t>
            </w:r>
          </w:p>
          <w:p w14:paraId="649228C8">
            <w:pPr>
              <w:pStyle w:val="58"/>
              <w:keepNext w:val="0"/>
              <w:keepLines w:val="0"/>
              <w:pageBreakBefore w:val="0"/>
              <w:widowControl w:val="0"/>
              <w:kinsoku/>
              <w:wordWrap/>
              <w:overflowPunct/>
              <w:topLinePunct w:val="0"/>
              <w:autoSpaceDE/>
              <w:autoSpaceDN/>
              <w:bidi w:val="0"/>
              <w:adjustRightInd w:val="0"/>
              <w:snapToGrid w:val="0"/>
              <w:spacing w:line="360" w:lineRule="auto"/>
              <w:ind w:firstLine="413"/>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表1-1专项设置原则及本项目专项设置情况一览表</w:t>
            </w:r>
          </w:p>
          <w:tbl>
            <w:tblPr>
              <w:tblStyle w:val="25"/>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113"/>
              <w:gridCol w:w="3532"/>
              <w:gridCol w:w="1324"/>
            </w:tblGrid>
            <w:tr w14:paraId="2372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2EDA821C">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专项评价类别</w:t>
                  </w:r>
                </w:p>
              </w:tc>
              <w:tc>
                <w:tcPr>
                  <w:tcW w:w="3113" w:type="dxa"/>
                  <w:vAlign w:val="center"/>
                </w:tcPr>
                <w:p w14:paraId="7AA4CA59">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设置原则</w:t>
                  </w:r>
                </w:p>
              </w:tc>
              <w:tc>
                <w:tcPr>
                  <w:tcW w:w="3532" w:type="dxa"/>
                  <w:vAlign w:val="center"/>
                </w:tcPr>
                <w:p w14:paraId="252C1006">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1324" w:type="dxa"/>
                  <w:vAlign w:val="center"/>
                </w:tcPr>
                <w:p w14:paraId="0D740D3A">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本项目是否设置专项</w:t>
                  </w:r>
                </w:p>
              </w:tc>
            </w:tr>
            <w:tr w14:paraId="5B62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1A1430D1">
                  <w:pPr>
                    <w:keepNext w:val="0"/>
                    <w:keepLines w:val="0"/>
                    <w:pageBreakBefore w:val="0"/>
                    <w:widowControl/>
                    <w:kinsoku/>
                    <w:wordWrap/>
                    <w:overflowPunct/>
                    <w:topLinePunct w:val="0"/>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3113" w:type="dxa"/>
                  <w:vAlign w:val="center"/>
                </w:tcPr>
                <w:p w14:paraId="61B99665">
                  <w:pPr>
                    <w:keepNext w:val="0"/>
                    <w:keepLines w:val="0"/>
                    <w:pageBreakBefore w:val="0"/>
                    <w:widowControl/>
                    <w:kinsoku/>
                    <w:wordWrap/>
                    <w:overflowPunct/>
                    <w:topLinePunct w:val="0"/>
                    <w:bidi w:val="0"/>
                    <w:snapToGrid w:val="0"/>
                    <w:spacing w:before="95" w:beforeLines="30" w:after="95" w:afterLines="30"/>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排放废气含有毒有害污染物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、二噁英、苯并[a]芘、氰化物、氯气且厂界外500米范围内有环境空气保护目标</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的建设项目</w:t>
                  </w:r>
                </w:p>
              </w:tc>
              <w:tc>
                <w:tcPr>
                  <w:tcW w:w="3532" w:type="dxa"/>
                  <w:vAlign w:val="center"/>
                </w:tcPr>
                <w:p w14:paraId="54E63221">
                  <w:pPr>
                    <w:keepNext w:val="0"/>
                    <w:keepLines w:val="0"/>
                    <w:pageBreakBefore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本项目排放的废气污染</w:t>
                  </w:r>
                  <w:r>
                    <w:rPr>
                      <w:rFonts w:hint="eastAsia" w:cs="Times New Roman"/>
                      <w:color w:val="auto"/>
                      <w:sz w:val="21"/>
                      <w:szCs w:val="21"/>
                      <w:lang w:val="en-US" w:eastAsia="zh-CN"/>
                    </w:rPr>
                    <w:t>物</w:t>
                  </w:r>
                  <w:r>
                    <w:rPr>
                      <w:rFonts w:hint="default" w:ascii="Times New Roman" w:hAnsi="Times New Roman" w:eastAsia="宋体" w:cs="Times New Roman"/>
                      <w:color w:val="auto"/>
                      <w:sz w:val="21"/>
                      <w:szCs w:val="21"/>
                      <w:lang w:val="en-US" w:eastAsia="zh-CN"/>
                    </w:rPr>
                    <w:t>主要因子为</w:t>
                  </w:r>
                  <w:r>
                    <w:rPr>
                      <w:rFonts w:hint="eastAsia" w:cs="Times New Roman"/>
                      <w:color w:val="auto"/>
                      <w:sz w:val="21"/>
                      <w:szCs w:val="21"/>
                      <w:lang w:val="en-US" w:eastAsia="zh-CN"/>
                    </w:rPr>
                    <w:t>VOCs（本项目以非甲烷总烃计）</w:t>
                  </w:r>
                  <w:r>
                    <w:rPr>
                      <w:rFonts w:hint="default" w:ascii="Times New Roman" w:hAnsi="Times New Roman" w:eastAsia="宋体" w:cs="Times New Roman"/>
                      <w:color w:val="auto"/>
                      <w:sz w:val="21"/>
                      <w:szCs w:val="21"/>
                      <w:lang w:val="en-US" w:eastAsia="zh-CN"/>
                    </w:rPr>
                    <w:t>等，不涉及</w:t>
                  </w:r>
                  <w:r>
                    <w:rPr>
                      <w:rFonts w:hint="default" w:ascii="Times New Roman" w:hAnsi="Times New Roman" w:eastAsia="宋体" w:cs="Times New Roman"/>
                      <w:color w:val="auto"/>
                      <w:sz w:val="21"/>
                      <w:szCs w:val="21"/>
                    </w:rPr>
                    <w:t>有毒有害污染物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、二噁英、苯并[a]芘、氰化物、氯气</w:t>
                  </w:r>
                  <w:r>
                    <w:rPr>
                      <w:rFonts w:hint="default" w:ascii="Times New Roman" w:hAnsi="Times New Roman" w:eastAsia="宋体" w:cs="Times New Roman"/>
                      <w:color w:val="auto"/>
                      <w:sz w:val="21"/>
                      <w:szCs w:val="21"/>
                      <w:lang w:val="en-US" w:eastAsia="zh-CN"/>
                    </w:rPr>
                    <w:t>等污染物</w:t>
                  </w:r>
                  <w:r>
                    <w:rPr>
                      <w:rFonts w:hint="default" w:ascii="Times New Roman" w:hAnsi="Times New Roman" w:eastAsia="宋体" w:cs="Times New Roman"/>
                      <w:color w:val="auto"/>
                      <w:sz w:val="21"/>
                      <w:szCs w:val="21"/>
                      <w:lang w:eastAsia="zh-CN"/>
                    </w:rPr>
                    <w:t>。</w:t>
                  </w:r>
                </w:p>
              </w:tc>
              <w:tc>
                <w:tcPr>
                  <w:tcW w:w="1324" w:type="dxa"/>
                  <w:vAlign w:val="center"/>
                </w:tcPr>
                <w:p w14:paraId="5305369D">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6466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2330EB02">
                  <w:pPr>
                    <w:keepNext w:val="0"/>
                    <w:keepLines w:val="0"/>
                    <w:pageBreakBefore w:val="0"/>
                    <w:widowControl/>
                    <w:kinsoku/>
                    <w:wordWrap/>
                    <w:overflowPunct/>
                    <w:topLinePunct w:val="0"/>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3113" w:type="dxa"/>
                  <w:vAlign w:val="center"/>
                </w:tcPr>
                <w:p w14:paraId="1ABE846C">
                  <w:pPr>
                    <w:keepNext w:val="0"/>
                    <w:keepLines w:val="0"/>
                    <w:pageBreakBefore w:val="0"/>
                    <w:widowControl/>
                    <w:kinsoku/>
                    <w:wordWrap/>
                    <w:overflowPunct/>
                    <w:topLinePunct w:val="0"/>
                    <w:bidi w:val="0"/>
                    <w:snapToGrid w:val="0"/>
                    <w:spacing w:before="95" w:beforeLines="30" w:after="95" w:afterLines="30"/>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新增工业废水直排建设项目（槽罐车外送污水处理厂的除外）；新增废水直排的污水集中处理厂</w:t>
                  </w:r>
                </w:p>
              </w:tc>
              <w:tc>
                <w:tcPr>
                  <w:tcW w:w="3532" w:type="dxa"/>
                  <w:vAlign w:val="center"/>
                </w:tcPr>
                <w:p w14:paraId="74B24234">
                  <w:pPr>
                    <w:ind w:firstLine="420" w:firstLineChars="200"/>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b w:val="0"/>
                      <w:bCs/>
                      <w:color w:val="auto"/>
                      <w:sz w:val="21"/>
                      <w:szCs w:val="21"/>
                      <w:lang w:val="en-US" w:eastAsia="zh-CN"/>
                    </w:rPr>
                    <w:t>雨水通过雨水沟进入园区雨水管网；</w:t>
                  </w: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w:t>
                  </w:r>
                  <w:r>
                    <w:rPr>
                      <w:rFonts w:hint="default" w:ascii="Times New Roman" w:hAnsi="Times New Roman" w:eastAsia="宋体" w:cs="Times New Roman"/>
                      <w:color w:val="auto"/>
                      <w:sz w:val="21"/>
                      <w:szCs w:val="21"/>
                      <w:lang w:eastAsia="zh-CN"/>
                    </w:rPr>
                    <w:t>。</w:t>
                  </w:r>
                </w:p>
              </w:tc>
              <w:tc>
                <w:tcPr>
                  <w:tcW w:w="1324" w:type="dxa"/>
                  <w:vAlign w:val="center"/>
                </w:tcPr>
                <w:p w14:paraId="3DB350EC">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260D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0CBCE01A">
                  <w:pPr>
                    <w:keepNext w:val="0"/>
                    <w:keepLines w:val="0"/>
                    <w:pageBreakBefore w:val="0"/>
                    <w:widowControl/>
                    <w:kinsoku/>
                    <w:wordWrap/>
                    <w:overflowPunct/>
                    <w:topLinePunct w:val="0"/>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3113" w:type="dxa"/>
                  <w:vAlign w:val="center"/>
                </w:tcPr>
                <w:p w14:paraId="3AE911DC">
                  <w:pPr>
                    <w:keepNext w:val="0"/>
                    <w:keepLines w:val="0"/>
                    <w:pageBreakBefore w:val="0"/>
                    <w:widowControl/>
                    <w:kinsoku/>
                    <w:wordWrap/>
                    <w:overflowPunct/>
                    <w:topLinePunct w:val="0"/>
                    <w:bidi w:val="0"/>
                    <w:snapToGrid w:val="0"/>
                    <w:spacing w:before="95" w:beforeLines="30" w:after="95" w:afterLines="30"/>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的建设项目</w:t>
                  </w:r>
                </w:p>
              </w:tc>
              <w:tc>
                <w:tcPr>
                  <w:tcW w:w="3532" w:type="dxa"/>
                  <w:vAlign w:val="center"/>
                </w:tcPr>
                <w:p w14:paraId="463C2732">
                  <w:pPr>
                    <w:keepNext w:val="0"/>
                    <w:keepLines w:val="0"/>
                    <w:pageBreakBefore w:val="0"/>
                    <w:kinsoku/>
                    <w:wordWrap/>
                    <w:overflowPunct/>
                    <w:topLinePunct w:val="0"/>
                    <w:autoSpaceDE w:val="0"/>
                    <w:autoSpaceDN w:val="0"/>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项目有毒有害和易燃易爆危险物质存储量未超过临界量</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vertAlign w:val="baseline"/>
                      <w:lang w:val="en-US" w:eastAsia="zh-CN"/>
                    </w:rPr>
                    <w:t>。</w:t>
                  </w:r>
                </w:p>
              </w:tc>
              <w:tc>
                <w:tcPr>
                  <w:tcW w:w="1324" w:type="dxa"/>
                  <w:vAlign w:val="center"/>
                </w:tcPr>
                <w:p w14:paraId="4943D84F">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51F5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4993E11D">
                  <w:pPr>
                    <w:keepNext w:val="0"/>
                    <w:keepLines w:val="0"/>
                    <w:pageBreakBefore w:val="0"/>
                    <w:widowControl/>
                    <w:kinsoku/>
                    <w:wordWrap/>
                    <w:overflowPunct/>
                    <w:topLinePunct w:val="0"/>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3113" w:type="dxa"/>
                  <w:vAlign w:val="center"/>
                </w:tcPr>
                <w:p w14:paraId="5D8153D1">
                  <w:pPr>
                    <w:keepNext w:val="0"/>
                    <w:keepLines w:val="0"/>
                    <w:pageBreakBefore w:val="0"/>
                    <w:widowControl/>
                    <w:kinsoku/>
                    <w:wordWrap/>
                    <w:overflowPunct/>
                    <w:topLinePunct w:val="0"/>
                    <w:bidi w:val="0"/>
                    <w:snapToGrid w:val="0"/>
                    <w:spacing w:before="95" w:beforeLines="30" w:after="95" w:afterLines="30"/>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取水口下游500米范围内有重要水生生物的自然产卵场、索饵场、越冬场和洄游通道的新增河道取水的污染类建设项目</w:t>
                  </w:r>
                </w:p>
              </w:tc>
              <w:tc>
                <w:tcPr>
                  <w:tcW w:w="3532" w:type="dxa"/>
                  <w:vAlign w:val="center"/>
                </w:tcPr>
                <w:p w14:paraId="1590B01D">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rPr>
                    <w:t>项目不涉及</w:t>
                  </w:r>
                  <w:r>
                    <w:rPr>
                      <w:rFonts w:hint="default" w:ascii="Times New Roman" w:hAnsi="Times New Roman" w:eastAsia="宋体" w:cs="Times New Roman"/>
                      <w:color w:val="auto"/>
                      <w:sz w:val="21"/>
                      <w:szCs w:val="21"/>
                      <w:lang w:eastAsia="zh-CN"/>
                    </w:rPr>
                    <w:t>。</w:t>
                  </w:r>
                </w:p>
              </w:tc>
              <w:tc>
                <w:tcPr>
                  <w:tcW w:w="1324" w:type="dxa"/>
                  <w:vAlign w:val="center"/>
                </w:tcPr>
                <w:p w14:paraId="136F1630">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3758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0E6A1E96">
                  <w:pPr>
                    <w:keepNext w:val="0"/>
                    <w:keepLines w:val="0"/>
                    <w:pageBreakBefore w:val="0"/>
                    <w:widowControl/>
                    <w:kinsoku/>
                    <w:wordWrap/>
                    <w:overflowPunct/>
                    <w:topLinePunct w:val="0"/>
                    <w:bidi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3113" w:type="dxa"/>
                  <w:vAlign w:val="center"/>
                </w:tcPr>
                <w:p w14:paraId="3C54FBFA">
                  <w:pPr>
                    <w:keepNext w:val="0"/>
                    <w:keepLines w:val="0"/>
                    <w:pageBreakBefore w:val="0"/>
                    <w:widowControl/>
                    <w:kinsoku/>
                    <w:wordWrap/>
                    <w:overflowPunct/>
                    <w:topLinePunct w:val="0"/>
                    <w:bidi w:val="0"/>
                    <w:snapToGrid w:val="0"/>
                    <w:spacing w:before="95" w:beforeLines="30" w:after="95" w:afterLines="30"/>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直接向海排放污染物的海洋工程建设项目</w:t>
                  </w:r>
                </w:p>
              </w:tc>
              <w:tc>
                <w:tcPr>
                  <w:tcW w:w="3532" w:type="dxa"/>
                  <w:vAlign w:val="center"/>
                </w:tcPr>
                <w:p w14:paraId="45682B8E">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项目不涉及</w:t>
                  </w:r>
                </w:p>
              </w:tc>
              <w:tc>
                <w:tcPr>
                  <w:tcW w:w="1324" w:type="dxa"/>
                  <w:vAlign w:val="center"/>
                </w:tcPr>
                <w:p w14:paraId="3684616B">
                  <w:pPr>
                    <w:keepNext w:val="0"/>
                    <w:keepLines w:val="0"/>
                    <w:pageBreakBefore w:val="0"/>
                    <w:kinsoku/>
                    <w:wordWrap/>
                    <w:overflowPunct/>
                    <w:topLinePunct w:val="0"/>
                    <w:autoSpaceDE w:val="0"/>
                    <w:autoSpaceDN w:val="0"/>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r>
            <w:tr w14:paraId="587E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gridSpan w:val="4"/>
                </w:tcPr>
                <w:p w14:paraId="780E8632">
                  <w:pPr>
                    <w:keepNext w:val="0"/>
                    <w:keepLines w:val="0"/>
                    <w:pageBreakBefore w:val="0"/>
                    <w:widowControl/>
                    <w:kinsoku/>
                    <w:wordWrap/>
                    <w:overflowPunct/>
                    <w:topLinePunct w:val="0"/>
                    <w:bidi w:val="0"/>
                    <w:snapToGrid w:val="0"/>
                    <w:spacing w:before="95" w:beforeLines="30" w:after="95" w:afterLines="3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废气中有毒有害污染物指纳入《有毒有害大气污染物名录》的污染物（不包括无排放标准的污染物）。</w:t>
                  </w:r>
                </w:p>
                <w:p w14:paraId="35ADA76D">
                  <w:pPr>
                    <w:keepNext w:val="0"/>
                    <w:keepLines w:val="0"/>
                    <w:pageBreakBefore w:val="0"/>
                    <w:widowControl/>
                    <w:kinsoku/>
                    <w:wordWrap/>
                    <w:overflowPunct/>
                    <w:topLinePunct w:val="0"/>
                    <w:bidi w:val="0"/>
                    <w:snapToGrid w:val="0"/>
                    <w:spacing w:before="95" w:beforeLines="30" w:after="95" w:afterLines="3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环境空气保护目标指自然保护区、风景名胜区、居住区、文化区和农村地区中人群较集中的区域。</w:t>
                  </w:r>
                </w:p>
                <w:p w14:paraId="37F30FC9">
                  <w:pPr>
                    <w:keepNext w:val="0"/>
                    <w:keepLines w:val="0"/>
                    <w:pageBreakBefore w:val="0"/>
                    <w:widowControl/>
                    <w:kinsoku/>
                    <w:wordWrap/>
                    <w:overflowPunct/>
                    <w:topLinePunct w:val="0"/>
                    <w:bidi w:val="0"/>
                    <w:snapToGrid w:val="0"/>
                    <w:spacing w:before="95" w:beforeLines="30" w:after="95" w:afterLines="3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临界量及其计算方法可参考《建设项目环境风险评价技术导则》（HJ169）附录B、附录C。</w:t>
                  </w:r>
                </w:p>
              </w:tc>
            </w:tr>
          </w:tbl>
          <w:p w14:paraId="20A09B8A">
            <w:pPr>
              <w:autoSpaceDE w:val="0"/>
              <w:autoSpaceDN w:val="0"/>
              <w:adjustRightInd w:val="0"/>
              <w:snapToGrid w:val="0"/>
              <w:ind w:firstLine="420" w:firstLineChars="20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综上所述，本项目不设置专项评价。</w:t>
            </w:r>
          </w:p>
        </w:tc>
      </w:tr>
      <w:tr w14:paraId="022C2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678" w:type="dxa"/>
            <w:vAlign w:val="center"/>
          </w:tcPr>
          <w:p w14:paraId="6FC1875D">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规划情况</w:t>
            </w:r>
          </w:p>
        </w:tc>
        <w:tc>
          <w:tcPr>
            <w:tcW w:w="9064" w:type="dxa"/>
            <w:gridSpan w:val="4"/>
            <w:vAlign w:val="center"/>
          </w:tcPr>
          <w:p w14:paraId="692F407A">
            <w:pPr>
              <w:autoSpaceDE w:val="0"/>
              <w:autoSpaceDN w:val="0"/>
              <w:adjustRightInd w:val="0"/>
              <w:snapToGrid w:val="0"/>
              <w:spacing w:line="36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规划文件名称：</w:t>
            </w:r>
            <w:r>
              <w:rPr>
                <w:rFonts w:hint="default" w:ascii="Times New Roman" w:hAnsi="Times New Roman" w:eastAsia="宋体" w:cs="Times New Roman"/>
                <w:color w:val="auto"/>
                <w:kern w:val="0"/>
                <w:sz w:val="21"/>
                <w:szCs w:val="21"/>
                <w:lang w:val="en-US" w:eastAsia="zh-CN"/>
              </w:rPr>
              <w:t>《玉溪高新技术产业开发区总体规划修编（2021-2035年）》</w:t>
            </w:r>
          </w:p>
          <w:p w14:paraId="25513F89">
            <w:pPr>
              <w:autoSpaceDE w:val="0"/>
              <w:autoSpaceDN w:val="0"/>
              <w:adjustRightInd w:val="0"/>
              <w:snapToGrid w:val="0"/>
              <w:spacing w:line="36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lang w:val="en-US" w:eastAsia="zh-CN"/>
              </w:rPr>
              <w:t>审批机关：</w:t>
            </w:r>
            <w:r>
              <w:rPr>
                <w:rFonts w:hint="default" w:ascii="Times New Roman" w:hAnsi="Times New Roman" w:eastAsia="宋体" w:cs="Times New Roman"/>
                <w:color w:val="auto"/>
                <w:kern w:val="0"/>
                <w:sz w:val="21"/>
                <w:szCs w:val="21"/>
                <w:lang w:val="en-US" w:eastAsia="zh-CN"/>
              </w:rPr>
              <w:t>云南省人民政府</w:t>
            </w:r>
          </w:p>
        </w:tc>
      </w:tr>
      <w:tr w14:paraId="5E5F4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8" w:type="dxa"/>
            <w:vAlign w:val="center"/>
          </w:tcPr>
          <w:p w14:paraId="6F1434D8">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规划环境影响评价情况</w:t>
            </w:r>
          </w:p>
        </w:tc>
        <w:tc>
          <w:tcPr>
            <w:tcW w:w="9064" w:type="dxa"/>
            <w:gridSpan w:val="4"/>
            <w:vAlign w:val="center"/>
          </w:tcPr>
          <w:p w14:paraId="5C703FAF">
            <w:pPr>
              <w:autoSpaceDE w:val="0"/>
              <w:autoSpaceDN w:val="0"/>
              <w:adjustRightInd w:val="0"/>
              <w:snapToGrid w:val="0"/>
              <w:spacing w:line="36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规划环评名称：</w:t>
            </w:r>
            <w:r>
              <w:rPr>
                <w:rFonts w:hint="default" w:ascii="Times New Roman" w:hAnsi="Times New Roman" w:eastAsia="宋体" w:cs="Times New Roman"/>
                <w:color w:val="auto"/>
                <w:kern w:val="0"/>
                <w:sz w:val="21"/>
                <w:szCs w:val="21"/>
                <w:lang w:val="en-US" w:eastAsia="zh-CN"/>
              </w:rPr>
              <w:t>《玉溪高新技术产业开发区总体规划修编（2021-2035年）环境影响报告书》</w:t>
            </w:r>
          </w:p>
          <w:p w14:paraId="793C1912">
            <w:pPr>
              <w:autoSpaceDE w:val="0"/>
              <w:autoSpaceDN w:val="0"/>
              <w:adjustRightInd w:val="0"/>
              <w:snapToGrid w:val="0"/>
              <w:spacing w:line="36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审查机关：</w:t>
            </w:r>
            <w:r>
              <w:rPr>
                <w:rFonts w:hint="default" w:ascii="Times New Roman" w:hAnsi="Times New Roman" w:eastAsia="宋体" w:cs="Times New Roman"/>
                <w:color w:val="auto"/>
                <w:kern w:val="0"/>
                <w:sz w:val="21"/>
                <w:szCs w:val="21"/>
                <w:lang w:val="en-US" w:eastAsia="zh-CN"/>
              </w:rPr>
              <w:t>云南省生态环境厅</w:t>
            </w:r>
          </w:p>
          <w:p w14:paraId="3F2D4F53">
            <w:pPr>
              <w:autoSpaceDE w:val="0"/>
              <w:autoSpaceDN w:val="0"/>
              <w:adjustRightInd w:val="0"/>
              <w:snapToGrid w:val="0"/>
              <w:spacing w:line="360" w:lineRule="auto"/>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lang w:val="en-US" w:eastAsia="zh-CN"/>
              </w:rPr>
              <w:t>审查文件名称及文号：</w:t>
            </w:r>
            <w:r>
              <w:rPr>
                <w:rFonts w:hint="default" w:ascii="Times New Roman" w:hAnsi="Times New Roman" w:eastAsia="宋体" w:cs="Times New Roman"/>
                <w:color w:val="auto"/>
                <w:kern w:val="0"/>
                <w:sz w:val="21"/>
                <w:szCs w:val="21"/>
                <w:lang w:val="en-US" w:eastAsia="zh-CN"/>
              </w:rPr>
              <w:t>“云南省生态环境厅关于《玉溪高新技术产业开发区总体规划修编（2021-2035年）环境影响报告书》审查意见的函”云环函〔2022〕400号</w:t>
            </w:r>
          </w:p>
        </w:tc>
      </w:tr>
      <w:tr w14:paraId="757D6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8" w:type="dxa"/>
            <w:vAlign w:val="center"/>
          </w:tcPr>
          <w:p w14:paraId="42F077C2">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规划及规划环境影响评价符合性分析</w:t>
            </w:r>
          </w:p>
        </w:tc>
        <w:tc>
          <w:tcPr>
            <w:tcW w:w="9064" w:type="dxa"/>
            <w:gridSpan w:val="4"/>
            <w:vAlign w:val="center"/>
          </w:tcPr>
          <w:p w14:paraId="51C708A5">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1、项目与《玉溪高新技术产业开发区总体规划修编（2021-2035年）》符合性分析</w:t>
            </w:r>
          </w:p>
          <w:p w14:paraId="6D74B39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玉溪高新技术产业开发区规划总用地面积为71.56km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，除龙泉片区位于江川区境内、双小地块位于峨山县境内，其余区域均属于红塔区辖区范围内。</w:t>
            </w:r>
          </w:p>
          <w:p w14:paraId="1CD0D1D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核心区规划总面积11.38km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，分为九龙片区及南片区两个地块；红塔片区规划总面积18.01km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分为北城卧牛山地块、北城青龙山地块、莲池地块、观音山地块、大营街地块，共五个地块；研和片区规划总面积25.16km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，分为地块一、地块二、地块三、双小地块，共四个地块；龙泉片区规划总面积17.01km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，整个片区为一个地块。</w:t>
            </w:r>
          </w:p>
          <w:p w14:paraId="07AF597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核心区：打造健康数字产城融合示范区。以高质量产城融合为发展导向，以大健康为特色，重点发展生物医药大健康和数字服务，坚持创新要素集聚，打造产城融合示范区。九龙片区承载技术研发、创业孵化、技术转移转化等功能。南片区打造健康创新产城融合示范区。重点产业为：数字经济、生物医药大健康、绿色食品、卷烟及配套。</w:t>
            </w:r>
          </w:p>
          <w:p w14:paraId="19F5E51B">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红塔片区：打造材料制造转型示范区。围绕高质量发展目标，坚持卷烟配套、装备制造等产业改造升级和新材料、生物医药等产业培育壮大“双轮驱动”，加快新旧动能转换，打造转型提升示范区。重点产业为：卷烟及配套、装备制造、生物医药大健康。</w:t>
            </w:r>
          </w:p>
          <w:p w14:paraId="3CD6449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研和片区：打造特色产业聚集区。重点发展数控机床制造、金属冶炼及制品加工、现代物流等领域，形成组团特色，打造全国知名的“专、精、特、新”特色产业聚集区。重点产业为：装备制造、现代物流、金属冶炼及制品加工。</w:t>
            </w:r>
          </w:p>
          <w:p w14:paraId="6AA9EE0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龙泉片区：打造绿色能源特色制造区。重点聚焦锂电池、新型储能等新能源领域，做大做强锂离子动力电池产业，推进先进的氢燃料电池动力系统、固态电池研发及产业化，发展电池及材料技术研发、成果转化、检验检测、电池回收梯次利用及材料再生利用等服务。重点产业为：锂电池、新型储能等新能源材料。</w:t>
            </w:r>
          </w:p>
          <w:p w14:paraId="6AB6B217">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本项目位于玉溪高新区龙泉片区</w:t>
            </w:r>
            <w:r>
              <w:rPr>
                <w:rFonts w:hint="default" w:ascii="Times New Roman" w:hAnsi="Times New Roman" w:eastAsia="宋体" w:cs="Times New Roman"/>
                <w:color w:val="auto"/>
                <w:sz w:val="21"/>
                <w:szCs w:val="21"/>
                <w:lang w:val="en-US" w:eastAsia="zh-CN"/>
              </w:rPr>
              <w:t>地块</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土地性质为工业用地，从事锂电池制造生产活动</w:t>
            </w:r>
            <w:r>
              <w:rPr>
                <w:rFonts w:hint="default" w:ascii="Times New Roman" w:hAnsi="Times New Roman" w:eastAsia="宋体" w:cs="Times New Roman"/>
                <w:color w:val="auto"/>
                <w:kern w:val="0"/>
                <w:sz w:val="21"/>
                <w:szCs w:val="21"/>
                <w:lang w:val="en-US" w:eastAsia="zh-CN"/>
              </w:rPr>
              <w:t>，</w:t>
            </w:r>
            <w:r>
              <w:rPr>
                <w:rFonts w:hint="eastAsia" w:cs="Times New Roman"/>
                <w:color w:val="auto"/>
                <w:sz w:val="21"/>
                <w:szCs w:val="21"/>
                <w:lang w:val="en-US" w:eastAsia="zh-CN"/>
              </w:rPr>
              <w:t>符合</w:t>
            </w:r>
            <w:r>
              <w:rPr>
                <w:rFonts w:hint="default" w:ascii="Times New Roman" w:hAnsi="Times New Roman" w:eastAsia="宋体" w:cs="Times New Roman"/>
                <w:color w:val="auto"/>
                <w:kern w:val="0"/>
                <w:sz w:val="21"/>
                <w:szCs w:val="21"/>
                <w:lang w:val="en-US" w:eastAsia="zh-CN"/>
              </w:rPr>
              <w:t>玉溪高新技术产业开发区总体规划。</w:t>
            </w:r>
          </w:p>
          <w:p w14:paraId="17B34C0B">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0"/>
                <w:sz w:val="21"/>
                <w:szCs w:val="21"/>
                <w:lang w:val="en-US" w:eastAsia="zh-CN"/>
              </w:rPr>
              <w:t>2、项目与《玉溪高新技术产业开发区总体规划修编（2021-2035年）环境影响报告书》符合性分析</w:t>
            </w:r>
          </w:p>
          <w:p w14:paraId="281DB779">
            <w:pPr>
              <w:pStyle w:val="3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表1-2项目与规划环评（2021-2035年）环保要求相符性对照分析表</w:t>
            </w:r>
          </w:p>
          <w:tbl>
            <w:tblPr>
              <w:tblStyle w:val="25"/>
              <w:tblW w:w="8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649"/>
              <w:gridCol w:w="4523"/>
              <w:gridCol w:w="2693"/>
              <w:gridCol w:w="712"/>
            </w:tblGrid>
            <w:tr w14:paraId="6537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dxa"/>
                  <w:noWrap w:val="0"/>
                  <w:vAlign w:val="center"/>
                </w:tcPr>
                <w:p w14:paraId="658D5DF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序号</w:t>
                  </w:r>
                </w:p>
              </w:tc>
              <w:tc>
                <w:tcPr>
                  <w:tcW w:w="5172" w:type="dxa"/>
                  <w:gridSpan w:val="2"/>
                  <w:noWrap w:val="0"/>
                  <w:vAlign w:val="center"/>
                </w:tcPr>
                <w:p w14:paraId="349D1BE2">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规划环评相关环保要求</w:t>
                  </w:r>
                </w:p>
              </w:tc>
              <w:tc>
                <w:tcPr>
                  <w:tcW w:w="2693" w:type="dxa"/>
                  <w:noWrap w:val="0"/>
                  <w:vAlign w:val="center"/>
                </w:tcPr>
                <w:p w14:paraId="41E53B4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项目情况</w:t>
                  </w:r>
                </w:p>
              </w:tc>
              <w:tc>
                <w:tcPr>
                  <w:tcW w:w="712" w:type="dxa"/>
                  <w:noWrap w:val="0"/>
                  <w:vAlign w:val="center"/>
                </w:tcPr>
                <w:p w14:paraId="43AC4BA8">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符合性</w:t>
                  </w:r>
                </w:p>
              </w:tc>
            </w:tr>
            <w:tr w14:paraId="2E49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2" w:type="dxa"/>
                  <w:vMerge w:val="restart"/>
                  <w:noWrap w:val="0"/>
                  <w:vAlign w:val="center"/>
                </w:tcPr>
                <w:p w14:paraId="7A02C398">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生态环境准入清单</w:t>
                  </w:r>
                </w:p>
              </w:tc>
              <w:tc>
                <w:tcPr>
                  <w:tcW w:w="649" w:type="dxa"/>
                  <w:noWrap w:val="0"/>
                  <w:vAlign w:val="center"/>
                </w:tcPr>
                <w:p w14:paraId="0DFF5F8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空间布局</w:t>
                  </w:r>
                </w:p>
              </w:tc>
              <w:tc>
                <w:tcPr>
                  <w:tcW w:w="4523" w:type="dxa"/>
                  <w:noWrap w:val="0"/>
                  <w:vAlign w:val="center"/>
                </w:tcPr>
                <w:p w14:paraId="331C1BA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1.九龙地块、南地块禁止《环境保护综合名录（2021年版）》中高风险、高污染行业以及《云南省城镇人口密集区危险化学品生产企业搬迁改造实施方案》中相关企业入驻。</w:t>
                  </w:r>
                </w:p>
                <w:p w14:paraId="4AB39ABA">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2.南地块距离红塔山保护区较近，该地块企业入驻时，应优化企业的内部布局，与红塔自然保护区保持一定缓冲距离；对主要产排废气的装置区，应远离红塔自然保护区。</w:t>
                  </w:r>
                </w:p>
                <w:p w14:paraId="7C73ADF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3.禁止不符合产业政策、不符合片区产业定位企业入驻。</w:t>
                  </w:r>
                </w:p>
                <w:p w14:paraId="6419505C">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4.在玉溪大河、石邑河水质达标前，禁止引入排水量大的水污染型企业。</w:t>
                  </w:r>
                </w:p>
                <w:p w14:paraId="42106DB4">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5.烟草及配套产业应限制污染物新增，减少对主城区的影响；限制建设烟草制品加工项目。</w:t>
                  </w:r>
                </w:p>
              </w:tc>
              <w:tc>
                <w:tcPr>
                  <w:tcW w:w="2693" w:type="dxa"/>
                  <w:noWrap w:val="0"/>
                  <w:vAlign w:val="center"/>
                </w:tcPr>
                <w:p w14:paraId="6B8AB4B0">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1.本项目不涉及。</w:t>
                  </w:r>
                </w:p>
                <w:p w14:paraId="77A24CB0">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2.本项目位于龙泉地块。</w:t>
                  </w:r>
                </w:p>
                <w:p w14:paraId="69ADD9FF">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3.本项目不属于《产业结构调整指导目录（2024年本）》中的限制类和淘汰类，不属于《淘汰落后生产能力、工艺和产品的名录（第一、二、三批）》中的淘汰类，与片区产业定位不冲突。</w:t>
                  </w:r>
                </w:p>
                <w:p w14:paraId="524B50B2">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4.本项目不涉及。</w:t>
                  </w:r>
                </w:p>
                <w:p w14:paraId="3AAFED8F">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5.本项目不涉及。</w:t>
                  </w:r>
                </w:p>
              </w:tc>
              <w:tc>
                <w:tcPr>
                  <w:tcW w:w="712" w:type="dxa"/>
                  <w:noWrap w:val="0"/>
                  <w:vAlign w:val="center"/>
                </w:tcPr>
                <w:p w14:paraId="594B8A30">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7D12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392" w:type="dxa"/>
                  <w:vMerge w:val="continue"/>
                  <w:noWrap w:val="0"/>
                  <w:vAlign w:val="center"/>
                </w:tcPr>
                <w:p w14:paraId="7BBED96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p>
              </w:tc>
              <w:tc>
                <w:tcPr>
                  <w:tcW w:w="649" w:type="dxa"/>
                  <w:noWrap w:val="0"/>
                  <w:vAlign w:val="center"/>
                </w:tcPr>
                <w:p w14:paraId="343FFEC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污染物排放管控</w:t>
                  </w:r>
                </w:p>
              </w:tc>
              <w:tc>
                <w:tcPr>
                  <w:tcW w:w="4523" w:type="dxa"/>
                  <w:noWrap w:val="0"/>
                  <w:vAlign w:val="center"/>
                </w:tcPr>
                <w:p w14:paraId="26A6652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1.废水含难降解的有机污染物（多环芳烃、氯苯、芳烃、硝基化合物）、“三致”污染物（甲基汞、多氯联苯、氯甲烷、氯乙烯、苯、镍等致癌、致畸、致突变的物质）项目禁止外排废水。</w:t>
                  </w:r>
                </w:p>
                <w:p w14:paraId="07726A08">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2.南片区新建项目废气污染物实行等量或减量替代。</w:t>
                  </w:r>
                </w:p>
              </w:tc>
              <w:tc>
                <w:tcPr>
                  <w:tcW w:w="2693" w:type="dxa"/>
                  <w:noWrap w:val="0"/>
                  <w:vAlign w:val="center"/>
                </w:tcPr>
                <w:p w14:paraId="3EAD219A">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1.本项目废水不外排，回用于绿化。</w:t>
                  </w:r>
                  <w:r>
                    <w:rPr>
                      <w:rFonts w:hint="eastAsia" w:cs="Times New Roman"/>
                      <w:color w:val="auto"/>
                      <w:kern w:val="0"/>
                      <w:sz w:val="21"/>
                      <w:szCs w:val="21"/>
                      <w:lang w:val="en-US" w:eastAsia="zh-CN"/>
                    </w:rPr>
                    <w:t>废水不含有</w:t>
                  </w:r>
                  <w:r>
                    <w:rPr>
                      <w:rFonts w:hint="default" w:ascii="Times New Roman" w:hAnsi="Times New Roman" w:eastAsia="宋体" w:cs="Times New Roman"/>
                      <w:color w:val="auto"/>
                      <w:kern w:val="0"/>
                      <w:sz w:val="21"/>
                      <w:szCs w:val="21"/>
                      <w:lang w:val="en-US" w:eastAsia="zh-CN"/>
                    </w:rPr>
                    <w:t>难降解的有机污染物</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“三致”污染物</w:t>
                  </w:r>
                  <w:r>
                    <w:rPr>
                      <w:rFonts w:hint="eastAsia" w:cs="Times New Roman"/>
                      <w:color w:val="auto"/>
                      <w:kern w:val="0"/>
                      <w:sz w:val="21"/>
                      <w:szCs w:val="21"/>
                      <w:lang w:val="en-US" w:eastAsia="zh-CN"/>
                    </w:rPr>
                    <w:t>。</w:t>
                  </w:r>
                </w:p>
                <w:p w14:paraId="503C6088">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2.本项目位于龙泉片区，不在南片区。</w:t>
                  </w:r>
                </w:p>
              </w:tc>
              <w:tc>
                <w:tcPr>
                  <w:tcW w:w="712" w:type="dxa"/>
                  <w:noWrap w:val="0"/>
                  <w:vAlign w:val="center"/>
                </w:tcPr>
                <w:p w14:paraId="430964C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2E05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392" w:type="dxa"/>
                  <w:vMerge w:val="continue"/>
                  <w:noWrap w:val="0"/>
                  <w:vAlign w:val="center"/>
                </w:tcPr>
                <w:p w14:paraId="0B45F4C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p>
              </w:tc>
              <w:tc>
                <w:tcPr>
                  <w:tcW w:w="649" w:type="dxa"/>
                  <w:noWrap w:val="0"/>
                  <w:vAlign w:val="center"/>
                </w:tcPr>
                <w:p w14:paraId="0C97AA81">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环境风险防控</w:t>
                  </w:r>
                </w:p>
              </w:tc>
              <w:tc>
                <w:tcPr>
                  <w:tcW w:w="4523" w:type="dxa"/>
                  <w:noWrap w:val="0"/>
                  <w:vAlign w:val="center"/>
                </w:tcPr>
                <w:p w14:paraId="4DF2D23F">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1.禁止《环境保护综合名录（2021年版）》中高风险、高污染行业以及《云南省城镇人口密集区危险化学品生产企业搬迁改造实施方案》中相关企业入驻；</w:t>
                  </w:r>
                </w:p>
                <w:p w14:paraId="1A8AD5A3">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2.片区内企业入驻项目需与敏感点保持足够的卫生、环境防护距离要求。</w:t>
                  </w:r>
                </w:p>
              </w:tc>
              <w:tc>
                <w:tcPr>
                  <w:tcW w:w="2693" w:type="dxa"/>
                  <w:noWrap w:val="0"/>
                  <w:vAlign w:val="center"/>
                </w:tcPr>
                <w:p w14:paraId="3AE4792F">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1.本项目不属于《环境保护综合名录（2021年版）》中高风险、高污染行业以及《云南省城镇人口密集区危险化学品生产企业搬迁改造实施方案》中相关企业。</w:t>
                  </w:r>
                </w:p>
                <w:p w14:paraId="1CD09971">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2.本项目最近保护目标为西</w:t>
                  </w:r>
                  <w:r>
                    <w:rPr>
                      <w:rFonts w:hint="eastAsia" w:cs="Times New Roman"/>
                      <w:color w:val="auto"/>
                      <w:kern w:val="0"/>
                      <w:sz w:val="21"/>
                      <w:szCs w:val="21"/>
                      <w:lang w:val="en-US" w:eastAsia="zh-CN"/>
                    </w:rPr>
                    <w:t>南</w:t>
                  </w:r>
                  <w:r>
                    <w:rPr>
                      <w:rFonts w:hint="default" w:ascii="Times New Roman" w:hAnsi="Times New Roman" w:eastAsia="宋体" w:cs="Times New Roman"/>
                      <w:color w:val="auto"/>
                      <w:kern w:val="0"/>
                      <w:sz w:val="21"/>
                      <w:szCs w:val="21"/>
                      <w:lang w:val="en-US" w:eastAsia="zh-CN"/>
                    </w:rPr>
                    <w:t>面</w:t>
                  </w:r>
                  <w:r>
                    <w:rPr>
                      <w:rFonts w:hint="eastAsia" w:cs="Times New Roman"/>
                      <w:color w:val="auto"/>
                      <w:kern w:val="0"/>
                      <w:sz w:val="21"/>
                      <w:szCs w:val="21"/>
                      <w:lang w:val="en-US" w:eastAsia="zh-CN"/>
                    </w:rPr>
                    <w:t>924</w:t>
                  </w:r>
                  <w:r>
                    <w:rPr>
                      <w:rFonts w:hint="default" w:ascii="Times New Roman" w:hAnsi="Times New Roman" w:eastAsia="宋体" w:cs="Times New Roman"/>
                      <w:color w:val="auto"/>
                      <w:kern w:val="0"/>
                      <w:sz w:val="21"/>
                      <w:szCs w:val="21"/>
                      <w:lang w:val="en-US" w:eastAsia="zh-CN"/>
                    </w:rPr>
                    <w:t>m处的</w:t>
                  </w:r>
                  <w:r>
                    <w:rPr>
                      <w:rFonts w:hint="eastAsia" w:cs="Times New Roman"/>
                      <w:color w:val="auto"/>
                      <w:kern w:val="0"/>
                      <w:sz w:val="21"/>
                      <w:szCs w:val="21"/>
                      <w:lang w:val="en-US" w:eastAsia="zh-CN"/>
                    </w:rPr>
                    <w:t>三街</w:t>
                  </w:r>
                  <w:r>
                    <w:rPr>
                      <w:rFonts w:hint="default" w:ascii="Times New Roman" w:hAnsi="Times New Roman" w:eastAsia="宋体" w:cs="Times New Roman"/>
                      <w:color w:val="auto"/>
                      <w:kern w:val="0"/>
                      <w:sz w:val="21"/>
                      <w:szCs w:val="21"/>
                      <w:lang w:val="en-US" w:eastAsia="zh-CN"/>
                    </w:rPr>
                    <w:t>村，认真落实环评措施后对其影响不大</w:t>
                  </w:r>
                  <w:r>
                    <w:rPr>
                      <w:rFonts w:hint="eastAsia" w:cs="Times New Roman"/>
                      <w:color w:val="auto"/>
                      <w:kern w:val="0"/>
                      <w:sz w:val="21"/>
                      <w:szCs w:val="21"/>
                      <w:lang w:val="en-US" w:eastAsia="zh-CN"/>
                    </w:rPr>
                    <w:t>，无需设置卫生、环境防护距离。</w:t>
                  </w:r>
                </w:p>
              </w:tc>
              <w:tc>
                <w:tcPr>
                  <w:tcW w:w="712" w:type="dxa"/>
                  <w:noWrap w:val="0"/>
                  <w:vAlign w:val="center"/>
                </w:tcPr>
                <w:p w14:paraId="5641167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4684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392" w:type="dxa"/>
                  <w:vMerge w:val="continue"/>
                  <w:noWrap w:val="0"/>
                  <w:vAlign w:val="center"/>
                </w:tcPr>
                <w:p w14:paraId="27A209A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p>
              </w:tc>
              <w:tc>
                <w:tcPr>
                  <w:tcW w:w="649" w:type="dxa"/>
                  <w:noWrap w:val="0"/>
                  <w:vAlign w:val="center"/>
                </w:tcPr>
                <w:p w14:paraId="02F2592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资源开发效率要求</w:t>
                  </w:r>
                </w:p>
              </w:tc>
              <w:tc>
                <w:tcPr>
                  <w:tcW w:w="4523" w:type="dxa"/>
                  <w:noWrap w:val="0"/>
                  <w:vAlign w:val="center"/>
                </w:tcPr>
                <w:p w14:paraId="71EB236B">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1.入驻企业工业用水鼓励优先使用再生水，禁止取用地下水作为生产用水。</w:t>
                  </w:r>
                </w:p>
              </w:tc>
              <w:tc>
                <w:tcPr>
                  <w:tcW w:w="2693" w:type="dxa"/>
                  <w:noWrap w:val="0"/>
                  <w:vAlign w:val="center"/>
                </w:tcPr>
                <w:p w14:paraId="14CEAA9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1.本项目供水依托园区给水管网，不取用地下水。</w:t>
                  </w:r>
                </w:p>
              </w:tc>
              <w:tc>
                <w:tcPr>
                  <w:tcW w:w="712" w:type="dxa"/>
                  <w:noWrap w:val="0"/>
                  <w:vAlign w:val="center"/>
                </w:tcPr>
                <w:p w14:paraId="74520C9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14:paraId="7AC2FE03">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本项目规划符合《玉溪高新技术产业开发区总体规划修编（2021-2035年）环境影响报告书》相关要求。</w:t>
            </w:r>
          </w:p>
          <w:p w14:paraId="5A33FC0D">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3、项目与规划环评（2021-2035年）审查意见符合性分析</w:t>
            </w:r>
          </w:p>
          <w:p w14:paraId="765657F3">
            <w:pPr>
              <w:pStyle w:val="37"/>
              <w:bidi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表1-3项目与规划环评（2021-2035年）审查意见符合性分析对照表</w:t>
            </w:r>
          </w:p>
          <w:tbl>
            <w:tblPr>
              <w:tblStyle w:val="25"/>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5"/>
              <w:gridCol w:w="3255"/>
              <w:gridCol w:w="661"/>
            </w:tblGrid>
            <w:tr w14:paraId="0728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6051DF7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审查意见要求</w:t>
                  </w:r>
                </w:p>
              </w:tc>
              <w:tc>
                <w:tcPr>
                  <w:tcW w:w="1820" w:type="pct"/>
                  <w:noWrap w:val="0"/>
                  <w:vAlign w:val="center"/>
                </w:tcPr>
                <w:p w14:paraId="36AE13E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本项目落实情况</w:t>
                  </w:r>
                </w:p>
              </w:tc>
              <w:tc>
                <w:tcPr>
                  <w:tcW w:w="369" w:type="pct"/>
                  <w:noWrap w:val="0"/>
                  <w:vAlign w:val="center"/>
                </w:tcPr>
                <w:p w14:paraId="4EE2D9D9">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对照情况</w:t>
                  </w:r>
                </w:p>
              </w:tc>
            </w:tr>
            <w:tr w14:paraId="5D7B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7BFFCCA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加强规划引导，坚持绿色低碳高质量发展理念，结合生态环境分区管控要求，区域统筹保护好生态空间。产业开发应符合国家产业政策和相关规划。</w:t>
                  </w:r>
                </w:p>
              </w:tc>
              <w:tc>
                <w:tcPr>
                  <w:tcW w:w="1820" w:type="pct"/>
                  <w:noWrap w:val="0"/>
                  <w:vAlign w:val="center"/>
                </w:tcPr>
                <w:p w14:paraId="4AE30A4A">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本项目符合国家相关产业政策和相关规划。</w:t>
                  </w:r>
                </w:p>
              </w:tc>
              <w:tc>
                <w:tcPr>
                  <w:tcW w:w="369" w:type="pct"/>
                  <w:noWrap w:val="0"/>
                  <w:vAlign w:val="center"/>
                </w:tcPr>
                <w:p w14:paraId="57A14751">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2F96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3C8B377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格限制《环境保护综合名录》中高污染、高环境风险产品名录”的企业入驻，其中九龙地块、南地块、大营街地块、龙泉片区禁止上述企业入驻。南地块、大营街地块禁止引入高污染燃料企业，禁止新建、扩建三类工业用地布局的项目。南地块、青龙山地块应优化布局，企业与红塔山自然保护区保持一定缓冲距离。</w:t>
                  </w:r>
                </w:p>
              </w:tc>
              <w:tc>
                <w:tcPr>
                  <w:tcW w:w="1820" w:type="pct"/>
                  <w:noWrap w:val="0"/>
                  <w:vAlign w:val="center"/>
                </w:tcPr>
                <w:p w14:paraId="04AFD8CC">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本项目位于龙泉地块，不属于《环境保护综合名录》中高污染、高环境风险产品名录”的企业，不属于高污染燃料企业。</w:t>
                  </w:r>
                </w:p>
              </w:tc>
              <w:tc>
                <w:tcPr>
                  <w:tcW w:w="369" w:type="pct"/>
                  <w:noWrap w:val="0"/>
                  <w:vAlign w:val="center"/>
                </w:tcPr>
                <w:p w14:paraId="3B593B2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19BE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3DE6EA19">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严守环境质量底线，严格环境管控。</w:t>
                  </w:r>
                </w:p>
                <w:p w14:paraId="4DF648B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入驻企业要采用先进高效的污染防治措施，重点做好外排废气中颗粒物削减、脱硫脱硝，挥发性有机物、异味等特征污染物的减排工作，大气污染物排放水平应达到国内先进水平，必要时对高新区开发强度及布局产业规模进行控制。新建、扩建钢铁冶炼项目大气污染物需满足超低排放要求，重点行业建设项目应实行主要污染物区域削减。南片区新建、扩建项目废气污染物实行减量替代。</w:t>
                  </w:r>
                </w:p>
                <w:p w14:paraId="51685F1B">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高度重视高新区废水收集、处理、回用、排放的环境管理。项目建设应充分考虑对地下水环境的影响，优化布局，严格水文地质、工程地质勘察，合理规避地下暗河及落水洞发育区，做好地下水污染防治和监控，按相关规范要求采取针对性防渗措施。</w:t>
                  </w:r>
                </w:p>
                <w:p w14:paraId="43C6851A">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3.采取有效预防措施，防止、减少土壤污染。重视污染物通过大气一土壤一地下水等环境介质跨相输送、迁移和累积过程及影响，确保满足土壤环境管控要求。</w:t>
                  </w:r>
                </w:p>
                <w:p w14:paraId="5C37B99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4.危险废物须按规定严格管控，积极推进工业固体废物综合利用，确实需要暂存或安全填埋处置的，暂存（处置）场的选址、建设必须按照相关要求严格落实污染防治措施。</w:t>
                  </w:r>
                </w:p>
              </w:tc>
              <w:tc>
                <w:tcPr>
                  <w:tcW w:w="1820" w:type="pct"/>
                  <w:noWrap w:val="0"/>
                  <w:vAlign w:val="center"/>
                </w:tcPr>
                <w:p w14:paraId="600713BD">
                  <w:pPr>
                    <w:ind w:firstLine="42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本项目不属于新建、扩建钢铁冶炼项目，本项目废气主要为</w:t>
                  </w:r>
                  <w:r>
                    <w:rPr>
                      <w:rFonts w:hint="eastAsia" w:cs="Times New Roman"/>
                      <w:color w:val="auto"/>
                      <w:kern w:val="0"/>
                      <w:sz w:val="21"/>
                      <w:szCs w:val="21"/>
                      <w:lang w:val="en-US" w:eastAsia="zh-CN"/>
                    </w:rPr>
                    <w:t>正负极材料涂布、烘干</w:t>
                  </w:r>
                  <w:r>
                    <w:rPr>
                      <w:rFonts w:hint="default" w:ascii="Times New Roman" w:hAnsi="Times New Roman" w:eastAsia="宋体" w:cs="Times New Roman"/>
                      <w:color w:val="auto"/>
                      <w:kern w:val="0"/>
                      <w:sz w:val="21"/>
                      <w:szCs w:val="21"/>
                      <w:lang w:val="en-US" w:eastAsia="zh-CN"/>
                    </w:rPr>
                    <w:t>过程产生的有机废气。</w:t>
                  </w:r>
                  <w:r>
                    <w:rPr>
                      <w:rFonts w:hint="eastAsia" w:cs="Times New Roman"/>
                      <w:color w:val="auto"/>
                      <w:sz w:val="21"/>
                      <w:szCs w:val="21"/>
                      <w:lang w:eastAsia="zh-CN"/>
                    </w:rPr>
                    <w:t>投料粉尘经设备自带布袋除尘器收集处理后，通过25m高的排气筒DA005排放；涂布、烘干装置为封闭系统，产生的废气经NMP回收装置“二级冷凝+转轮活性炭吸附再生”（TA001）处理后由25m高排气筒（DA001）排放；</w:t>
                  </w:r>
                  <w:r>
                    <w:rPr>
                      <w:rFonts w:hint="eastAsia" w:cs="Times New Roman"/>
                      <w:b w:val="0"/>
                      <w:bCs/>
                      <w:color w:val="auto"/>
                      <w:sz w:val="21"/>
                      <w:szCs w:val="21"/>
                      <w:lang w:val="en-US"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食堂油烟净化器</w:t>
                  </w:r>
                  <w:r>
                    <w:rPr>
                      <w:rFonts w:hint="eastAsia" w:ascii="Times New Roman" w:hAnsi="Times New Roman" w:eastAsia="宋体" w:cs="Times New Roman"/>
                      <w:color w:val="auto"/>
                      <w:sz w:val="21"/>
                      <w:szCs w:val="21"/>
                      <w:lang w:val="en-US" w:eastAsia="zh-CN"/>
                    </w:rPr>
                    <w:t>净化后从房顶排出；</w:t>
                  </w:r>
                  <w:r>
                    <w:rPr>
                      <w:rFonts w:hint="default" w:ascii="Times New Roman" w:hAnsi="Times New Roman" w:eastAsia="宋体" w:cs="Times New Roman"/>
                      <w:b w:val="0"/>
                      <w:bCs/>
                      <w:color w:val="auto"/>
                      <w:sz w:val="21"/>
                      <w:szCs w:val="21"/>
                      <w:lang w:val="en-US" w:eastAsia="zh-CN"/>
                    </w:rPr>
                    <w:t>配料、制浆、涂布和NMP回收装置均为密闭结构。装置缝隙以及</w:t>
                  </w:r>
                  <w:r>
                    <w:rPr>
                      <w:rFonts w:hint="eastAsia" w:cs="Times New Roman"/>
                      <w:b w:val="0"/>
                      <w:bCs/>
                      <w:color w:val="auto"/>
                      <w:sz w:val="21"/>
                      <w:szCs w:val="21"/>
                      <w:lang w:val="en-US" w:eastAsia="zh-CN"/>
                    </w:rPr>
                    <w:t>NMP储存桶</w:t>
                  </w:r>
                  <w:r>
                    <w:rPr>
                      <w:rFonts w:hint="default" w:ascii="Times New Roman" w:hAnsi="Times New Roman" w:eastAsia="宋体" w:cs="Times New Roman"/>
                      <w:b w:val="0"/>
                      <w:bCs/>
                      <w:color w:val="auto"/>
                      <w:sz w:val="21"/>
                      <w:szCs w:val="21"/>
                      <w:lang w:val="en-US" w:eastAsia="zh-CN"/>
                    </w:rPr>
                    <w:t>转移、NMP回收液收集储存过程中有微量NMP无组织排放</w:t>
                  </w:r>
                  <w:r>
                    <w:rPr>
                      <w:rFonts w:hint="eastAsia"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分切、模切</w:t>
                  </w:r>
                  <w:r>
                    <w:rPr>
                      <w:rFonts w:hint="default" w:ascii="Times New Roman" w:hAnsi="Times New Roman" w:eastAsia="宋体" w:cs="Times New Roman"/>
                      <w:b w:val="0"/>
                      <w:bCs/>
                      <w:color w:val="auto"/>
                      <w:sz w:val="21"/>
                      <w:szCs w:val="21"/>
                      <w:lang w:val="en-US" w:eastAsia="zh-CN"/>
                    </w:rPr>
                    <w:t>时有正负极片的浮粉抖落，分条机均设置真空吸尘装置</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本项目采用激光</w:t>
                  </w:r>
                  <w:r>
                    <w:rPr>
                      <w:rFonts w:hint="eastAsia" w:cs="Times New Roman"/>
                      <w:b w:val="0"/>
                      <w:bCs/>
                      <w:color w:val="auto"/>
                      <w:sz w:val="21"/>
                      <w:szCs w:val="21"/>
                      <w:lang w:val="en-US" w:eastAsia="zh-CN"/>
                    </w:rPr>
                    <w:t>和超声波</w:t>
                  </w:r>
                  <w:r>
                    <w:rPr>
                      <w:rFonts w:hint="default" w:ascii="Times New Roman" w:hAnsi="Times New Roman" w:eastAsia="宋体" w:cs="Times New Roman"/>
                      <w:b w:val="0"/>
                      <w:bCs/>
                      <w:color w:val="auto"/>
                      <w:sz w:val="21"/>
                      <w:szCs w:val="21"/>
                      <w:lang w:val="en-US" w:eastAsia="zh-CN"/>
                    </w:rPr>
                    <w:t>焊接对电池，不使用焊丝，基本不产生烟尘</w:t>
                  </w:r>
                  <w:r>
                    <w:rPr>
                      <w:rFonts w:hint="default" w:ascii="Times New Roman" w:hAnsi="Times New Roman" w:eastAsia="宋体" w:cs="Times New Roman"/>
                      <w:color w:val="auto"/>
                      <w:kern w:val="0"/>
                      <w:sz w:val="21"/>
                      <w:szCs w:val="21"/>
                      <w:lang w:val="en-US" w:eastAsia="zh-CN"/>
                    </w:rPr>
                    <w:t>。</w:t>
                  </w:r>
                </w:p>
                <w:p w14:paraId="4140E77A">
                  <w:pPr>
                    <w:ind w:firstLine="420" w:firstLineChars="20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w:t>
                  </w:r>
                  <w:r>
                    <w:rPr>
                      <w:rFonts w:hint="default" w:ascii="Times New Roman" w:hAnsi="Times New Roman" w:eastAsia="宋体" w:cs="Times New Roman"/>
                      <w:color w:val="auto"/>
                      <w:kern w:val="0"/>
                      <w:sz w:val="21"/>
                      <w:szCs w:val="21"/>
                      <w:lang w:val="en-US" w:eastAsia="zh-CN"/>
                    </w:rPr>
                    <w:t>本项目对危废暂存间进行重点防渗，防止危废间废物下渗对区域地下水造成污染。</w:t>
                  </w:r>
                </w:p>
                <w:p w14:paraId="4D529D2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3.本项目</w:t>
                  </w:r>
                  <w:r>
                    <w:rPr>
                      <w:rFonts w:hint="eastAsia" w:cs="Times New Roman"/>
                      <w:color w:val="auto"/>
                      <w:kern w:val="0"/>
                      <w:sz w:val="21"/>
                      <w:szCs w:val="21"/>
                      <w:lang w:val="en-US" w:eastAsia="zh-CN"/>
                    </w:rPr>
                    <w:t>电解液车间根据</w:t>
                  </w:r>
                  <w:r>
                    <w:rPr>
                      <w:color w:val="auto"/>
                      <w:szCs w:val="21"/>
                    </w:rPr>
                    <w:t>《环境影响评价技术导则地下水环境》（HJ610-2016）规定</w:t>
                  </w:r>
                  <w:r>
                    <w:rPr>
                      <w:rFonts w:hint="eastAsia"/>
                      <w:color w:val="auto"/>
                      <w:szCs w:val="21"/>
                    </w:rPr>
                    <w:t>进行</w:t>
                  </w:r>
                  <w:r>
                    <w:rPr>
                      <w:rFonts w:hint="eastAsia" w:cs="Times New Roman"/>
                      <w:color w:val="auto"/>
                      <w:kern w:val="0"/>
                      <w:sz w:val="21"/>
                      <w:szCs w:val="21"/>
                      <w:lang w:val="en-US" w:eastAsia="zh-CN"/>
                    </w:rPr>
                    <w:t>重点防渗</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危废暂存间根据</w:t>
                  </w:r>
                  <w:r>
                    <w:rPr>
                      <w:rFonts w:hint="default" w:ascii="Times New Roman" w:hAnsi="Times New Roman" w:eastAsia="宋体" w:cs="Times New Roman"/>
                      <w:color w:val="auto"/>
                      <w:kern w:val="0"/>
                      <w:sz w:val="21"/>
                      <w:szCs w:val="21"/>
                      <w:lang w:val="en-US" w:eastAsia="zh-CN"/>
                    </w:rPr>
                    <w:t>危险废物贮存污染控制标准》（GB18597-2023）</w:t>
                  </w:r>
                  <w:r>
                    <w:rPr>
                      <w:rFonts w:hint="eastAsia" w:ascii="Times New Roman" w:hAnsi="Times New Roman" w:eastAsia="宋体" w:cs="Times New Roman"/>
                      <w:color w:val="auto"/>
                      <w:kern w:val="0"/>
                      <w:sz w:val="21"/>
                      <w:szCs w:val="21"/>
                      <w:lang w:val="en-US" w:eastAsia="zh-CN"/>
                    </w:rPr>
                    <w:t>进行重点防渗，</w:t>
                  </w:r>
                  <w:r>
                    <w:rPr>
                      <w:rFonts w:hint="default" w:ascii="Times New Roman" w:hAnsi="Times New Roman" w:eastAsia="宋体" w:cs="Times New Roman"/>
                      <w:color w:val="auto"/>
                      <w:kern w:val="0"/>
                      <w:sz w:val="21"/>
                      <w:szCs w:val="21"/>
                      <w:lang w:val="en-US" w:eastAsia="zh-CN"/>
                    </w:rPr>
                    <w:t>做好土壤污染防治。</w:t>
                  </w:r>
                </w:p>
                <w:p w14:paraId="2A8E5674">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4.本项目危险废物主要为</w:t>
                  </w:r>
                  <w:r>
                    <w:rPr>
                      <w:rFonts w:hint="default" w:ascii="Times New Roman" w:hAnsi="Times New Roman" w:eastAsia="宋体" w:cs="Times New Roman"/>
                      <w:b w:val="0"/>
                      <w:bCs w:val="0"/>
                      <w:color w:val="auto"/>
                      <w:sz w:val="21"/>
                      <w:szCs w:val="21"/>
                      <w:lang w:val="en-US" w:eastAsia="zh-CN"/>
                    </w:rPr>
                    <w:t>废抹布、</w:t>
                  </w:r>
                  <w:r>
                    <w:rPr>
                      <w:rFonts w:hint="default" w:ascii="Times New Roman" w:hAnsi="Times New Roman" w:eastAsia="宋体" w:cs="Times New Roman"/>
                      <w:b w:val="0"/>
                      <w:bCs w:val="0"/>
                      <w:color w:val="auto"/>
                      <w:sz w:val="21"/>
                      <w:szCs w:val="21"/>
                    </w:rPr>
                    <w:t>劳保用品</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磷酸铁锂、PVDF、CMC废包装袋、电解液、丁苯橡胶SBR废包装桶、</w:t>
                  </w:r>
                  <w:r>
                    <w:rPr>
                      <w:rFonts w:hint="eastAsia" w:cs="Times New Roman"/>
                      <w:b w:val="0"/>
                      <w:bCs w:val="0"/>
                      <w:color w:val="auto"/>
                      <w:sz w:val="21"/>
                      <w:szCs w:val="21"/>
                      <w:lang w:val="en-US" w:eastAsia="zh-CN"/>
                    </w:rPr>
                    <w:t>清洗废水</w:t>
                  </w:r>
                  <w:r>
                    <w:rPr>
                      <w:rFonts w:hint="eastAsia" w:ascii="Times New Roman" w:hAnsi="Times New Roman" w:eastAsia="宋体" w:cs="Times New Roman"/>
                      <w:b w:val="0"/>
                      <w:bCs w:val="0"/>
                      <w:color w:val="auto"/>
                      <w:sz w:val="21"/>
                      <w:szCs w:val="21"/>
                      <w:lang w:val="en-US" w:eastAsia="zh-CN"/>
                    </w:rPr>
                    <w:t>、废活性炭</w:t>
                  </w:r>
                  <w:r>
                    <w:rPr>
                      <w:rFonts w:hint="eastAsia" w:cs="Times New Roman"/>
                      <w:b w:val="0"/>
                      <w:bCs w:val="0"/>
                      <w:color w:val="auto"/>
                      <w:sz w:val="21"/>
                      <w:szCs w:val="21"/>
                      <w:lang w:val="en-US" w:eastAsia="zh-CN"/>
                    </w:rPr>
                    <w:t>等</w:t>
                  </w:r>
                  <w:r>
                    <w:rPr>
                      <w:rFonts w:hint="eastAsia" w:ascii="Times New Roman" w:hAnsi="Times New Roman" w:eastAsia="宋体" w:cs="Times New Roman"/>
                      <w:b w:val="0"/>
                      <w:bCs w:val="0"/>
                      <w:color w:val="auto"/>
                      <w:lang w:val="en-US" w:eastAsia="zh-CN"/>
                    </w:rPr>
                    <w:t>作为危险废物暂存于危废暂存间，定期委托具有资质的单位清运处置</w:t>
                  </w:r>
                  <w:r>
                    <w:rPr>
                      <w:rFonts w:hint="default" w:ascii="Times New Roman" w:hAnsi="Times New Roman" w:eastAsia="宋体" w:cs="Times New Roman"/>
                      <w:b w:val="0"/>
                      <w:bCs w:val="0"/>
                      <w:color w:val="auto"/>
                      <w:kern w:val="0"/>
                      <w:sz w:val="21"/>
                      <w:szCs w:val="21"/>
                      <w:lang w:val="en-US" w:eastAsia="zh-CN"/>
                    </w:rPr>
                    <w:t>，集中收集后暂存</w:t>
                  </w:r>
                  <w:r>
                    <w:rPr>
                      <w:rFonts w:hint="default" w:ascii="Times New Roman" w:hAnsi="Times New Roman" w:eastAsia="宋体" w:cs="Times New Roman"/>
                      <w:color w:val="auto"/>
                      <w:kern w:val="0"/>
                      <w:sz w:val="21"/>
                      <w:szCs w:val="21"/>
                      <w:lang w:val="en-US" w:eastAsia="zh-CN"/>
                    </w:rPr>
                    <w:t>于危废暂存间，定期交由具有资质的单位清运处置。危废暂存间执行《危险废物贮存污染控制标准》（GB18597-2023），</w:t>
                  </w:r>
                  <w:r>
                    <w:rPr>
                      <w:rFonts w:hint="default" w:ascii="Times New Roman" w:hAnsi="Times New Roman" w:eastAsia="宋体" w:cs="Times New Roman"/>
                      <w:color w:val="auto"/>
                      <w:sz w:val="21"/>
                      <w:szCs w:val="21"/>
                      <w:lang w:val="en-US" w:eastAsia="zh-CN"/>
                    </w:rPr>
                    <w:t>危废暂存间标识牌</w:t>
                  </w:r>
                  <w:r>
                    <w:rPr>
                      <w:rFonts w:hint="default" w:ascii="Times New Roman" w:hAnsi="Times New Roman" w:eastAsia="宋体" w:cs="Times New Roman"/>
                      <w:color w:val="auto"/>
                      <w:kern w:val="0"/>
                      <w:sz w:val="21"/>
                      <w:szCs w:val="21"/>
                      <w:lang w:val="en-US" w:eastAsia="zh-CN"/>
                    </w:rPr>
                    <w:t>执行</w:t>
                  </w:r>
                  <w:r>
                    <w:rPr>
                      <w:rFonts w:hint="default" w:ascii="Times New Roman" w:hAnsi="Times New Roman" w:eastAsia="宋体" w:cs="Times New Roman"/>
                      <w:color w:val="auto"/>
                      <w:sz w:val="21"/>
                      <w:szCs w:val="21"/>
                      <w:lang w:val="en-US" w:eastAsia="zh-CN"/>
                    </w:rPr>
                    <w:t>《危险废物识别标志设置技术规范》（HJ1276-2022）</w:t>
                  </w:r>
                  <w:r>
                    <w:rPr>
                      <w:rFonts w:hint="default" w:ascii="Times New Roman" w:hAnsi="Times New Roman" w:eastAsia="宋体" w:cs="Times New Roman"/>
                      <w:color w:val="auto"/>
                      <w:kern w:val="0"/>
                      <w:sz w:val="21"/>
                      <w:szCs w:val="21"/>
                      <w:lang w:val="en-US" w:eastAsia="zh-CN"/>
                    </w:rPr>
                    <w:t>。</w:t>
                  </w:r>
                </w:p>
              </w:tc>
              <w:tc>
                <w:tcPr>
                  <w:tcW w:w="369" w:type="pct"/>
                  <w:noWrap w:val="0"/>
                  <w:vAlign w:val="center"/>
                </w:tcPr>
                <w:p w14:paraId="25BAE7A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78CF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695AE87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严格执行环境准入要求，加强入园项目生态环境准入管理。落实蓝天、碧水、净土保卫战有关管控要求，加强“两高”行业生态环境源头防控，引进项目的生产工艺、设备、污染物排放和资源利用等，应达到清洁生产国内先进水平。</w:t>
                  </w:r>
                </w:p>
                <w:p w14:paraId="371B9783">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要以高新区的资源环境承载能力为基础，充分论证、有序发展，严禁引进工艺装备落后，不符合污染物排放总量控制要求的企业。</w:t>
                  </w:r>
                </w:p>
              </w:tc>
              <w:tc>
                <w:tcPr>
                  <w:tcW w:w="1820" w:type="pct"/>
                  <w:noWrap w:val="0"/>
                  <w:vAlign w:val="center"/>
                </w:tcPr>
                <w:p w14:paraId="170475BB">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本项目不属于“两高”行业，所用生产工艺、设备均不落后，根据工程分析，废气、噪声均能达标排放，固废均得到合理处置。</w:t>
                  </w:r>
                </w:p>
              </w:tc>
              <w:tc>
                <w:tcPr>
                  <w:tcW w:w="369" w:type="pct"/>
                  <w:noWrap w:val="0"/>
                  <w:vAlign w:val="center"/>
                </w:tcPr>
                <w:p w14:paraId="1D510FB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3943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49D95C9D">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建立健全区域环境风险防范和生态安全保障体系。加强高新区内易导致环境风险的有毒有害和易燃易爆物质的生产、使用、贮运等管理，统筹考虑区内污染防治、生态恢复与建设、环境风险防范、环境管理等事宜。强化高新区危险化学品储运和废水的环境风险管理，制定建立厂区、园区、区域三级防控措施，强化高新区环境监测与预警能力建设、环境风险应急与防范措施，建立应急响应联动机制和风险防控体系并编制应急预案，防范环境风险，避免事故废水排入区外水体，保障区域环境安全。</w:t>
                  </w:r>
                </w:p>
              </w:tc>
              <w:tc>
                <w:tcPr>
                  <w:tcW w:w="1820" w:type="pct"/>
                  <w:noWrap w:val="0"/>
                  <w:vAlign w:val="center"/>
                </w:tcPr>
                <w:p w14:paraId="2851D8D3">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根据《建设项目环境风险评价技术导则》（HJ169-2018）附录B，主要风险物质为</w:t>
                  </w:r>
                  <w:r>
                    <w:rPr>
                      <w:rFonts w:hint="eastAsia" w:cs="Times New Roman"/>
                      <w:color w:val="auto"/>
                      <w:kern w:val="0"/>
                      <w:sz w:val="21"/>
                      <w:szCs w:val="21"/>
                      <w:lang w:val="en-US" w:eastAsia="zh-CN"/>
                    </w:rPr>
                    <w:t>电解液</w:t>
                  </w:r>
                  <w:r>
                    <w:rPr>
                      <w:rFonts w:hint="default" w:ascii="Times New Roman" w:hAnsi="Times New Roman" w:eastAsia="宋体" w:cs="Times New Roman"/>
                      <w:color w:val="auto"/>
                      <w:kern w:val="0"/>
                      <w:sz w:val="21"/>
                      <w:szCs w:val="21"/>
                      <w:lang w:val="en-US" w:eastAsia="zh-CN"/>
                    </w:rPr>
                    <w:t>、NMP（N-甲基吡咯烷酮），厂内存在的危险性物质贮存量未超过临界值。</w:t>
                  </w:r>
                </w:p>
              </w:tc>
              <w:tc>
                <w:tcPr>
                  <w:tcW w:w="369" w:type="pct"/>
                  <w:noWrap w:val="0"/>
                  <w:vAlign w:val="center"/>
                </w:tcPr>
                <w:p w14:paraId="3BDF9DD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4911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6732B6F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建立环境质量监测网络并共享数据。做好区内大气、地表水、地下水、土壤等环境的长期跟踪监测与管理，督促排污企业落实自行监测责任。</w:t>
                  </w:r>
                </w:p>
              </w:tc>
              <w:tc>
                <w:tcPr>
                  <w:tcW w:w="1820" w:type="pct"/>
                  <w:noWrap w:val="0"/>
                  <w:vAlign w:val="center"/>
                </w:tcPr>
                <w:p w14:paraId="539B94D8">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本项目建成后及时申报排污许可证，并按要求进行自行监测，确保达标排放。</w:t>
                  </w:r>
                </w:p>
              </w:tc>
              <w:tc>
                <w:tcPr>
                  <w:tcW w:w="369" w:type="pct"/>
                  <w:noWrap w:val="0"/>
                  <w:vAlign w:val="center"/>
                </w:tcPr>
                <w:p w14:paraId="6DF6E592">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355F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10" w:type="pct"/>
                  <w:noWrap w:val="0"/>
                  <w:vAlign w:val="center"/>
                </w:tcPr>
                <w:p w14:paraId="622D8F2C">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推进高新区环保基础设施建设，促进区域环境质量持续改善。加快建设配套的污水处理厂和再生水水厂，并同步建设污水管网、雨水管网及中水回用管网。做好“雨污分流”、“清污分流”，做好污染雨水收集处理、强化中水回用。督促高新区企业加强废气、废水、噪声、固废等环保设施建设和运行管理。</w:t>
                  </w:r>
                </w:p>
              </w:tc>
              <w:tc>
                <w:tcPr>
                  <w:tcW w:w="1820" w:type="pct"/>
                  <w:noWrap w:val="0"/>
                  <w:vAlign w:val="center"/>
                </w:tcPr>
                <w:p w14:paraId="3C5155E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本项目实行“雨污分流”，经工程分析，废气、噪声均能达标排放，固废均得到合理处置。</w:t>
                  </w:r>
                </w:p>
              </w:tc>
              <w:tc>
                <w:tcPr>
                  <w:tcW w:w="369" w:type="pct"/>
                  <w:noWrap w:val="0"/>
                  <w:vAlign w:val="center"/>
                </w:tcPr>
                <w:p w14:paraId="777133E3">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bl>
          <w:p w14:paraId="275ED027">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综上所述，本项目建设符合规划环评（2021-2035年）审查意见的要求。</w:t>
            </w:r>
          </w:p>
        </w:tc>
      </w:tr>
      <w:tr w14:paraId="2A1E5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78" w:type="dxa"/>
            <w:vAlign w:val="center"/>
          </w:tcPr>
          <w:p w14:paraId="34FACA23">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9064" w:type="dxa"/>
            <w:gridSpan w:val="4"/>
            <w:vAlign w:val="center"/>
          </w:tcPr>
          <w:p w14:paraId="0BC84073">
            <w:pPr>
              <w:snapToGrid w:val="0"/>
              <w:spacing w:line="360" w:lineRule="auto"/>
              <w:ind w:firstLine="382" w:firstLineChars="200"/>
              <w:rPr>
                <w:rFonts w:hint="default" w:ascii="Times New Roman" w:hAnsi="Times New Roman" w:eastAsia="宋体" w:cs="Times New Roman"/>
                <w:b/>
                <w:color w:val="auto"/>
                <w:spacing w:val="-10"/>
                <w:sz w:val="21"/>
                <w:szCs w:val="21"/>
              </w:rPr>
            </w:pPr>
            <w:r>
              <w:rPr>
                <w:rFonts w:hint="default" w:ascii="Times New Roman" w:hAnsi="Times New Roman" w:eastAsia="宋体" w:cs="Times New Roman"/>
                <w:b/>
                <w:color w:val="auto"/>
                <w:spacing w:val="-10"/>
                <w:sz w:val="21"/>
                <w:szCs w:val="21"/>
              </w:rPr>
              <w:t>1、产业政策符合性分析</w:t>
            </w:r>
          </w:p>
          <w:p w14:paraId="149C4D57">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产业政策符合性分析</w:t>
            </w:r>
          </w:p>
          <w:p w14:paraId="7BFAED64">
            <w:pPr>
              <w:autoSpaceDE w:val="0"/>
              <w:autoSpaceDN w:val="0"/>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根据《国民经济行业分类(GBT4754-2017)（</w:t>
            </w:r>
            <w:r>
              <w:rPr>
                <w:rFonts w:hint="default" w:ascii="Times New Roman" w:hAnsi="Times New Roman" w:cs="Times New Roman"/>
                <w:color w:val="auto"/>
                <w:sz w:val="21"/>
                <w:szCs w:val="21"/>
                <w:lang w:val="en-US" w:eastAsia="zh-CN"/>
              </w:rPr>
              <w:t>2019年修改</w:t>
            </w:r>
            <w:r>
              <w:rPr>
                <w:rFonts w:hint="default" w:ascii="Times New Roman" w:hAnsi="Times New Roman" w:eastAsia="宋体" w:cs="Times New Roman"/>
                <w:color w:val="auto"/>
                <w:sz w:val="21"/>
                <w:szCs w:val="21"/>
              </w:rPr>
              <w:t>）》本项目属于C3841锂离子电池制造</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对照《产业结构调整指导目录》（20</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年本）本项目</w:t>
            </w:r>
            <w:r>
              <w:rPr>
                <w:rFonts w:hint="default"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rPr>
              <w:t>属于</w:t>
            </w:r>
            <w:r>
              <w:rPr>
                <w:rFonts w:hint="default" w:ascii="Times New Roman" w:hAnsi="Times New Roman" w:eastAsia="宋体" w:cs="Times New Roman"/>
                <w:color w:val="auto"/>
                <w:sz w:val="21"/>
                <w:szCs w:val="21"/>
                <w:lang w:val="en-US" w:eastAsia="zh-CN"/>
              </w:rPr>
              <w:t>“鼓励类”、“限制类”与“淘汰类”</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根据《促进产业结构调整暂行规定》（国发〔2005〕40号文）第十三条：“不属于鼓励类、限制类和淘汰类，且符合国家有关法律、法规和政策规定，视为允许类”，故项目为允许类，符合产业政策。</w:t>
            </w:r>
            <w:r>
              <w:rPr>
                <w:rFonts w:hint="default" w:ascii="Times New Roman" w:hAnsi="Times New Roman" w:cs="Times New Roman"/>
                <w:color w:val="auto"/>
                <w:sz w:val="21"/>
                <w:szCs w:val="21"/>
                <w:lang w:val="en-US" w:eastAsia="zh-CN"/>
              </w:rPr>
              <w:t>项目于2024年3月28日</w:t>
            </w:r>
            <w:r>
              <w:rPr>
                <w:rFonts w:hint="default" w:ascii="Times New Roman" w:hAnsi="Times New Roman" w:eastAsia="宋体" w:cs="Times New Roman"/>
                <w:color w:val="auto"/>
                <w:sz w:val="21"/>
                <w:szCs w:val="21"/>
                <w:lang w:val="en-US" w:eastAsia="zh-CN"/>
              </w:rPr>
              <w:t>取得了玉溪高新技术产业开发区管理委员会出具的项目投资备案证，文号：玉</w:t>
            </w:r>
            <w:r>
              <w:rPr>
                <w:rFonts w:hint="default" w:ascii="Times New Roman" w:hAnsi="Times New Roman" w:cs="Times New Roman"/>
                <w:color w:val="auto"/>
                <w:sz w:val="21"/>
                <w:szCs w:val="21"/>
                <w:lang w:val="en-US" w:eastAsia="zh-CN"/>
              </w:rPr>
              <w:t>高开委发备案</w:t>
            </w:r>
            <w:r>
              <w:rPr>
                <w:rFonts w:hint="default" w:ascii="Times New Roman" w:hAnsi="Times New Roman" w:eastAsia="宋体" w:cs="Times New Roman"/>
                <w:color w:val="auto"/>
                <w:sz w:val="21"/>
                <w:szCs w:val="21"/>
                <w:lang w:val="en-US" w:eastAsia="zh-CN"/>
              </w:rPr>
              <w:t>[202</w:t>
            </w:r>
            <w:r>
              <w:rPr>
                <w:rFonts w:hint="default"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13</w:t>
            </w:r>
            <w:r>
              <w:rPr>
                <w:rFonts w:hint="default" w:ascii="Times New Roman" w:hAnsi="Times New Roman" w:eastAsia="宋体" w:cs="Times New Roman"/>
                <w:color w:val="auto"/>
                <w:sz w:val="21"/>
                <w:szCs w:val="21"/>
                <w:lang w:val="en-US" w:eastAsia="zh-CN"/>
              </w:rPr>
              <w:t>号</w:t>
            </w:r>
            <w:r>
              <w:rPr>
                <w:rFonts w:hint="default" w:ascii="Times New Roman" w:hAnsi="Times New Roman" w:eastAsia="宋体" w:cs="Times New Roman"/>
                <w:color w:val="auto"/>
                <w:sz w:val="21"/>
                <w:szCs w:val="21"/>
              </w:rPr>
              <w:t>，项目代码</w:t>
            </w:r>
            <w:r>
              <w:rPr>
                <w:rFonts w:hint="default" w:ascii="Times New Roman" w:hAnsi="Times New Roman" w:cs="Times New Roman"/>
                <w:color w:val="auto"/>
                <w:sz w:val="21"/>
                <w:szCs w:val="21"/>
                <w:lang w:eastAsia="zh-CN"/>
              </w:rPr>
              <w:t>2403-530499-99-01-214774</w:t>
            </w:r>
            <w:r>
              <w:rPr>
                <w:rFonts w:hint="default" w:ascii="Times New Roman" w:hAnsi="Times New Roman" w:eastAsia="宋体" w:cs="Times New Roman"/>
                <w:color w:val="auto"/>
                <w:sz w:val="21"/>
                <w:szCs w:val="21"/>
              </w:rPr>
              <w:t>。</w:t>
            </w:r>
          </w:p>
          <w:p w14:paraId="05C1D7E9">
            <w:pPr>
              <w:pStyle w:val="86"/>
              <w:bidi w:val="0"/>
              <w:ind w:firstLine="420" w:firstLineChars="20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本项目洁净区空调机组使用的制冷剂和冷却水站螺杆压缩机使用的制冷剂均为R290</w:t>
            </w:r>
            <w:r>
              <w:rPr>
                <w:rFonts w:hint="eastAsia" w:ascii="Times New Roman" w:hAnsi="Times New Roman" w:eastAsia="宋体" w:cs="Times New Roman"/>
                <w:b w:val="0"/>
                <w:bCs w:val="0"/>
                <w:color w:val="auto"/>
                <w:sz w:val="21"/>
                <w:szCs w:val="21"/>
                <w:lang w:val="en-US" w:eastAsia="zh-CN"/>
              </w:rPr>
              <w:t>（丙烷）</w:t>
            </w:r>
            <w:r>
              <w:rPr>
                <w:rFonts w:hint="default" w:ascii="Times New Roman" w:hAnsi="Times New Roman" w:eastAsia="宋体" w:cs="Times New Roman"/>
                <w:b w:val="0"/>
                <w:bCs w:val="0"/>
                <w:color w:val="auto"/>
                <w:sz w:val="21"/>
                <w:szCs w:val="21"/>
                <w:lang w:eastAsia="zh-CN"/>
              </w:rPr>
              <w:t>，其中</w:t>
            </w:r>
            <w:r>
              <w:rPr>
                <w:rFonts w:hint="eastAsia" w:cs="Times New Roman"/>
                <w:b w:val="0"/>
                <w:bCs w:val="0"/>
                <w:color w:val="auto"/>
                <w:sz w:val="21"/>
                <w:szCs w:val="21"/>
                <w:lang w:val="en-US" w:eastAsia="zh-CN"/>
              </w:rPr>
              <w:t>每组</w:t>
            </w:r>
            <w:r>
              <w:rPr>
                <w:rFonts w:hint="default" w:ascii="Times New Roman" w:hAnsi="Times New Roman" w:eastAsia="宋体" w:cs="Times New Roman"/>
                <w:b w:val="0"/>
                <w:bCs w:val="0"/>
                <w:color w:val="auto"/>
                <w:sz w:val="21"/>
                <w:szCs w:val="21"/>
                <w:lang w:eastAsia="zh-CN"/>
              </w:rPr>
              <w:t>洁净区空调机</w:t>
            </w:r>
            <w:r>
              <w:rPr>
                <w:rFonts w:hint="eastAsia" w:ascii="Times New Roman" w:hAnsi="Times New Roman" w:eastAsia="宋体" w:cs="Times New Roman"/>
                <w:b w:val="0"/>
                <w:bCs w:val="0"/>
                <w:color w:val="auto"/>
                <w:sz w:val="21"/>
                <w:szCs w:val="21"/>
                <w:lang w:val="en-US" w:eastAsia="zh-CN"/>
              </w:rPr>
              <w:t>含有R290（丙烷）100kg，合计2台</w:t>
            </w:r>
            <w:r>
              <w:rPr>
                <w:rFonts w:hint="default" w:ascii="Times New Roman" w:hAnsi="Times New Roman" w:eastAsia="宋体" w:cs="Times New Roman"/>
                <w:b w:val="0"/>
                <w:bCs w:val="0"/>
                <w:color w:val="auto"/>
                <w:sz w:val="21"/>
                <w:szCs w:val="21"/>
                <w:lang w:eastAsia="zh-CN"/>
              </w:rPr>
              <w:t>空调机组</w:t>
            </w:r>
            <w:r>
              <w:rPr>
                <w:rFonts w:hint="eastAsia" w:cs="Times New Roman"/>
                <w:b w:val="0"/>
                <w:bCs w:val="0"/>
                <w:color w:val="auto"/>
                <w:sz w:val="21"/>
                <w:szCs w:val="21"/>
                <w:lang w:val="en-US" w:eastAsia="zh-CN"/>
              </w:rPr>
              <w:t>共</w:t>
            </w:r>
            <w:r>
              <w:rPr>
                <w:rFonts w:hint="default" w:ascii="Times New Roman" w:hAnsi="Times New Roman" w:eastAsia="宋体" w:cs="Times New Roman"/>
                <w:b w:val="0"/>
                <w:bCs w:val="0"/>
                <w:color w:val="auto"/>
                <w:sz w:val="21"/>
                <w:szCs w:val="21"/>
                <w:lang w:eastAsia="zh-CN"/>
              </w:rPr>
              <w:t>有200kg</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冷却水站</w:t>
            </w:r>
            <w:r>
              <w:rPr>
                <w:rFonts w:hint="eastAsia" w:cs="Times New Roman"/>
                <w:b w:val="0"/>
                <w:bCs w:val="0"/>
                <w:color w:val="auto"/>
                <w:sz w:val="21"/>
                <w:szCs w:val="21"/>
                <w:lang w:val="en-US" w:eastAsia="zh-CN"/>
              </w:rPr>
              <w:t>设计的制冷剂罐最大暂存</w:t>
            </w:r>
            <w:r>
              <w:rPr>
                <w:rFonts w:hint="default" w:ascii="Times New Roman" w:hAnsi="Times New Roman" w:eastAsia="宋体" w:cs="Times New Roman"/>
                <w:b w:val="0"/>
                <w:bCs w:val="0"/>
                <w:color w:val="auto"/>
                <w:sz w:val="21"/>
                <w:szCs w:val="21"/>
                <w:lang w:eastAsia="zh-CN"/>
              </w:rPr>
              <w:t>量为</w:t>
            </w:r>
            <w:r>
              <w:rPr>
                <w:rFonts w:hint="eastAsia"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eastAsia="zh-CN"/>
              </w:rPr>
              <w:t>00kg；根据《中国履行&lt;关于消耗臭氧层物质的蒙特利尔议定书&gt;国家方案(2024~2030年)》、《基加利修正案》和国务院关于修改《消耗臭氧层物质管理条例》的决定（文号：国令第770号）等文件的规定，R290属于低GWP物质，属于鼓励类的替代制冷剂。</w:t>
            </w:r>
          </w:p>
          <w:p w14:paraId="6D20559C">
            <w:pPr>
              <w:pStyle w:val="86"/>
              <w:bidi w:val="0"/>
              <w:ind w:firstLine="422" w:firstLineChars="200"/>
              <w:rPr>
                <w:rFonts w:hint="eastAsia"/>
                <w:b/>
                <w:bCs/>
                <w:color w:val="auto"/>
                <w:sz w:val="21"/>
                <w:szCs w:val="21"/>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w:t>
            </w:r>
            <w:r>
              <w:rPr>
                <w:rFonts w:hint="eastAsia"/>
                <w:b/>
                <w:bCs/>
                <w:color w:val="auto"/>
                <w:sz w:val="21"/>
                <w:szCs w:val="21"/>
                <w:lang w:val="en-US" w:eastAsia="zh-CN"/>
              </w:rPr>
              <w:t>与《</w:t>
            </w:r>
            <w:r>
              <w:rPr>
                <w:rFonts w:hint="default"/>
                <w:b/>
                <w:bCs/>
                <w:color w:val="auto"/>
                <w:sz w:val="21"/>
                <w:szCs w:val="21"/>
              </w:rPr>
              <w:t>云南省长江经济带发展负面清单指南实施细则（试行，2022年版）</w:t>
            </w:r>
            <w:r>
              <w:rPr>
                <w:rFonts w:hint="eastAsia"/>
                <w:b/>
                <w:bCs/>
                <w:color w:val="auto"/>
                <w:sz w:val="21"/>
                <w:szCs w:val="21"/>
                <w:lang w:val="en-US" w:eastAsia="zh-CN"/>
              </w:rPr>
              <w:t>》</w:t>
            </w:r>
            <w:r>
              <w:rPr>
                <w:rFonts w:hint="eastAsia"/>
                <w:b/>
                <w:bCs/>
                <w:color w:val="auto"/>
                <w:sz w:val="21"/>
                <w:szCs w:val="21"/>
              </w:rPr>
              <w:t>符合性分析</w:t>
            </w:r>
          </w:p>
          <w:p w14:paraId="6F166CE2">
            <w:pPr>
              <w:pStyle w:val="61"/>
              <w:bidi w:val="0"/>
              <w:jc w:val="center"/>
              <w:rPr>
                <w:rFonts w:hint="eastAsia"/>
                <w:b/>
                <w:bCs w:val="0"/>
                <w:color w:val="auto"/>
                <w:sz w:val="21"/>
                <w:szCs w:val="21"/>
                <w:lang w:val="en-US" w:eastAsia="zh-CN"/>
              </w:rPr>
            </w:pPr>
            <w:r>
              <w:rPr>
                <w:rFonts w:hint="eastAsia"/>
                <w:b/>
                <w:bCs w:val="0"/>
                <w:color w:val="auto"/>
                <w:sz w:val="21"/>
                <w:szCs w:val="21"/>
              </w:rPr>
              <w:t>表1</w:t>
            </w:r>
            <w:r>
              <w:rPr>
                <w:rFonts w:hint="eastAsia" w:ascii="Times New Roman" w:hAnsi="Times New Roman" w:eastAsia="宋体" w:cs="宋体"/>
                <w:b/>
                <w:bCs w:val="0"/>
                <w:color w:val="auto"/>
                <w:sz w:val="21"/>
                <w:szCs w:val="21"/>
              </w:rPr>
              <w:t>-</w:t>
            </w:r>
            <w:r>
              <w:rPr>
                <w:rFonts w:hint="eastAsia" w:ascii="Times New Roman" w:hAnsi="Times New Roman" w:eastAsia="宋体" w:cs="宋体"/>
                <w:b/>
                <w:bCs w:val="0"/>
                <w:color w:val="auto"/>
                <w:sz w:val="21"/>
                <w:szCs w:val="21"/>
                <w:lang w:val="en-US" w:eastAsia="zh-CN"/>
              </w:rPr>
              <w:t>4</w:t>
            </w:r>
            <w:r>
              <w:rPr>
                <w:rFonts w:hint="eastAsia" w:ascii="Times New Roman" w:hAnsi="Times New Roman" w:eastAsia="宋体" w:cs="宋体"/>
                <w:b/>
                <w:bCs w:val="0"/>
                <w:color w:val="auto"/>
                <w:sz w:val="21"/>
                <w:szCs w:val="21"/>
              </w:rPr>
              <w:t>项目与</w:t>
            </w:r>
            <w:r>
              <w:rPr>
                <w:rFonts w:hint="eastAsia"/>
                <w:b/>
                <w:bCs w:val="0"/>
                <w:color w:val="auto"/>
                <w:sz w:val="21"/>
                <w:szCs w:val="21"/>
                <w:lang w:val="en-US" w:eastAsia="zh-CN"/>
              </w:rPr>
              <w:t>《</w:t>
            </w:r>
            <w:r>
              <w:rPr>
                <w:rFonts w:hint="default"/>
                <w:b/>
                <w:bCs w:val="0"/>
                <w:color w:val="auto"/>
                <w:sz w:val="21"/>
                <w:szCs w:val="21"/>
              </w:rPr>
              <w:t>云南省长江经济带发展负面清单指南实施细则（试行，2022年版）</w:t>
            </w:r>
            <w:r>
              <w:rPr>
                <w:rFonts w:hint="eastAsia"/>
                <w:b/>
                <w:bCs w:val="0"/>
                <w:color w:val="auto"/>
                <w:sz w:val="21"/>
                <w:szCs w:val="21"/>
                <w:lang w:val="en-US" w:eastAsia="zh-CN"/>
              </w:rPr>
              <w:t>》</w:t>
            </w:r>
          </w:p>
          <w:p w14:paraId="2AC45D1A">
            <w:pPr>
              <w:pStyle w:val="61"/>
              <w:bidi w:val="0"/>
              <w:jc w:val="center"/>
              <w:rPr>
                <w:b/>
                <w:bCs w:val="0"/>
                <w:color w:val="auto"/>
                <w:sz w:val="21"/>
                <w:szCs w:val="21"/>
              </w:rPr>
            </w:pPr>
            <w:r>
              <w:rPr>
                <w:rFonts w:hint="eastAsia"/>
                <w:b/>
                <w:bCs w:val="0"/>
                <w:color w:val="auto"/>
                <w:sz w:val="21"/>
                <w:szCs w:val="21"/>
                <w:lang w:val="en-US" w:eastAsia="zh-CN"/>
              </w:rPr>
              <w:t>（摘录）</w:t>
            </w:r>
            <w:r>
              <w:rPr>
                <w:rFonts w:hint="eastAsia"/>
                <w:b/>
                <w:bCs w:val="0"/>
                <w:color w:val="auto"/>
                <w:sz w:val="21"/>
                <w:szCs w:val="21"/>
              </w:rPr>
              <w:t>的符合性分析对照表</w:t>
            </w:r>
          </w:p>
          <w:tbl>
            <w:tblPr>
              <w:tblStyle w:val="2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5742"/>
              <w:gridCol w:w="1491"/>
              <w:gridCol w:w="915"/>
            </w:tblGrid>
            <w:tr w14:paraId="3B45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5839A6C0">
                  <w:pPr>
                    <w:pStyle w:val="64"/>
                    <w:bidi w:val="0"/>
                    <w:rPr>
                      <w:b w:val="0"/>
                      <w:bCs/>
                      <w:color w:val="auto"/>
                      <w:sz w:val="21"/>
                      <w:szCs w:val="21"/>
                    </w:rPr>
                  </w:pPr>
                  <w:r>
                    <w:rPr>
                      <w:rFonts w:hint="eastAsia"/>
                      <w:b w:val="0"/>
                      <w:bCs/>
                      <w:color w:val="auto"/>
                      <w:sz w:val="21"/>
                      <w:szCs w:val="21"/>
                    </w:rPr>
                    <w:t>序号</w:t>
                  </w:r>
                </w:p>
              </w:tc>
              <w:tc>
                <w:tcPr>
                  <w:tcW w:w="3251" w:type="pct"/>
                  <w:noWrap w:val="0"/>
                  <w:vAlign w:val="center"/>
                </w:tcPr>
                <w:p w14:paraId="59E67810">
                  <w:pPr>
                    <w:pStyle w:val="64"/>
                    <w:bidi w:val="0"/>
                    <w:rPr>
                      <w:b w:val="0"/>
                      <w:bCs/>
                      <w:color w:val="auto"/>
                      <w:sz w:val="21"/>
                      <w:szCs w:val="21"/>
                    </w:rPr>
                  </w:pPr>
                  <w:r>
                    <w:rPr>
                      <w:rFonts w:hint="eastAsia"/>
                      <w:b w:val="0"/>
                      <w:bCs/>
                      <w:color w:val="auto"/>
                      <w:sz w:val="21"/>
                      <w:szCs w:val="21"/>
                      <w:lang w:val="en-US" w:eastAsia="zh-CN"/>
                    </w:rPr>
                    <w:t>本细则</w:t>
                  </w:r>
                  <w:r>
                    <w:rPr>
                      <w:rFonts w:hint="eastAsia"/>
                      <w:b w:val="0"/>
                      <w:bCs/>
                      <w:color w:val="auto"/>
                      <w:sz w:val="21"/>
                      <w:szCs w:val="21"/>
                    </w:rPr>
                    <w:t>要求</w:t>
                  </w:r>
                </w:p>
              </w:tc>
              <w:tc>
                <w:tcPr>
                  <w:tcW w:w="844" w:type="pct"/>
                  <w:noWrap w:val="0"/>
                  <w:vAlign w:val="center"/>
                </w:tcPr>
                <w:p w14:paraId="101BC8AD">
                  <w:pPr>
                    <w:pStyle w:val="64"/>
                    <w:bidi w:val="0"/>
                    <w:rPr>
                      <w:b w:val="0"/>
                      <w:bCs/>
                      <w:color w:val="auto"/>
                      <w:sz w:val="21"/>
                      <w:szCs w:val="21"/>
                    </w:rPr>
                  </w:pPr>
                  <w:r>
                    <w:rPr>
                      <w:rFonts w:hint="eastAsia"/>
                      <w:b w:val="0"/>
                      <w:bCs/>
                      <w:color w:val="auto"/>
                      <w:sz w:val="21"/>
                      <w:szCs w:val="21"/>
                    </w:rPr>
                    <w:t>本项目情况</w:t>
                  </w:r>
                </w:p>
              </w:tc>
              <w:tc>
                <w:tcPr>
                  <w:tcW w:w="518" w:type="pct"/>
                  <w:noWrap w:val="0"/>
                  <w:vAlign w:val="center"/>
                </w:tcPr>
                <w:p w14:paraId="5270EF50">
                  <w:pPr>
                    <w:pStyle w:val="64"/>
                    <w:bidi w:val="0"/>
                    <w:rPr>
                      <w:b w:val="0"/>
                      <w:bCs/>
                      <w:color w:val="auto"/>
                      <w:sz w:val="21"/>
                      <w:szCs w:val="21"/>
                    </w:rPr>
                  </w:pPr>
                  <w:r>
                    <w:rPr>
                      <w:rFonts w:hint="eastAsia"/>
                      <w:b w:val="0"/>
                      <w:bCs/>
                      <w:color w:val="auto"/>
                      <w:sz w:val="21"/>
                      <w:szCs w:val="21"/>
                    </w:rPr>
                    <w:t>符合性判定</w:t>
                  </w:r>
                </w:p>
              </w:tc>
            </w:tr>
            <w:tr w14:paraId="7985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6FEB3461">
                  <w:pPr>
                    <w:pStyle w:val="64"/>
                    <w:bidi w:val="0"/>
                    <w:rPr>
                      <w:rFonts w:hint="eastAsia" w:eastAsia="宋体"/>
                      <w:b w:val="0"/>
                      <w:bCs/>
                      <w:color w:val="auto"/>
                      <w:sz w:val="21"/>
                      <w:szCs w:val="21"/>
                      <w:lang w:val="en-US" w:eastAsia="zh-CN"/>
                    </w:rPr>
                  </w:pPr>
                  <w:r>
                    <w:rPr>
                      <w:rFonts w:hint="eastAsia"/>
                      <w:b w:val="0"/>
                      <w:bCs/>
                      <w:color w:val="auto"/>
                      <w:sz w:val="21"/>
                      <w:szCs w:val="21"/>
                      <w:lang w:val="en-US" w:eastAsia="zh-CN"/>
                    </w:rPr>
                    <w:t>1</w:t>
                  </w:r>
                </w:p>
              </w:tc>
              <w:tc>
                <w:tcPr>
                  <w:tcW w:w="3251" w:type="pct"/>
                  <w:noWrap w:val="0"/>
                  <w:vAlign w:val="center"/>
                </w:tcPr>
                <w:p w14:paraId="67D15D06">
                  <w:pPr>
                    <w:pStyle w:val="64"/>
                    <w:bidi w:val="0"/>
                    <w:rPr>
                      <w:rFonts w:hint="eastAsia"/>
                      <w:b w:val="0"/>
                      <w:bCs/>
                      <w:color w:val="auto"/>
                      <w:sz w:val="21"/>
                      <w:szCs w:val="21"/>
                    </w:rPr>
                  </w:pPr>
                  <w:r>
                    <w:rPr>
                      <w:rFonts w:hint="eastAsia"/>
                      <w:b w:val="0"/>
                      <w:bCs/>
                      <w:color w:val="auto"/>
                      <w:sz w:val="21"/>
                      <w:szCs w:val="21"/>
                    </w:rPr>
                    <w:t>禁止建设不符合全国和省级港口布局规划以及港口总体规划的码头项目。（省交通运输厅负责）</w:t>
                  </w:r>
                </w:p>
                <w:p w14:paraId="4D1F1C0C">
                  <w:pPr>
                    <w:pStyle w:val="64"/>
                    <w:bidi w:val="0"/>
                    <w:rPr>
                      <w:rFonts w:hint="eastAsia"/>
                      <w:b w:val="0"/>
                      <w:bCs/>
                      <w:color w:val="auto"/>
                      <w:sz w:val="21"/>
                      <w:szCs w:val="21"/>
                    </w:rPr>
                  </w:pPr>
                </w:p>
              </w:tc>
              <w:tc>
                <w:tcPr>
                  <w:tcW w:w="844" w:type="pct"/>
                  <w:noWrap w:val="0"/>
                  <w:vAlign w:val="center"/>
                </w:tcPr>
                <w:p w14:paraId="3507B9B1">
                  <w:pPr>
                    <w:pStyle w:val="64"/>
                    <w:bidi w:val="0"/>
                    <w:rPr>
                      <w:rFonts w:hint="default"/>
                      <w:b w:val="0"/>
                      <w:bCs/>
                      <w:color w:val="auto"/>
                      <w:sz w:val="21"/>
                      <w:szCs w:val="21"/>
                      <w:lang w:val="en-US" w:eastAsia="zh-CN"/>
                    </w:rPr>
                  </w:pPr>
                  <w:r>
                    <w:rPr>
                      <w:rFonts w:hint="eastAsia"/>
                      <w:b w:val="0"/>
                      <w:bCs/>
                      <w:color w:val="auto"/>
                      <w:sz w:val="21"/>
                      <w:szCs w:val="21"/>
                      <w:lang w:val="en-US" w:eastAsia="zh-CN"/>
                    </w:rPr>
                    <w:t>本项目为锂电池加工项目，不属于</w:t>
                  </w:r>
                  <w:r>
                    <w:rPr>
                      <w:b w:val="0"/>
                      <w:bCs/>
                      <w:color w:val="auto"/>
                      <w:sz w:val="21"/>
                      <w:szCs w:val="21"/>
                    </w:rPr>
                    <w:t>码头</w:t>
                  </w:r>
                  <w:r>
                    <w:rPr>
                      <w:rFonts w:hint="eastAsia"/>
                      <w:b w:val="0"/>
                      <w:bCs/>
                      <w:color w:val="auto"/>
                      <w:sz w:val="21"/>
                      <w:szCs w:val="21"/>
                      <w:lang w:val="en-US" w:eastAsia="zh-CN"/>
                    </w:rPr>
                    <w:t>建设</w:t>
                  </w:r>
                  <w:r>
                    <w:rPr>
                      <w:b w:val="0"/>
                      <w:bCs/>
                      <w:color w:val="auto"/>
                      <w:sz w:val="21"/>
                      <w:szCs w:val="21"/>
                    </w:rPr>
                    <w:t>项目</w:t>
                  </w:r>
                  <w:r>
                    <w:rPr>
                      <w:rFonts w:hint="eastAsia"/>
                      <w:b w:val="0"/>
                      <w:bCs/>
                      <w:color w:val="auto"/>
                      <w:sz w:val="21"/>
                      <w:szCs w:val="21"/>
                      <w:lang w:val="en-US" w:eastAsia="zh-CN"/>
                    </w:rPr>
                    <w:t>。</w:t>
                  </w:r>
                </w:p>
              </w:tc>
              <w:tc>
                <w:tcPr>
                  <w:tcW w:w="518" w:type="pct"/>
                  <w:noWrap w:val="0"/>
                  <w:vAlign w:val="center"/>
                </w:tcPr>
                <w:p w14:paraId="2C75869D">
                  <w:pPr>
                    <w:pStyle w:val="64"/>
                    <w:bidi w:val="0"/>
                    <w:jc w:val="center"/>
                    <w:rPr>
                      <w:rFonts w:hint="eastAsia"/>
                      <w:b w:val="0"/>
                      <w:bCs/>
                      <w:color w:val="auto"/>
                      <w:sz w:val="21"/>
                      <w:szCs w:val="21"/>
                      <w:lang w:val="en-US" w:eastAsia="zh-CN"/>
                    </w:rPr>
                  </w:pPr>
                  <w:r>
                    <w:rPr>
                      <w:rFonts w:hint="eastAsia"/>
                      <w:b w:val="0"/>
                      <w:bCs/>
                      <w:color w:val="auto"/>
                      <w:sz w:val="21"/>
                      <w:szCs w:val="21"/>
                      <w:lang w:val="en-US" w:eastAsia="zh-CN"/>
                    </w:rPr>
                    <w:t>符合</w:t>
                  </w:r>
                </w:p>
              </w:tc>
            </w:tr>
            <w:tr w14:paraId="36B9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152A94CB">
                  <w:pPr>
                    <w:pStyle w:val="64"/>
                    <w:bidi w:val="0"/>
                    <w:rPr>
                      <w:rFonts w:hint="default"/>
                      <w:b w:val="0"/>
                      <w:bCs/>
                      <w:color w:val="auto"/>
                      <w:sz w:val="21"/>
                      <w:szCs w:val="21"/>
                      <w:lang w:val="en-US" w:eastAsia="zh-CN"/>
                    </w:rPr>
                  </w:pPr>
                  <w:r>
                    <w:rPr>
                      <w:rFonts w:hint="eastAsia"/>
                      <w:b w:val="0"/>
                      <w:bCs/>
                      <w:color w:val="auto"/>
                      <w:sz w:val="21"/>
                      <w:szCs w:val="21"/>
                      <w:lang w:val="en-US" w:eastAsia="zh-CN"/>
                    </w:rPr>
                    <w:t>2</w:t>
                  </w:r>
                </w:p>
              </w:tc>
              <w:tc>
                <w:tcPr>
                  <w:tcW w:w="3251" w:type="pct"/>
                  <w:noWrap w:val="0"/>
                  <w:vAlign w:val="center"/>
                </w:tcPr>
                <w:p w14:paraId="65663C8E">
                  <w:pPr>
                    <w:pStyle w:val="64"/>
                    <w:bidi w:val="0"/>
                    <w:rPr>
                      <w:rFonts w:hint="eastAsia"/>
                      <w:b w:val="0"/>
                      <w:bCs/>
                      <w:color w:val="auto"/>
                      <w:sz w:val="21"/>
                      <w:szCs w:val="21"/>
                    </w:rPr>
                  </w:pPr>
                  <w:r>
                    <w:rPr>
                      <w:rFonts w:hint="eastAsia"/>
                      <w:b w:val="0"/>
                      <w:bCs/>
                      <w:color w:val="auto"/>
                      <w:sz w:val="21"/>
                      <w:szCs w:val="21"/>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844" w:type="pct"/>
                  <w:noWrap w:val="0"/>
                  <w:vAlign w:val="center"/>
                </w:tcPr>
                <w:p w14:paraId="25E0CDBD">
                  <w:pPr>
                    <w:pStyle w:val="64"/>
                    <w:bidi w:val="0"/>
                    <w:rPr>
                      <w:rFonts w:hint="default"/>
                      <w:b w:val="0"/>
                      <w:bCs/>
                      <w:color w:val="auto"/>
                      <w:sz w:val="21"/>
                      <w:szCs w:val="21"/>
                      <w:lang w:val="en-US" w:eastAsia="zh-CN"/>
                    </w:rPr>
                  </w:pPr>
                  <w:r>
                    <w:rPr>
                      <w:rFonts w:hint="eastAsia"/>
                      <w:b w:val="0"/>
                      <w:bCs/>
                      <w:color w:val="auto"/>
                      <w:sz w:val="21"/>
                      <w:szCs w:val="21"/>
                      <w:lang w:val="en-US" w:eastAsia="zh-CN"/>
                    </w:rPr>
                    <w:t>未涉及</w:t>
                  </w:r>
                </w:p>
              </w:tc>
              <w:tc>
                <w:tcPr>
                  <w:tcW w:w="518" w:type="pct"/>
                  <w:noWrap w:val="0"/>
                  <w:vAlign w:val="center"/>
                </w:tcPr>
                <w:p w14:paraId="6D9F047E">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4E6C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514157B4">
                  <w:pPr>
                    <w:pStyle w:val="64"/>
                    <w:bidi w:val="0"/>
                    <w:rPr>
                      <w:rFonts w:hint="default"/>
                      <w:b w:val="0"/>
                      <w:bCs/>
                      <w:color w:val="auto"/>
                      <w:sz w:val="21"/>
                      <w:szCs w:val="21"/>
                      <w:lang w:val="en-US" w:eastAsia="zh-CN"/>
                    </w:rPr>
                  </w:pPr>
                  <w:r>
                    <w:rPr>
                      <w:rFonts w:hint="eastAsia"/>
                      <w:b w:val="0"/>
                      <w:bCs/>
                      <w:color w:val="auto"/>
                      <w:sz w:val="21"/>
                      <w:szCs w:val="21"/>
                      <w:lang w:val="en-US" w:eastAsia="zh-CN"/>
                    </w:rPr>
                    <w:t>3</w:t>
                  </w:r>
                </w:p>
              </w:tc>
              <w:tc>
                <w:tcPr>
                  <w:tcW w:w="3251" w:type="pct"/>
                  <w:noWrap w:val="0"/>
                  <w:vAlign w:val="center"/>
                </w:tcPr>
                <w:p w14:paraId="3CF7DD33">
                  <w:pPr>
                    <w:pStyle w:val="64"/>
                    <w:bidi w:val="0"/>
                    <w:rPr>
                      <w:rFonts w:hint="default"/>
                      <w:b w:val="0"/>
                      <w:bCs/>
                      <w:color w:val="auto"/>
                      <w:sz w:val="21"/>
                      <w:szCs w:val="21"/>
                    </w:rPr>
                  </w:pPr>
                  <w:r>
                    <w:rPr>
                      <w:rFonts w:hint="eastAsia"/>
                      <w:b w:val="0"/>
                      <w:bCs/>
                      <w:color w:val="auto"/>
                      <w:sz w:val="21"/>
                      <w:szCs w:val="21"/>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844" w:type="pct"/>
                  <w:noWrap w:val="0"/>
                  <w:vAlign w:val="center"/>
                </w:tcPr>
                <w:p w14:paraId="01B6346F">
                  <w:pPr>
                    <w:pStyle w:val="64"/>
                    <w:bidi w:val="0"/>
                    <w:rPr>
                      <w:rFonts w:hint="default"/>
                      <w:b w:val="0"/>
                      <w:bCs/>
                      <w:color w:val="auto"/>
                      <w:sz w:val="21"/>
                      <w:szCs w:val="21"/>
                      <w:lang w:val="en-US" w:eastAsia="zh-CN"/>
                    </w:rPr>
                  </w:pPr>
                  <w:r>
                    <w:rPr>
                      <w:rFonts w:hint="eastAsia"/>
                      <w:b w:val="0"/>
                      <w:bCs/>
                      <w:color w:val="auto"/>
                      <w:sz w:val="21"/>
                      <w:szCs w:val="21"/>
                      <w:lang w:val="en-US" w:eastAsia="zh-CN"/>
                    </w:rPr>
                    <w:t>未涉及</w:t>
                  </w:r>
                </w:p>
              </w:tc>
              <w:tc>
                <w:tcPr>
                  <w:tcW w:w="518" w:type="pct"/>
                  <w:noWrap w:val="0"/>
                  <w:vAlign w:val="center"/>
                </w:tcPr>
                <w:p w14:paraId="5B14D4B8">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035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0352C56A">
                  <w:pPr>
                    <w:pStyle w:val="64"/>
                    <w:bidi w:val="0"/>
                    <w:rPr>
                      <w:rFonts w:hint="default"/>
                      <w:b w:val="0"/>
                      <w:bCs/>
                      <w:color w:val="auto"/>
                      <w:sz w:val="21"/>
                      <w:szCs w:val="21"/>
                      <w:lang w:val="en-US" w:eastAsia="zh-CN"/>
                    </w:rPr>
                  </w:pPr>
                  <w:r>
                    <w:rPr>
                      <w:rFonts w:hint="eastAsia"/>
                      <w:b w:val="0"/>
                      <w:bCs/>
                      <w:color w:val="auto"/>
                      <w:sz w:val="21"/>
                      <w:szCs w:val="21"/>
                      <w:lang w:val="en-US" w:eastAsia="zh-CN"/>
                    </w:rPr>
                    <w:t>4</w:t>
                  </w:r>
                </w:p>
              </w:tc>
              <w:tc>
                <w:tcPr>
                  <w:tcW w:w="3251" w:type="pct"/>
                  <w:noWrap w:val="0"/>
                  <w:vAlign w:val="center"/>
                </w:tcPr>
                <w:p w14:paraId="16E93344">
                  <w:pPr>
                    <w:pStyle w:val="64"/>
                    <w:bidi w:val="0"/>
                    <w:rPr>
                      <w:rFonts w:hint="eastAsia"/>
                      <w:b w:val="0"/>
                      <w:bCs/>
                      <w:color w:val="auto"/>
                      <w:sz w:val="21"/>
                      <w:szCs w:val="21"/>
                    </w:rPr>
                  </w:pPr>
                  <w:r>
                    <w:rPr>
                      <w:rFonts w:hint="eastAsia"/>
                      <w:b w:val="0"/>
                      <w:bCs/>
                      <w:color w:val="auto"/>
                      <w:sz w:val="21"/>
                      <w:szCs w:val="21"/>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844" w:type="pct"/>
                  <w:noWrap w:val="0"/>
                  <w:vAlign w:val="center"/>
                </w:tcPr>
                <w:p w14:paraId="708EC358">
                  <w:pPr>
                    <w:pStyle w:val="64"/>
                    <w:bidi w:val="0"/>
                    <w:rPr>
                      <w:rFonts w:hint="default" w:eastAsia="宋体"/>
                      <w:b w:val="0"/>
                      <w:bCs/>
                      <w:color w:val="auto"/>
                      <w:sz w:val="21"/>
                      <w:szCs w:val="21"/>
                      <w:lang w:val="en-US" w:eastAsia="zh-CN"/>
                    </w:rPr>
                  </w:pPr>
                  <w:r>
                    <w:rPr>
                      <w:rFonts w:hint="eastAsia"/>
                      <w:b w:val="0"/>
                      <w:bCs/>
                      <w:color w:val="auto"/>
                      <w:sz w:val="21"/>
                      <w:szCs w:val="21"/>
                      <w:lang w:val="en-US" w:eastAsia="zh-CN"/>
                    </w:rPr>
                    <w:t>未涉及</w:t>
                  </w:r>
                </w:p>
              </w:tc>
              <w:tc>
                <w:tcPr>
                  <w:tcW w:w="518" w:type="pct"/>
                  <w:noWrap w:val="0"/>
                  <w:vAlign w:val="center"/>
                </w:tcPr>
                <w:p w14:paraId="168B49B6">
                  <w:pPr>
                    <w:bidi w:val="0"/>
                    <w:jc w:val="center"/>
                    <w:rPr>
                      <w:rFonts w:hint="eastAsia" w:eastAsia="宋体"/>
                      <w:b w:val="0"/>
                      <w:bCs/>
                      <w:color w:val="auto"/>
                      <w:sz w:val="21"/>
                      <w:szCs w:val="21"/>
                      <w:lang w:val="en-US" w:eastAsia="zh-CN"/>
                    </w:rPr>
                  </w:pPr>
                  <w:r>
                    <w:rPr>
                      <w:rFonts w:hint="eastAsia"/>
                      <w:b w:val="0"/>
                      <w:bCs/>
                      <w:color w:val="auto"/>
                      <w:sz w:val="21"/>
                      <w:szCs w:val="21"/>
                      <w:lang w:val="en-US" w:eastAsia="zh-CN"/>
                    </w:rPr>
                    <w:t>符合</w:t>
                  </w:r>
                </w:p>
              </w:tc>
            </w:tr>
            <w:tr w14:paraId="09F5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01CA0FFC">
                  <w:pPr>
                    <w:pStyle w:val="64"/>
                    <w:bidi w:val="0"/>
                    <w:rPr>
                      <w:rFonts w:hint="default"/>
                      <w:b w:val="0"/>
                      <w:bCs/>
                      <w:color w:val="auto"/>
                      <w:sz w:val="21"/>
                      <w:szCs w:val="21"/>
                      <w:lang w:val="en-US" w:eastAsia="zh-CN"/>
                    </w:rPr>
                  </w:pPr>
                  <w:r>
                    <w:rPr>
                      <w:rFonts w:hint="eastAsia"/>
                      <w:b w:val="0"/>
                      <w:bCs/>
                      <w:color w:val="auto"/>
                      <w:sz w:val="21"/>
                      <w:szCs w:val="21"/>
                      <w:lang w:val="en-US" w:eastAsia="zh-CN"/>
                    </w:rPr>
                    <w:t>5</w:t>
                  </w:r>
                </w:p>
              </w:tc>
              <w:tc>
                <w:tcPr>
                  <w:tcW w:w="3251" w:type="pct"/>
                  <w:noWrap w:val="0"/>
                  <w:vAlign w:val="center"/>
                </w:tcPr>
                <w:p w14:paraId="4BA04E18">
                  <w:pPr>
                    <w:pStyle w:val="64"/>
                    <w:bidi w:val="0"/>
                    <w:rPr>
                      <w:b w:val="0"/>
                      <w:bCs/>
                      <w:color w:val="auto"/>
                      <w:sz w:val="21"/>
                      <w:szCs w:val="21"/>
                    </w:rPr>
                  </w:pPr>
                  <w:r>
                    <w:rPr>
                      <w:rFonts w:hint="eastAsia"/>
                      <w:b w:val="0"/>
                      <w:bCs/>
                      <w:color w:val="auto"/>
                      <w:sz w:val="21"/>
                      <w:szCs w:val="21"/>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844" w:type="pct"/>
                  <w:noWrap w:val="0"/>
                  <w:vAlign w:val="center"/>
                </w:tcPr>
                <w:p w14:paraId="2C49B30B">
                  <w:pPr>
                    <w:pStyle w:val="64"/>
                    <w:bidi w:val="0"/>
                    <w:rPr>
                      <w:rFonts w:hint="default"/>
                      <w:b w:val="0"/>
                      <w:bCs/>
                      <w:color w:val="auto"/>
                      <w:sz w:val="21"/>
                      <w:szCs w:val="21"/>
                      <w:lang w:val="en-US" w:eastAsia="zh-CN"/>
                    </w:rPr>
                  </w:pPr>
                  <w:r>
                    <w:rPr>
                      <w:rFonts w:hint="eastAsia"/>
                      <w:b w:val="0"/>
                      <w:bCs/>
                      <w:color w:val="auto"/>
                      <w:sz w:val="21"/>
                      <w:szCs w:val="21"/>
                      <w:lang w:val="en-US" w:eastAsia="zh-CN"/>
                    </w:rPr>
                    <w:t>未涉及</w:t>
                  </w:r>
                </w:p>
              </w:tc>
              <w:tc>
                <w:tcPr>
                  <w:tcW w:w="518" w:type="pct"/>
                  <w:noWrap w:val="0"/>
                  <w:vAlign w:val="center"/>
                </w:tcPr>
                <w:p w14:paraId="5944489A">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5F2E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5326E914">
                  <w:pPr>
                    <w:pStyle w:val="64"/>
                    <w:bidi w:val="0"/>
                    <w:rPr>
                      <w:rFonts w:hint="eastAsia"/>
                      <w:b w:val="0"/>
                      <w:bCs/>
                      <w:color w:val="auto"/>
                      <w:sz w:val="21"/>
                      <w:szCs w:val="21"/>
                      <w:lang w:val="en-US" w:eastAsia="zh-CN"/>
                    </w:rPr>
                  </w:pPr>
                  <w:r>
                    <w:rPr>
                      <w:rFonts w:hint="eastAsia"/>
                      <w:b w:val="0"/>
                      <w:bCs/>
                      <w:color w:val="auto"/>
                      <w:sz w:val="21"/>
                      <w:szCs w:val="21"/>
                      <w:lang w:val="en-US" w:eastAsia="zh-CN"/>
                    </w:rPr>
                    <w:t>6</w:t>
                  </w:r>
                </w:p>
              </w:tc>
              <w:tc>
                <w:tcPr>
                  <w:tcW w:w="3251" w:type="pct"/>
                  <w:noWrap w:val="0"/>
                  <w:vAlign w:val="center"/>
                </w:tcPr>
                <w:p w14:paraId="3D6948EA">
                  <w:pPr>
                    <w:pStyle w:val="64"/>
                    <w:bidi w:val="0"/>
                    <w:rPr>
                      <w:rFonts w:hint="eastAsia"/>
                      <w:b w:val="0"/>
                      <w:bCs/>
                      <w:color w:val="auto"/>
                      <w:sz w:val="21"/>
                      <w:szCs w:val="21"/>
                    </w:rPr>
                  </w:pPr>
                  <w:r>
                    <w:rPr>
                      <w:rFonts w:hint="eastAsia"/>
                      <w:b w:val="0"/>
                      <w:bCs/>
                      <w:color w:val="auto"/>
                      <w:sz w:val="21"/>
                      <w:szCs w:val="21"/>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844" w:type="pct"/>
                  <w:noWrap w:val="0"/>
                  <w:vAlign w:val="center"/>
                </w:tcPr>
                <w:p w14:paraId="7183D628">
                  <w:pPr>
                    <w:pStyle w:val="64"/>
                    <w:bidi w:val="0"/>
                    <w:rPr>
                      <w:rFonts w:hint="default"/>
                      <w:b w:val="0"/>
                      <w:bCs/>
                      <w:color w:val="auto"/>
                      <w:sz w:val="21"/>
                      <w:szCs w:val="21"/>
                      <w:lang w:val="en-US" w:eastAsia="zh-CN"/>
                    </w:rPr>
                  </w:pPr>
                  <w:r>
                    <w:rPr>
                      <w:rFonts w:hint="eastAsia"/>
                      <w:b w:val="0"/>
                      <w:bCs/>
                      <w:color w:val="auto"/>
                      <w:sz w:val="21"/>
                      <w:szCs w:val="21"/>
                      <w:lang w:val="en-US" w:eastAsia="zh-CN"/>
                    </w:rPr>
                    <w:t>项目位于工业园区内，未涉及左列所述情况。</w:t>
                  </w:r>
                </w:p>
              </w:tc>
              <w:tc>
                <w:tcPr>
                  <w:tcW w:w="518" w:type="pct"/>
                  <w:noWrap w:val="0"/>
                  <w:vAlign w:val="center"/>
                </w:tcPr>
                <w:p w14:paraId="3474D82E">
                  <w:pPr>
                    <w:bidi w:val="0"/>
                    <w:jc w:val="center"/>
                    <w:rPr>
                      <w:rFonts w:hint="eastAsia"/>
                      <w:b w:val="0"/>
                      <w:bCs/>
                      <w:color w:val="auto"/>
                      <w:sz w:val="21"/>
                      <w:szCs w:val="21"/>
                      <w:lang w:val="en-US" w:eastAsia="zh-CN"/>
                    </w:rPr>
                  </w:pPr>
                  <w:r>
                    <w:rPr>
                      <w:rFonts w:hint="eastAsia"/>
                      <w:b w:val="0"/>
                      <w:bCs/>
                      <w:color w:val="auto"/>
                      <w:sz w:val="21"/>
                      <w:szCs w:val="21"/>
                      <w:lang w:val="en-US" w:eastAsia="zh-CN"/>
                    </w:rPr>
                    <w:t>符合</w:t>
                  </w:r>
                </w:p>
              </w:tc>
            </w:tr>
            <w:tr w14:paraId="3812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428F1DF7">
                  <w:pPr>
                    <w:pStyle w:val="64"/>
                    <w:bidi w:val="0"/>
                    <w:rPr>
                      <w:rFonts w:hint="default"/>
                      <w:b w:val="0"/>
                      <w:bCs/>
                      <w:color w:val="auto"/>
                      <w:sz w:val="21"/>
                      <w:szCs w:val="21"/>
                      <w:lang w:val="en-US" w:eastAsia="zh-CN"/>
                    </w:rPr>
                  </w:pPr>
                  <w:r>
                    <w:rPr>
                      <w:rFonts w:hint="eastAsia"/>
                      <w:b w:val="0"/>
                      <w:bCs/>
                      <w:color w:val="auto"/>
                      <w:sz w:val="21"/>
                      <w:szCs w:val="21"/>
                      <w:lang w:val="en-US" w:eastAsia="zh-CN"/>
                    </w:rPr>
                    <w:t>7</w:t>
                  </w:r>
                </w:p>
              </w:tc>
              <w:tc>
                <w:tcPr>
                  <w:tcW w:w="3251" w:type="pct"/>
                  <w:noWrap w:val="0"/>
                  <w:vAlign w:val="center"/>
                </w:tcPr>
                <w:p w14:paraId="772594A3">
                  <w:pPr>
                    <w:pStyle w:val="64"/>
                    <w:bidi w:val="0"/>
                    <w:rPr>
                      <w:b w:val="0"/>
                      <w:bCs/>
                      <w:color w:val="auto"/>
                      <w:sz w:val="21"/>
                      <w:szCs w:val="21"/>
                    </w:rPr>
                  </w:pPr>
                  <w:r>
                    <w:rPr>
                      <w:rFonts w:hint="default"/>
                      <w:b w:val="0"/>
                      <w:bCs/>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w:t>
                  </w:r>
                  <w:r>
                    <w:rPr>
                      <w:rFonts w:hint="eastAsia"/>
                      <w:b w:val="0"/>
                      <w:bCs/>
                      <w:color w:val="auto"/>
                      <w:sz w:val="21"/>
                      <w:szCs w:val="21"/>
                      <w:lang w:val="en-US" w:eastAsia="zh-CN"/>
                    </w:rPr>
                    <w:t>，</w:t>
                  </w:r>
                  <w:r>
                    <w:rPr>
                      <w:rFonts w:hint="default"/>
                      <w:b w:val="0"/>
                      <w:bCs/>
                      <w:color w:val="auto"/>
                      <w:sz w:val="21"/>
                      <w:szCs w:val="21"/>
                    </w:rPr>
                    <w:t>禁止在永久基本农田范围内投资建设项目。</w:t>
                  </w:r>
                  <w:r>
                    <w:rPr>
                      <w:b w:val="0"/>
                      <w:bCs/>
                      <w:color w:val="auto"/>
                      <w:sz w:val="21"/>
                      <w:szCs w:val="21"/>
                    </w:rPr>
                    <w:t>重大建设项目选址确实难以避让永久基本农田的，需在可行性研究阶段，对占用的必要性、合理性和补划方案的可行性进行严格论证，</w:t>
                  </w:r>
                  <w:r>
                    <w:rPr>
                      <w:rFonts w:hint="default"/>
                      <w:b w:val="0"/>
                      <w:bCs/>
                      <w:color w:val="auto"/>
                      <w:sz w:val="21"/>
                      <w:szCs w:val="21"/>
                    </w:rPr>
                    <w:t>按照“数量不减、质量不降、布局稳定”的要求进行补划，报自然资源部用地预审，依法依规办理农用地转用和土地征收，和法定程序修改相应的国土空间规划用途。</w:t>
                  </w:r>
                </w:p>
              </w:tc>
              <w:tc>
                <w:tcPr>
                  <w:tcW w:w="844" w:type="pct"/>
                  <w:noWrap w:val="0"/>
                  <w:vAlign w:val="center"/>
                </w:tcPr>
                <w:p w14:paraId="69666931">
                  <w:pPr>
                    <w:pStyle w:val="64"/>
                    <w:bidi w:val="0"/>
                    <w:rPr>
                      <w:rFonts w:hint="eastAsia" w:eastAsia="宋体"/>
                      <w:b w:val="0"/>
                      <w:bCs/>
                      <w:color w:val="auto"/>
                      <w:sz w:val="21"/>
                      <w:szCs w:val="21"/>
                      <w:lang w:val="en-US" w:eastAsia="zh-CN"/>
                    </w:rPr>
                  </w:pPr>
                  <w:r>
                    <w:rPr>
                      <w:rFonts w:hint="eastAsia"/>
                      <w:b w:val="0"/>
                      <w:bCs/>
                      <w:color w:val="auto"/>
                      <w:sz w:val="21"/>
                      <w:szCs w:val="21"/>
                      <w:lang w:val="en-US" w:eastAsia="zh-CN"/>
                    </w:rPr>
                    <w:t>本</w:t>
                  </w:r>
                  <w:r>
                    <w:rPr>
                      <w:rFonts w:hint="default" w:ascii="Times New Roman" w:hAnsi="Times New Roman" w:eastAsia="宋体" w:cs="Times New Roman"/>
                      <w:b w:val="0"/>
                      <w:bCs/>
                      <w:color w:val="auto"/>
                      <w:sz w:val="21"/>
                      <w:szCs w:val="21"/>
                    </w:rPr>
                    <w:t>项目</w:t>
                  </w:r>
                  <w:r>
                    <w:rPr>
                      <w:rFonts w:hint="default" w:ascii="Times New Roman" w:hAnsi="Times New Roman" w:eastAsia="宋体" w:cs="Times New Roman"/>
                      <w:b w:val="0"/>
                      <w:bCs/>
                      <w:color w:val="auto"/>
                      <w:sz w:val="21"/>
                      <w:szCs w:val="21"/>
                      <w:lang w:val="en-US" w:eastAsia="zh-CN"/>
                    </w:rPr>
                    <w:t>位于</w:t>
                  </w:r>
                  <w:r>
                    <w:rPr>
                      <w:rFonts w:hint="default" w:ascii="Times New Roman" w:hAnsi="Times New Roman" w:eastAsia="宋体" w:cs="Times New Roman"/>
                      <w:b w:val="0"/>
                      <w:bCs/>
                      <w:color w:val="auto"/>
                      <w:sz w:val="21"/>
                      <w:szCs w:val="21"/>
                      <w:lang w:eastAsia="zh-CN"/>
                    </w:rPr>
                    <w:t>云南省玉溪市江川区龙泉工业园区，</w:t>
                  </w:r>
                  <w:r>
                    <w:rPr>
                      <w:rFonts w:hint="eastAsia" w:cs="Times New Roman"/>
                      <w:b w:val="0"/>
                      <w:bCs/>
                      <w:color w:val="auto"/>
                      <w:sz w:val="21"/>
                      <w:szCs w:val="21"/>
                      <w:lang w:val="en-US" w:eastAsia="zh-CN"/>
                    </w:rPr>
                    <w:t>通过国有建设用地使用权出让的方式取得了玉溪市玉溪高新技术产业开发区龙泉片区一块6.6668公顷的工业用地</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该地块位于玉溪市高新区龙泉</w:t>
                  </w:r>
                  <w:r>
                    <w:rPr>
                      <w:rFonts w:hint="eastAsia" w:hAnsi="Times New Roman" w:cs="Times New Roman"/>
                      <w:b w:val="0"/>
                      <w:bCs/>
                      <w:color w:val="auto"/>
                      <w:sz w:val="21"/>
                      <w:szCs w:val="21"/>
                      <w:lang w:val="en-US" w:eastAsia="zh-CN"/>
                    </w:rPr>
                    <w:t>片区</w:t>
                  </w:r>
                  <w:r>
                    <w:rPr>
                      <w:rFonts w:hint="eastAsia"/>
                      <w:b w:val="0"/>
                      <w:bCs/>
                      <w:color w:val="auto"/>
                      <w:sz w:val="21"/>
                      <w:szCs w:val="21"/>
                      <w:lang w:val="en-US" w:eastAsia="zh-CN"/>
                    </w:rPr>
                    <w:t>，在珠江流域范围内，不在长江</w:t>
                  </w:r>
                  <w:r>
                    <w:rPr>
                      <w:b w:val="0"/>
                      <w:bCs/>
                      <w:color w:val="auto"/>
                      <w:sz w:val="21"/>
                      <w:szCs w:val="21"/>
                    </w:rPr>
                    <w:t>干支流</w:t>
                  </w:r>
                  <w:r>
                    <w:rPr>
                      <w:rFonts w:hint="eastAsia"/>
                      <w:b w:val="0"/>
                      <w:bCs/>
                      <w:color w:val="auto"/>
                      <w:sz w:val="21"/>
                      <w:szCs w:val="21"/>
                      <w:lang w:val="en-US" w:eastAsia="zh-CN"/>
                    </w:rPr>
                    <w:t>汇水区内。未占用</w:t>
                  </w:r>
                  <w:r>
                    <w:rPr>
                      <w:b w:val="0"/>
                      <w:bCs/>
                      <w:color w:val="auto"/>
                      <w:sz w:val="21"/>
                      <w:szCs w:val="21"/>
                    </w:rPr>
                    <w:t>永久基本农田</w:t>
                  </w:r>
                  <w:r>
                    <w:rPr>
                      <w:rFonts w:hint="eastAsia"/>
                      <w:b w:val="0"/>
                      <w:bCs/>
                      <w:color w:val="auto"/>
                      <w:sz w:val="21"/>
                      <w:szCs w:val="21"/>
                      <w:lang w:eastAsia="zh-CN"/>
                    </w:rPr>
                    <w:t>。</w:t>
                  </w:r>
                </w:p>
              </w:tc>
              <w:tc>
                <w:tcPr>
                  <w:tcW w:w="518" w:type="pct"/>
                  <w:noWrap w:val="0"/>
                  <w:vAlign w:val="center"/>
                </w:tcPr>
                <w:p w14:paraId="0678E1F7">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2187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47FC885F">
                  <w:pPr>
                    <w:pStyle w:val="64"/>
                    <w:bidi w:val="0"/>
                    <w:rPr>
                      <w:rFonts w:hint="default"/>
                      <w:b w:val="0"/>
                      <w:bCs/>
                      <w:color w:val="auto"/>
                      <w:sz w:val="21"/>
                      <w:szCs w:val="21"/>
                      <w:lang w:val="en-US" w:eastAsia="zh-CN"/>
                    </w:rPr>
                  </w:pPr>
                  <w:r>
                    <w:rPr>
                      <w:rFonts w:hint="eastAsia"/>
                      <w:b w:val="0"/>
                      <w:bCs/>
                      <w:color w:val="auto"/>
                      <w:sz w:val="21"/>
                      <w:szCs w:val="21"/>
                      <w:lang w:val="en-US" w:eastAsia="zh-CN"/>
                    </w:rPr>
                    <w:t>8</w:t>
                  </w:r>
                </w:p>
              </w:tc>
              <w:tc>
                <w:tcPr>
                  <w:tcW w:w="3251" w:type="pct"/>
                  <w:noWrap w:val="0"/>
                  <w:vAlign w:val="center"/>
                </w:tcPr>
                <w:p w14:paraId="1FA57D8D">
                  <w:pPr>
                    <w:pStyle w:val="64"/>
                    <w:bidi w:val="0"/>
                    <w:rPr>
                      <w:b w:val="0"/>
                      <w:bCs/>
                      <w:color w:val="auto"/>
                      <w:sz w:val="21"/>
                      <w:szCs w:val="21"/>
                    </w:rPr>
                  </w:pPr>
                  <w:r>
                    <w:rPr>
                      <w:rFonts w:hint="eastAsia"/>
                      <w:b w:val="0"/>
                      <w:bCs/>
                      <w:color w:val="auto"/>
                      <w:sz w:val="21"/>
                      <w:szCs w:val="21"/>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p>
              </w:tc>
              <w:tc>
                <w:tcPr>
                  <w:tcW w:w="844" w:type="pct"/>
                  <w:noWrap w:val="0"/>
                  <w:vAlign w:val="center"/>
                </w:tcPr>
                <w:p w14:paraId="3BA05BBA">
                  <w:pPr>
                    <w:pStyle w:val="64"/>
                    <w:bidi w:val="0"/>
                    <w:rPr>
                      <w:rFonts w:hint="eastAsia"/>
                      <w:b w:val="0"/>
                      <w:bCs/>
                      <w:color w:val="auto"/>
                      <w:sz w:val="21"/>
                      <w:szCs w:val="21"/>
                      <w:lang w:val="en-US" w:eastAsia="zh-CN"/>
                    </w:rPr>
                  </w:pPr>
                  <w:r>
                    <w:rPr>
                      <w:rFonts w:hint="eastAsia"/>
                      <w:b w:val="0"/>
                      <w:bCs/>
                      <w:color w:val="auto"/>
                      <w:sz w:val="21"/>
                      <w:szCs w:val="21"/>
                      <w:lang w:val="en-US" w:eastAsia="zh-CN"/>
                    </w:rPr>
                    <w:t>未涉及</w:t>
                  </w:r>
                </w:p>
              </w:tc>
              <w:tc>
                <w:tcPr>
                  <w:tcW w:w="518" w:type="pct"/>
                  <w:noWrap w:val="0"/>
                  <w:vAlign w:val="center"/>
                </w:tcPr>
                <w:p w14:paraId="60E89DF6">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3F06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306C9D4D">
                  <w:pPr>
                    <w:pStyle w:val="64"/>
                    <w:bidi w:val="0"/>
                    <w:rPr>
                      <w:rFonts w:hint="default"/>
                      <w:b w:val="0"/>
                      <w:bCs/>
                      <w:color w:val="auto"/>
                      <w:sz w:val="21"/>
                      <w:szCs w:val="21"/>
                      <w:lang w:val="en-US" w:eastAsia="zh-CN"/>
                    </w:rPr>
                  </w:pPr>
                  <w:r>
                    <w:rPr>
                      <w:rFonts w:hint="eastAsia"/>
                      <w:b w:val="0"/>
                      <w:bCs/>
                      <w:color w:val="auto"/>
                      <w:sz w:val="21"/>
                      <w:szCs w:val="21"/>
                      <w:lang w:val="en-US" w:eastAsia="zh-CN"/>
                    </w:rPr>
                    <w:t>9</w:t>
                  </w:r>
                </w:p>
              </w:tc>
              <w:tc>
                <w:tcPr>
                  <w:tcW w:w="3251" w:type="pct"/>
                  <w:noWrap w:val="0"/>
                  <w:vAlign w:val="center"/>
                </w:tcPr>
                <w:p w14:paraId="6AF9AC4B">
                  <w:pPr>
                    <w:pStyle w:val="64"/>
                    <w:bidi w:val="0"/>
                    <w:rPr>
                      <w:b w:val="0"/>
                      <w:bCs/>
                      <w:color w:val="auto"/>
                      <w:sz w:val="21"/>
                      <w:szCs w:val="21"/>
                    </w:rPr>
                  </w:pPr>
                  <w:r>
                    <w:rPr>
                      <w:rFonts w:hint="eastAsia"/>
                      <w:b w:val="0"/>
                      <w:bCs/>
                      <w:color w:val="auto"/>
                      <w:sz w:val="21"/>
                      <w:szCs w:val="21"/>
                    </w:rPr>
                    <w:t>禁止在金沙江、赤水河、乌江</w:t>
                  </w:r>
                  <w:r>
                    <w:rPr>
                      <w:rFonts w:hint="eastAsia"/>
                      <w:b w:val="0"/>
                      <w:bCs/>
                      <w:color w:val="auto"/>
                      <w:sz w:val="21"/>
                      <w:szCs w:val="21"/>
                      <w:lang w:val="en-US" w:eastAsia="zh-CN"/>
                    </w:rPr>
                    <w:t>河</w:t>
                  </w:r>
                  <w:r>
                    <w:rPr>
                      <w:rFonts w:hint="eastAsia"/>
                      <w:b w:val="0"/>
                      <w:bCs/>
                      <w:color w:val="auto"/>
                      <w:sz w:val="21"/>
                      <w:szCs w:val="21"/>
                    </w:rPr>
                    <w:t>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844" w:type="pct"/>
                  <w:noWrap w:val="0"/>
                  <w:vAlign w:val="center"/>
                </w:tcPr>
                <w:p w14:paraId="791707D0">
                  <w:pPr>
                    <w:pStyle w:val="64"/>
                    <w:bidi w:val="0"/>
                    <w:rPr>
                      <w:rFonts w:hint="default" w:eastAsia="宋体"/>
                      <w:b w:val="0"/>
                      <w:bCs/>
                      <w:color w:val="auto"/>
                      <w:sz w:val="21"/>
                      <w:szCs w:val="21"/>
                      <w:lang w:val="en-US" w:eastAsia="zh-CN"/>
                    </w:rPr>
                  </w:pPr>
                  <w:r>
                    <w:rPr>
                      <w:rFonts w:hint="eastAsia" w:eastAsia="宋体"/>
                      <w:b w:val="0"/>
                      <w:bCs/>
                      <w:color w:val="auto"/>
                      <w:sz w:val="21"/>
                      <w:szCs w:val="21"/>
                      <w:lang w:val="en-US" w:eastAsia="zh-CN"/>
                    </w:rPr>
                    <w:t>未涉及</w:t>
                  </w:r>
                </w:p>
              </w:tc>
              <w:tc>
                <w:tcPr>
                  <w:tcW w:w="518" w:type="pct"/>
                  <w:noWrap w:val="0"/>
                  <w:vAlign w:val="center"/>
                </w:tcPr>
                <w:p w14:paraId="76AC959C">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1AC2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5165BD3D">
                  <w:pPr>
                    <w:pStyle w:val="64"/>
                    <w:bidi w:val="0"/>
                    <w:rPr>
                      <w:rFonts w:hint="default"/>
                      <w:b w:val="0"/>
                      <w:bCs/>
                      <w:color w:val="auto"/>
                      <w:sz w:val="21"/>
                      <w:szCs w:val="21"/>
                      <w:lang w:val="en-US" w:eastAsia="zh-CN"/>
                    </w:rPr>
                  </w:pPr>
                  <w:r>
                    <w:rPr>
                      <w:rFonts w:hint="eastAsia"/>
                      <w:b w:val="0"/>
                      <w:bCs/>
                      <w:color w:val="auto"/>
                      <w:sz w:val="21"/>
                      <w:szCs w:val="21"/>
                      <w:lang w:val="en-US" w:eastAsia="zh-CN"/>
                    </w:rPr>
                    <w:t>10</w:t>
                  </w:r>
                </w:p>
              </w:tc>
              <w:tc>
                <w:tcPr>
                  <w:tcW w:w="3251" w:type="pct"/>
                  <w:noWrap w:val="0"/>
                  <w:vAlign w:val="center"/>
                </w:tcPr>
                <w:p w14:paraId="6A7C0965">
                  <w:pPr>
                    <w:pStyle w:val="64"/>
                    <w:bidi w:val="0"/>
                    <w:rPr>
                      <w:rFonts w:hint="eastAsia"/>
                      <w:b w:val="0"/>
                      <w:bCs/>
                      <w:color w:val="auto"/>
                      <w:sz w:val="21"/>
                      <w:szCs w:val="21"/>
                    </w:rPr>
                  </w:pPr>
                  <w:r>
                    <w:rPr>
                      <w:rFonts w:hint="eastAsia"/>
                      <w:b w:val="0"/>
                      <w:bCs/>
                      <w:color w:val="auto"/>
                      <w:sz w:val="21"/>
                      <w:szCs w:val="21"/>
                    </w:rPr>
                    <w:t>禁止在金沙江、长江一级支流（详见附件1）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844" w:type="pct"/>
                  <w:noWrap w:val="0"/>
                  <w:vAlign w:val="center"/>
                </w:tcPr>
                <w:p w14:paraId="5B272075">
                  <w:pPr>
                    <w:pStyle w:val="64"/>
                    <w:bidi w:val="0"/>
                    <w:rPr>
                      <w:rFonts w:hint="eastAsia" w:eastAsia="宋体"/>
                      <w:b w:val="0"/>
                      <w:bCs/>
                      <w:color w:val="auto"/>
                      <w:sz w:val="21"/>
                      <w:szCs w:val="21"/>
                      <w:lang w:val="en-US" w:eastAsia="zh-CN"/>
                    </w:rPr>
                  </w:pPr>
                  <w:r>
                    <w:rPr>
                      <w:rFonts w:hint="eastAsia"/>
                      <w:b w:val="0"/>
                      <w:bCs/>
                      <w:color w:val="auto"/>
                      <w:sz w:val="21"/>
                      <w:szCs w:val="21"/>
                      <w:lang w:val="en-US" w:eastAsia="zh-CN"/>
                    </w:rPr>
                    <w:t>未涉及</w:t>
                  </w:r>
                </w:p>
              </w:tc>
              <w:tc>
                <w:tcPr>
                  <w:tcW w:w="518" w:type="pct"/>
                  <w:noWrap w:val="0"/>
                  <w:vAlign w:val="center"/>
                </w:tcPr>
                <w:p w14:paraId="6A9256D9">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684B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2980C38E">
                  <w:pPr>
                    <w:pStyle w:val="64"/>
                    <w:bidi w:val="0"/>
                    <w:rPr>
                      <w:rFonts w:hint="default"/>
                      <w:b w:val="0"/>
                      <w:bCs/>
                      <w:color w:val="auto"/>
                      <w:sz w:val="21"/>
                      <w:szCs w:val="21"/>
                      <w:lang w:val="en-US" w:eastAsia="zh-CN"/>
                    </w:rPr>
                  </w:pPr>
                  <w:r>
                    <w:rPr>
                      <w:rFonts w:hint="eastAsia"/>
                      <w:b w:val="0"/>
                      <w:bCs/>
                      <w:color w:val="auto"/>
                      <w:sz w:val="21"/>
                      <w:szCs w:val="21"/>
                      <w:lang w:val="en-US" w:eastAsia="zh-CN"/>
                    </w:rPr>
                    <w:t>11</w:t>
                  </w:r>
                </w:p>
              </w:tc>
              <w:tc>
                <w:tcPr>
                  <w:tcW w:w="3251" w:type="pct"/>
                  <w:noWrap w:val="0"/>
                  <w:vAlign w:val="center"/>
                </w:tcPr>
                <w:p w14:paraId="52FE8B0B">
                  <w:pPr>
                    <w:pStyle w:val="64"/>
                    <w:bidi w:val="0"/>
                    <w:rPr>
                      <w:b w:val="0"/>
                      <w:bCs/>
                      <w:color w:val="auto"/>
                      <w:sz w:val="21"/>
                      <w:szCs w:val="21"/>
                    </w:rPr>
                  </w:pPr>
                  <w:r>
                    <w:rPr>
                      <w:rFonts w:hint="eastAsia"/>
                      <w:b w:val="0"/>
                      <w:bCs/>
                      <w:color w:val="auto"/>
                      <w:sz w:val="21"/>
                      <w:szCs w:val="21"/>
                    </w:rPr>
                    <w:t>禁止在金沙江干流岸线3公里、长江（金沙江）一级支流岸线1公里范围内新建、改建、扩建尾矿库、冶炼渣库和磷石膏库，以提升安全、生态环境保护水平为目的的改建除外。</w:t>
                  </w:r>
                </w:p>
              </w:tc>
              <w:tc>
                <w:tcPr>
                  <w:tcW w:w="844" w:type="pct"/>
                  <w:noWrap w:val="0"/>
                  <w:vAlign w:val="center"/>
                </w:tcPr>
                <w:p w14:paraId="348D474E">
                  <w:pPr>
                    <w:pStyle w:val="64"/>
                    <w:bidi w:val="0"/>
                    <w:rPr>
                      <w:rFonts w:hint="default"/>
                      <w:b w:val="0"/>
                      <w:bCs/>
                      <w:color w:val="auto"/>
                      <w:sz w:val="21"/>
                      <w:szCs w:val="21"/>
                      <w:lang w:val="en-US" w:eastAsia="zh-CN"/>
                    </w:rPr>
                  </w:pPr>
                  <w:r>
                    <w:rPr>
                      <w:rFonts w:hint="eastAsia"/>
                      <w:b w:val="0"/>
                      <w:bCs/>
                      <w:color w:val="auto"/>
                      <w:sz w:val="21"/>
                      <w:szCs w:val="21"/>
                      <w:lang w:val="en-US" w:eastAsia="zh-CN"/>
                    </w:rPr>
                    <w:t>本项目所在流域属于珠江流域，为锂电池加工项目</w:t>
                  </w:r>
                  <w:r>
                    <w:rPr>
                      <w:rFonts w:hint="eastAsia"/>
                      <w:b w:val="0"/>
                      <w:bCs/>
                      <w:color w:val="auto"/>
                      <w:sz w:val="21"/>
                      <w:szCs w:val="21"/>
                      <w:lang w:eastAsia="zh-CN"/>
                    </w:rPr>
                    <w:t>。</w:t>
                  </w:r>
                </w:p>
              </w:tc>
              <w:tc>
                <w:tcPr>
                  <w:tcW w:w="518" w:type="pct"/>
                  <w:noWrap w:val="0"/>
                  <w:vAlign w:val="center"/>
                </w:tcPr>
                <w:p w14:paraId="5AF39E57">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305E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688D8328">
                  <w:pPr>
                    <w:pStyle w:val="64"/>
                    <w:bidi w:val="0"/>
                    <w:rPr>
                      <w:rFonts w:hint="default"/>
                      <w:b w:val="0"/>
                      <w:bCs/>
                      <w:color w:val="auto"/>
                      <w:sz w:val="21"/>
                      <w:szCs w:val="21"/>
                      <w:lang w:val="en-US" w:eastAsia="zh-CN"/>
                    </w:rPr>
                  </w:pPr>
                  <w:r>
                    <w:rPr>
                      <w:rFonts w:hint="eastAsia"/>
                      <w:b w:val="0"/>
                      <w:bCs/>
                      <w:color w:val="auto"/>
                      <w:sz w:val="21"/>
                      <w:szCs w:val="21"/>
                      <w:lang w:val="en-US" w:eastAsia="zh-CN"/>
                    </w:rPr>
                    <w:t>12</w:t>
                  </w:r>
                </w:p>
              </w:tc>
              <w:tc>
                <w:tcPr>
                  <w:tcW w:w="3251" w:type="pct"/>
                  <w:noWrap w:val="0"/>
                  <w:vAlign w:val="center"/>
                </w:tcPr>
                <w:p w14:paraId="1E58C841">
                  <w:pPr>
                    <w:pStyle w:val="64"/>
                    <w:bidi w:val="0"/>
                    <w:jc w:val="both"/>
                    <w:rPr>
                      <w:b w:val="0"/>
                      <w:bCs/>
                      <w:color w:val="auto"/>
                      <w:sz w:val="21"/>
                      <w:szCs w:val="21"/>
                    </w:rPr>
                  </w:pPr>
                  <w:r>
                    <w:rPr>
                      <w:rFonts w:hint="eastAsia"/>
                      <w:b w:val="0"/>
                      <w:bCs/>
                      <w:color w:val="auto"/>
                      <w:sz w:val="21"/>
                      <w:szCs w:val="21"/>
                    </w:rPr>
                    <w:t>禁止在合规园区外新建、扩建钢铁、石化、化工、焦化、建材、有色、制浆造纸等高污染项目。禁止新增钢铁、水泥、平板玻璃等行业建设产能，确有必要建设的，应按规定实施产能等量或减量置换。</w:t>
                  </w:r>
                </w:p>
              </w:tc>
              <w:tc>
                <w:tcPr>
                  <w:tcW w:w="844" w:type="pct"/>
                  <w:noWrap w:val="0"/>
                  <w:vAlign w:val="center"/>
                </w:tcPr>
                <w:p w14:paraId="249D4955">
                  <w:pPr>
                    <w:pStyle w:val="64"/>
                    <w:bidi w:val="0"/>
                    <w:rPr>
                      <w:rFonts w:hint="eastAsia" w:eastAsia="宋体"/>
                      <w:b w:val="0"/>
                      <w:bCs/>
                      <w:color w:val="auto"/>
                      <w:sz w:val="21"/>
                      <w:szCs w:val="21"/>
                      <w:lang w:val="en-US" w:eastAsia="zh-CN"/>
                    </w:rPr>
                  </w:pPr>
                  <w:r>
                    <w:rPr>
                      <w:rFonts w:hint="eastAsia"/>
                      <w:b w:val="0"/>
                      <w:bCs/>
                      <w:color w:val="auto"/>
                      <w:sz w:val="21"/>
                      <w:szCs w:val="21"/>
                      <w:lang w:val="en-US" w:eastAsia="zh-CN"/>
                    </w:rPr>
                    <w:t>项目为锂电池加工项目，不属于</w:t>
                  </w:r>
                  <w:r>
                    <w:rPr>
                      <w:rFonts w:hint="eastAsia"/>
                      <w:b w:val="0"/>
                      <w:bCs/>
                      <w:color w:val="auto"/>
                      <w:sz w:val="21"/>
                      <w:szCs w:val="21"/>
                    </w:rPr>
                    <w:t>高污染项目</w:t>
                  </w:r>
                  <w:r>
                    <w:rPr>
                      <w:rFonts w:hint="eastAsia"/>
                      <w:b w:val="0"/>
                      <w:bCs/>
                      <w:color w:val="auto"/>
                      <w:sz w:val="21"/>
                      <w:szCs w:val="21"/>
                      <w:lang w:eastAsia="zh-CN"/>
                    </w:rPr>
                    <w:t>。</w:t>
                  </w:r>
                </w:p>
              </w:tc>
              <w:tc>
                <w:tcPr>
                  <w:tcW w:w="518" w:type="pct"/>
                  <w:noWrap w:val="0"/>
                  <w:vAlign w:val="center"/>
                </w:tcPr>
                <w:p w14:paraId="1D321068">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131F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011536C3">
                  <w:pPr>
                    <w:pStyle w:val="64"/>
                    <w:bidi w:val="0"/>
                    <w:rPr>
                      <w:rFonts w:hint="default"/>
                      <w:b w:val="0"/>
                      <w:bCs/>
                      <w:color w:val="auto"/>
                      <w:sz w:val="21"/>
                      <w:szCs w:val="21"/>
                      <w:lang w:val="en-US" w:eastAsia="zh-CN"/>
                    </w:rPr>
                  </w:pPr>
                  <w:r>
                    <w:rPr>
                      <w:rFonts w:hint="eastAsia"/>
                      <w:b w:val="0"/>
                      <w:bCs/>
                      <w:color w:val="auto"/>
                      <w:sz w:val="21"/>
                      <w:szCs w:val="21"/>
                      <w:lang w:val="en-US" w:eastAsia="zh-CN"/>
                    </w:rPr>
                    <w:t>13</w:t>
                  </w:r>
                </w:p>
              </w:tc>
              <w:tc>
                <w:tcPr>
                  <w:tcW w:w="3251" w:type="pct"/>
                  <w:noWrap w:val="0"/>
                  <w:vAlign w:val="center"/>
                </w:tcPr>
                <w:p w14:paraId="04315432">
                  <w:pPr>
                    <w:pStyle w:val="64"/>
                    <w:bidi w:val="0"/>
                    <w:rPr>
                      <w:b w:val="0"/>
                      <w:bCs/>
                      <w:color w:val="auto"/>
                      <w:sz w:val="21"/>
                      <w:szCs w:val="21"/>
                    </w:rPr>
                  </w:pPr>
                  <w:r>
                    <w:rPr>
                      <w:rFonts w:hint="eastAsia"/>
                      <w:b w:val="0"/>
                      <w:bCs/>
                      <w:color w:val="auto"/>
                      <w:sz w:val="21"/>
                      <w:szCs w:val="21"/>
                    </w:rPr>
                    <w:t>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844" w:type="pct"/>
                  <w:noWrap w:val="0"/>
                  <w:vAlign w:val="center"/>
                </w:tcPr>
                <w:p w14:paraId="03969AEA">
                  <w:pPr>
                    <w:pStyle w:val="64"/>
                    <w:bidi w:val="0"/>
                    <w:rPr>
                      <w:rFonts w:hint="eastAsia" w:eastAsia="宋体"/>
                      <w:b w:val="0"/>
                      <w:bCs/>
                      <w:color w:val="auto"/>
                      <w:sz w:val="21"/>
                      <w:szCs w:val="21"/>
                      <w:lang w:val="en-US" w:eastAsia="zh-CN"/>
                    </w:rPr>
                  </w:pPr>
                  <w:r>
                    <w:rPr>
                      <w:rFonts w:hint="eastAsia"/>
                      <w:b w:val="0"/>
                      <w:bCs/>
                      <w:color w:val="auto"/>
                      <w:sz w:val="21"/>
                      <w:szCs w:val="21"/>
                      <w:lang w:val="en-US" w:eastAsia="zh-CN"/>
                    </w:rPr>
                    <w:t>未涉及</w:t>
                  </w:r>
                </w:p>
              </w:tc>
              <w:tc>
                <w:tcPr>
                  <w:tcW w:w="518" w:type="pct"/>
                  <w:noWrap w:val="0"/>
                  <w:vAlign w:val="center"/>
                </w:tcPr>
                <w:p w14:paraId="49E066AC">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r w14:paraId="7495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noWrap w:val="0"/>
                  <w:vAlign w:val="center"/>
                </w:tcPr>
                <w:p w14:paraId="338EF67D">
                  <w:pPr>
                    <w:pStyle w:val="64"/>
                    <w:bidi w:val="0"/>
                    <w:rPr>
                      <w:rFonts w:hint="default"/>
                      <w:b w:val="0"/>
                      <w:bCs/>
                      <w:color w:val="auto"/>
                      <w:sz w:val="21"/>
                      <w:szCs w:val="21"/>
                      <w:lang w:val="en-US" w:eastAsia="zh-CN"/>
                    </w:rPr>
                  </w:pPr>
                  <w:r>
                    <w:rPr>
                      <w:rFonts w:hint="eastAsia"/>
                      <w:b w:val="0"/>
                      <w:bCs/>
                      <w:color w:val="auto"/>
                      <w:sz w:val="21"/>
                      <w:szCs w:val="21"/>
                      <w:lang w:val="en-US" w:eastAsia="zh-CN"/>
                    </w:rPr>
                    <w:t>14</w:t>
                  </w:r>
                </w:p>
              </w:tc>
              <w:tc>
                <w:tcPr>
                  <w:tcW w:w="3251" w:type="pct"/>
                  <w:noWrap w:val="0"/>
                  <w:vAlign w:val="center"/>
                </w:tcPr>
                <w:p w14:paraId="13373ACF">
                  <w:pPr>
                    <w:pStyle w:val="64"/>
                    <w:bidi w:val="0"/>
                    <w:rPr>
                      <w:rFonts w:hint="eastAsia"/>
                      <w:b w:val="0"/>
                      <w:bCs/>
                      <w:color w:val="auto"/>
                      <w:sz w:val="21"/>
                      <w:szCs w:val="21"/>
                    </w:rPr>
                  </w:pPr>
                  <w:r>
                    <w:rPr>
                      <w:rFonts w:hint="eastAsia"/>
                      <w:b w:val="0"/>
                      <w:bCs/>
                      <w:color w:val="auto"/>
                      <w:sz w:val="21"/>
                      <w:szCs w:val="21"/>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844" w:type="pct"/>
                  <w:noWrap w:val="0"/>
                  <w:vAlign w:val="center"/>
                </w:tcPr>
                <w:p w14:paraId="54E876A8">
                  <w:pPr>
                    <w:pStyle w:val="64"/>
                    <w:bidi w:val="0"/>
                    <w:rPr>
                      <w:rFonts w:hint="eastAsia" w:eastAsia="宋体"/>
                      <w:b w:val="0"/>
                      <w:bCs/>
                      <w:color w:val="auto"/>
                      <w:sz w:val="21"/>
                      <w:szCs w:val="21"/>
                      <w:lang w:val="en-US" w:eastAsia="zh-CN"/>
                    </w:rPr>
                  </w:pPr>
                  <w:r>
                    <w:rPr>
                      <w:rFonts w:hint="eastAsia"/>
                      <w:b w:val="0"/>
                      <w:bCs/>
                      <w:color w:val="auto"/>
                      <w:sz w:val="21"/>
                      <w:szCs w:val="21"/>
                      <w:lang w:val="en-US" w:eastAsia="zh-CN"/>
                    </w:rPr>
                    <w:t>项目符合国家及地方产业政策，不属于</w:t>
                  </w:r>
                  <w:r>
                    <w:rPr>
                      <w:rFonts w:hint="eastAsia"/>
                      <w:b w:val="0"/>
                      <w:bCs/>
                      <w:color w:val="auto"/>
                      <w:sz w:val="21"/>
                      <w:szCs w:val="21"/>
                    </w:rPr>
                    <w:t>明令禁止的落后产能项目</w:t>
                  </w:r>
                  <w:r>
                    <w:rPr>
                      <w:rFonts w:hint="eastAsia"/>
                      <w:b w:val="0"/>
                      <w:bCs/>
                      <w:color w:val="auto"/>
                      <w:sz w:val="21"/>
                      <w:szCs w:val="21"/>
                      <w:lang w:eastAsia="zh-CN"/>
                    </w:rPr>
                    <w:t>。</w:t>
                  </w:r>
                </w:p>
              </w:tc>
              <w:tc>
                <w:tcPr>
                  <w:tcW w:w="518" w:type="pct"/>
                  <w:noWrap w:val="0"/>
                  <w:vAlign w:val="center"/>
                </w:tcPr>
                <w:p w14:paraId="72C80E11">
                  <w:pPr>
                    <w:bidi w:val="0"/>
                    <w:jc w:val="center"/>
                    <w:rPr>
                      <w:rFonts w:hint="default"/>
                      <w:b w:val="0"/>
                      <w:bCs/>
                      <w:color w:val="auto"/>
                      <w:sz w:val="21"/>
                      <w:szCs w:val="21"/>
                      <w:lang w:val="en-US" w:eastAsia="zh-CN"/>
                    </w:rPr>
                  </w:pPr>
                  <w:r>
                    <w:rPr>
                      <w:rFonts w:hint="eastAsia"/>
                      <w:b w:val="0"/>
                      <w:bCs/>
                      <w:color w:val="auto"/>
                      <w:sz w:val="21"/>
                      <w:szCs w:val="21"/>
                      <w:lang w:val="en-US" w:eastAsia="zh-CN"/>
                    </w:rPr>
                    <w:t>符合</w:t>
                  </w:r>
                </w:p>
              </w:tc>
            </w:tr>
          </w:tbl>
          <w:p w14:paraId="4D523033">
            <w:pPr>
              <w:autoSpaceDE w:val="0"/>
              <w:autoSpaceDN w:val="0"/>
              <w:adjustRightInd w:val="0"/>
              <w:snapToGrid w:val="0"/>
              <w:spacing w:line="360" w:lineRule="auto"/>
              <w:ind w:firstLine="420" w:firstLineChars="200"/>
              <w:rPr>
                <w:rFonts w:hint="default" w:ascii="Times New Roman" w:hAnsi="Times New Roman" w:eastAsia="宋体" w:cs="Times New Roman"/>
                <w:b w:val="0"/>
                <w:bCs/>
                <w:color w:val="auto"/>
                <w:sz w:val="21"/>
                <w:szCs w:val="21"/>
              </w:rPr>
            </w:pPr>
            <w:r>
              <w:rPr>
                <w:rFonts w:hint="eastAsia"/>
                <w:b w:val="0"/>
                <w:bCs/>
                <w:color w:val="auto"/>
                <w:sz w:val="21"/>
                <w:szCs w:val="21"/>
                <w:lang w:val="en-US" w:eastAsia="zh-CN"/>
              </w:rPr>
              <w:t>综上，本项目与《关于印发&lt;云南省长江经济带发展负面清单指南实施细则（试行，2022年版）&gt;</w:t>
            </w:r>
            <w:r>
              <w:rPr>
                <w:rFonts w:hint="eastAsia" w:ascii="Times New Roman" w:hAnsi="Times New Roman" w:eastAsia="宋体" w:cs="Times New Roman"/>
                <w:b w:val="0"/>
                <w:bCs/>
                <w:color w:val="auto"/>
                <w:sz w:val="21"/>
                <w:szCs w:val="21"/>
                <w:lang w:val="en-US" w:eastAsia="zh-CN"/>
              </w:rPr>
              <w:t>》的相关规定无冲突。</w:t>
            </w:r>
          </w:p>
          <w:p w14:paraId="132EB682">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2、项目选址合理性分析</w:t>
            </w:r>
          </w:p>
          <w:p w14:paraId="5AA31AA5">
            <w:pPr>
              <w:pageBreakBefore/>
              <w:snapToGrid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（1）项目环境可行性</w:t>
            </w:r>
          </w:p>
          <w:p w14:paraId="4BBAB3C1">
            <w:pPr>
              <w:keepNext w:val="0"/>
              <w:keepLines w:val="0"/>
              <w:widowControl w:val="0"/>
              <w:kinsoku/>
              <w:wordWrap/>
              <w:overflowPunct/>
              <w:topLinePunct w:val="0"/>
              <w:bidi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位于玉溪高新技术产业开发区-龙泉片区</w:t>
            </w:r>
            <w:r>
              <w:rPr>
                <w:rFonts w:hint="default" w:ascii="Times New Roman" w:hAnsi="Times New Roman" w:eastAsia="宋体" w:cs="Times New Roman"/>
                <w:color w:val="auto"/>
                <w:sz w:val="21"/>
                <w:szCs w:val="21"/>
              </w:rPr>
              <w:t>所处区域环境空气质量功能区划类别为二类功能区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本项目的建设不会对当地环境空气质量类别造成改变</w:t>
            </w:r>
            <w:r>
              <w:rPr>
                <w:rFonts w:hint="default" w:ascii="Times New Roman" w:hAnsi="Times New Roman" w:eastAsia="宋体" w:cs="Times New Roman"/>
                <w:color w:val="auto"/>
                <w:sz w:val="21"/>
                <w:szCs w:val="21"/>
              </w:rPr>
              <w:t>；噪声功能区划类别为</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类功能区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采取基础减震和厂房隔声对周围声环境影响较小</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无废水外排，对周围地表水影响较小</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采取可行性的治理工艺保证</w:t>
            </w:r>
            <w:r>
              <w:rPr>
                <w:rFonts w:hint="default" w:ascii="Times New Roman" w:hAnsi="Times New Roman" w:eastAsia="宋体" w:cs="Times New Roman"/>
                <w:color w:val="auto"/>
                <w:sz w:val="21"/>
                <w:szCs w:val="21"/>
              </w:rPr>
              <w:t>各项污染物可做到达标排放，则项目对周边环境的影响较小。</w:t>
            </w:r>
            <w:r>
              <w:rPr>
                <w:rFonts w:hint="eastAsia" w:ascii="Times New Roman" w:hAnsi="Times New Roman" w:eastAsia="宋体" w:cs="Times New Roman"/>
                <w:color w:val="auto"/>
                <w:sz w:val="21"/>
                <w:szCs w:val="21"/>
                <w:vertAlign w:val="baseline"/>
                <w:lang w:val="en-US" w:eastAsia="zh-CN"/>
              </w:rPr>
              <w:t>项目区周围500m范围内有包装印刷</w:t>
            </w:r>
            <w:r>
              <w:rPr>
                <w:rFonts w:hint="eastAsia" w:cs="Times New Roman"/>
                <w:color w:val="auto"/>
                <w:sz w:val="21"/>
                <w:szCs w:val="21"/>
                <w:vertAlign w:val="baseline"/>
                <w:lang w:val="en-US" w:eastAsia="zh-CN"/>
              </w:rPr>
              <w:t>、电梯生产企业云南升华电梯有限公司；锂电池正极生产企业云南烨阳新能源材料有限责任公司；锂电池负极材料生产</w:t>
            </w:r>
            <w:r>
              <w:rPr>
                <w:rFonts w:hint="eastAsia" w:ascii="Times New Roman" w:hAnsi="Times New Roman" w:eastAsia="宋体" w:cs="Times New Roman"/>
                <w:color w:val="auto"/>
                <w:sz w:val="21"/>
                <w:szCs w:val="21"/>
                <w:vertAlign w:val="baseline"/>
                <w:lang w:val="en-US" w:eastAsia="zh-CN"/>
              </w:rPr>
              <w:t>企业云南坤天新能源有限公司；周围大气</w:t>
            </w:r>
            <w:r>
              <w:rPr>
                <w:rFonts w:hint="eastAsia" w:cs="Times New Roman"/>
                <w:color w:val="auto"/>
                <w:sz w:val="21"/>
                <w:szCs w:val="21"/>
                <w:vertAlign w:val="baseline"/>
                <w:lang w:val="en-US" w:eastAsia="zh-CN"/>
              </w:rPr>
              <w:t>现状</w:t>
            </w:r>
            <w:r>
              <w:rPr>
                <w:rFonts w:hint="eastAsia" w:ascii="Times New Roman" w:hAnsi="Times New Roman" w:eastAsia="宋体" w:cs="Times New Roman"/>
                <w:color w:val="auto"/>
                <w:sz w:val="21"/>
                <w:szCs w:val="21"/>
                <w:vertAlign w:val="baseline"/>
                <w:lang w:val="en-US" w:eastAsia="zh-CN"/>
              </w:rPr>
              <w:t>环境质量较好</w:t>
            </w:r>
            <w:r>
              <w:rPr>
                <w:rFonts w:hint="eastAsia" w:cs="Times New Roman"/>
                <w:color w:val="auto"/>
                <w:sz w:val="21"/>
                <w:szCs w:val="21"/>
                <w:vertAlign w:val="baseline"/>
                <w:lang w:val="en-US" w:eastAsia="zh-CN"/>
              </w:rPr>
              <w:t>，本项目在洁净车间内生产，周围企业对项目生产影响较小。</w:t>
            </w:r>
          </w:p>
          <w:p w14:paraId="4BC987DE">
            <w:pPr>
              <w:pageBreakBefore/>
              <w:snapToGrid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（2）选址</w:t>
            </w:r>
            <w:r>
              <w:rPr>
                <w:rFonts w:hint="default" w:ascii="Times New Roman" w:hAnsi="Times New Roman" w:eastAsia="宋体" w:cs="Times New Roman"/>
                <w:b/>
                <w:bCs/>
                <w:color w:val="auto"/>
                <w:sz w:val="21"/>
                <w:szCs w:val="21"/>
                <w:lang w:val="en-US" w:eastAsia="zh-CN"/>
              </w:rPr>
              <w:t>敏感</w:t>
            </w:r>
            <w:r>
              <w:rPr>
                <w:rFonts w:hint="default" w:ascii="Times New Roman" w:hAnsi="Times New Roman" w:eastAsia="宋体" w:cs="Times New Roman"/>
                <w:b/>
                <w:bCs/>
                <w:color w:val="auto"/>
                <w:sz w:val="21"/>
                <w:szCs w:val="21"/>
              </w:rPr>
              <w:t>性分析</w:t>
            </w:r>
          </w:p>
          <w:p w14:paraId="370A192A">
            <w:pPr>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项目位于</w:t>
            </w:r>
            <w:r>
              <w:rPr>
                <w:rFonts w:hint="default" w:ascii="Times New Roman" w:hAnsi="Times New Roman" w:eastAsia="宋体" w:cs="Times New Roman"/>
                <w:color w:val="auto"/>
                <w:sz w:val="21"/>
                <w:szCs w:val="21"/>
                <w:lang w:eastAsia="zh-CN"/>
              </w:rPr>
              <w:t>云南省玉溪市江川区龙泉工业园区，</w:t>
            </w:r>
            <w:r>
              <w:rPr>
                <w:rFonts w:hint="eastAsia" w:cs="Times New Roman"/>
                <w:color w:val="auto"/>
                <w:sz w:val="21"/>
                <w:szCs w:val="21"/>
                <w:lang w:val="en-US" w:eastAsia="zh-CN"/>
              </w:rPr>
              <w:t>通过国有建设用地使用权出让的方式取得了玉溪市玉溪高新技术产业开发区龙泉片区一块6.6668公顷的工业用地，批准用地文号为玉江政复[2024]8号</w:t>
            </w:r>
            <w:r>
              <w:rPr>
                <w:rFonts w:hint="default" w:ascii="Times New Roman" w:hAnsi="Times New Roman" w:eastAsia="宋体" w:cs="Times New Roman"/>
                <w:color w:val="auto"/>
                <w:sz w:val="21"/>
                <w:szCs w:val="21"/>
                <w:lang w:val="en-US" w:eastAsia="zh-CN"/>
              </w:rPr>
              <w:t>；建设用地规划许可证</w:t>
            </w:r>
            <w:r>
              <w:rPr>
                <w:rFonts w:hint="eastAsia" w:cs="Times New Roman"/>
                <w:color w:val="auto"/>
                <w:sz w:val="21"/>
                <w:szCs w:val="21"/>
                <w:lang w:val="en-US" w:eastAsia="zh-CN"/>
              </w:rPr>
              <w:t>编号为：530432202400002</w:t>
            </w:r>
            <w:r>
              <w:rPr>
                <w:rFonts w:hint="default" w:ascii="Times New Roman" w:hAnsi="Times New Roman" w:eastAsia="宋体" w:cs="Times New Roman"/>
                <w:color w:val="auto"/>
                <w:sz w:val="21"/>
                <w:szCs w:val="21"/>
                <w:lang w:val="en-US" w:eastAsia="zh-CN"/>
              </w:rPr>
              <w:t>。该地块周围500m范围没有需要特殊保护的文物、风景游览区、名胜古迹和文化自然遗产，不属于自然保护区、生活饮用水源保护区、风景名胜区、基本农田保护区、也没有居民区和其他需要特别保护的范围。项目建设不会降低和改变该区域的环境质量和环境功能，因此项目的选址不敏感，基本合理。</w:t>
            </w:r>
          </w:p>
          <w:p w14:paraId="42D4FEE3">
            <w:pPr>
              <w:keepNext w:val="0"/>
              <w:keepLines w:val="0"/>
              <w:widowControl w:val="0"/>
              <w:kinsoku/>
              <w:wordWrap/>
              <w:overflowPunct/>
              <w:topLinePunct w:val="0"/>
              <w:bidi w:val="0"/>
              <w:snapToGrid w:val="0"/>
              <w:spacing w:line="360" w:lineRule="auto"/>
              <w:ind w:firstLine="420"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val="en-US" w:eastAsia="zh-CN"/>
              </w:rPr>
              <w:t>根据《玉溪市人民政府关于印发云南省抚仙湖星云湖杞麓湖湖滨生态红线及湖泊生态黄线“两线”划定方案（精简版）的通知》（玉政发[2022]19号），项目位于</w:t>
            </w:r>
            <w:r>
              <w:rPr>
                <w:rFonts w:hint="eastAsia" w:cs="Times New Roman"/>
                <w:color w:val="auto"/>
                <w:sz w:val="21"/>
                <w:szCs w:val="21"/>
                <w:lang w:val="en-US" w:eastAsia="zh-CN"/>
              </w:rPr>
              <w:t>江川区龙泉工业园区</w:t>
            </w:r>
            <w:r>
              <w:rPr>
                <w:rFonts w:hint="default" w:ascii="Times New Roman" w:hAnsi="Times New Roman" w:eastAsia="宋体" w:cs="Times New Roman"/>
                <w:color w:val="auto"/>
                <w:sz w:val="21"/>
                <w:szCs w:val="21"/>
                <w:lang w:val="en-US" w:eastAsia="zh-CN"/>
              </w:rPr>
              <w:t>，属于星云湖</w:t>
            </w:r>
            <w:r>
              <w:rPr>
                <w:rFonts w:hint="eastAsia" w:cs="Times New Roman"/>
                <w:color w:val="auto"/>
                <w:sz w:val="21"/>
                <w:szCs w:val="21"/>
                <w:lang w:val="en-US" w:eastAsia="zh-CN"/>
              </w:rPr>
              <w:t>汇水区</w:t>
            </w:r>
            <w:r>
              <w:rPr>
                <w:rFonts w:hint="default" w:ascii="Times New Roman" w:hAnsi="Times New Roman" w:eastAsia="宋体" w:cs="Times New Roman"/>
                <w:color w:val="auto"/>
                <w:sz w:val="21"/>
                <w:szCs w:val="21"/>
                <w:lang w:val="en-US" w:eastAsia="zh-CN"/>
              </w:rPr>
              <w:t>，所在地距星云湖直线距离约为</w:t>
            </w:r>
            <w:r>
              <w:rPr>
                <w:rFonts w:hint="eastAsia" w:cs="Times New Roman"/>
                <w:color w:val="auto"/>
                <w:sz w:val="21"/>
                <w:szCs w:val="21"/>
                <w:lang w:val="en-US" w:eastAsia="zh-CN"/>
              </w:rPr>
              <w:t>3.82</w:t>
            </w:r>
            <w:r>
              <w:rPr>
                <w:rFonts w:hint="default" w:ascii="Times New Roman" w:hAnsi="Times New Roman" w:eastAsia="宋体" w:cs="Times New Roman"/>
                <w:color w:val="auto"/>
                <w:sz w:val="21"/>
                <w:szCs w:val="21"/>
                <w:lang w:val="en-US" w:eastAsia="zh-CN"/>
              </w:rPr>
              <w:t>km，不在“两区两线”范围内（详见附件），则项目对星云湖“两区两线”范围内的环境的影响较小。</w:t>
            </w:r>
          </w:p>
          <w:p w14:paraId="3A2C7A01">
            <w:pPr>
              <w:snapToGrid w:val="0"/>
              <w:spacing w:line="360" w:lineRule="auto"/>
              <w:ind w:firstLine="422" w:firstLineChars="200"/>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（3）项目实施后对周围环境的影响判定</w:t>
            </w:r>
          </w:p>
          <w:p w14:paraId="745E1BF3">
            <w:pPr>
              <w:autoSpaceDE w:val="0"/>
              <w:autoSpaceDN w:val="0"/>
              <w:adjustRightInd w:val="0"/>
              <w:snapToGrid w:val="0"/>
              <w:spacing w:line="360" w:lineRule="auto"/>
              <w:ind w:firstLine="420"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根据工程分析确定的污染物排放源强，通过大气环境影响分析、地表水环境影响分析、环境风险环境影响分析、噪声环境影响分析、固废环境影响分析，表明本项目</w:t>
            </w:r>
            <w:r>
              <w:rPr>
                <w:rFonts w:hint="eastAsia" w:cs="Times New Roman"/>
                <w:color w:val="auto"/>
                <w:sz w:val="21"/>
                <w:szCs w:val="21"/>
                <w:lang w:val="en-US" w:eastAsia="zh-CN"/>
              </w:rPr>
              <w:t>采取的可行性措施落实</w:t>
            </w:r>
            <w:r>
              <w:rPr>
                <w:rFonts w:hint="default" w:ascii="Times New Roman" w:hAnsi="Times New Roman" w:eastAsia="宋体" w:cs="Times New Roman"/>
                <w:color w:val="auto"/>
                <w:sz w:val="21"/>
                <w:szCs w:val="21"/>
              </w:rPr>
              <w:t>后对周围的水环境、大气环境、声环境的影响是可以接受的</w:t>
            </w:r>
            <w:r>
              <w:rPr>
                <w:rFonts w:hint="eastAsia" w:cs="Times New Roman"/>
                <w:color w:val="auto"/>
                <w:sz w:val="21"/>
                <w:szCs w:val="21"/>
                <w:lang w:eastAsia="zh-CN"/>
              </w:rPr>
              <w:t>，</w:t>
            </w:r>
            <w:r>
              <w:rPr>
                <w:rFonts w:hint="eastAsia" w:cs="Times New Roman"/>
                <w:color w:val="auto"/>
                <w:sz w:val="21"/>
                <w:szCs w:val="21"/>
                <w:lang w:val="en-US" w:eastAsia="zh-CN"/>
              </w:rPr>
              <w:t>对周围企业影响较小</w:t>
            </w:r>
            <w:r>
              <w:rPr>
                <w:rFonts w:hint="default" w:ascii="Times New Roman" w:hAnsi="Times New Roman" w:eastAsia="宋体" w:cs="Times New Roman"/>
                <w:color w:val="auto"/>
                <w:sz w:val="21"/>
                <w:szCs w:val="21"/>
              </w:rPr>
              <w:t>。</w:t>
            </w:r>
          </w:p>
          <w:p w14:paraId="4BB325D1">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r>
              <w:rPr>
                <w:rFonts w:hint="default" w:ascii="Times New Roman" w:hAnsi="Times New Roman" w:eastAsia="宋体" w:cs="Times New Roman"/>
                <w:b/>
                <w:bCs/>
                <w:color w:val="auto"/>
                <w:kern w:val="0"/>
                <w:sz w:val="21"/>
                <w:szCs w:val="21"/>
              </w:rPr>
              <w:t>项目平面布置合理性分析</w:t>
            </w:r>
          </w:p>
          <w:p w14:paraId="05393EDF">
            <w:pPr>
              <w:pStyle w:val="36"/>
              <w:keepNext w:val="0"/>
              <w:keepLines w:val="0"/>
              <w:pageBreakBefore w:val="0"/>
              <w:widowControl w:val="0"/>
              <w:kinsoku/>
              <w:wordWrap/>
              <w:overflowPunct/>
              <w:topLinePunct w:val="0"/>
              <w:bidi w:val="0"/>
              <w:snapToGrid w:val="0"/>
              <w:spacing w:line="360" w:lineRule="auto"/>
              <w:ind w:firstLine="420" w:firstLineChars="200"/>
              <w:textAlignment w:val="auto"/>
              <w:rPr>
                <w:rFonts w:hint="default" w:ascii="Times New Roman" w:hAnsi="Times New Roman" w:eastAsia="宋体" w:cs="Times New Roman"/>
                <w:b/>
                <w:bCs/>
                <w:color w:val="auto"/>
                <w:sz w:val="21"/>
                <w:szCs w:val="21"/>
                <w:lang w:eastAsia="zh-CN"/>
              </w:rPr>
            </w:pPr>
            <w:r>
              <w:rPr>
                <w:rStyle w:val="66"/>
                <w:rFonts w:hint="default" w:ascii="Times New Roman" w:hAnsi="Times New Roman" w:eastAsia="宋体" w:cs="Times New Roman"/>
                <w:color w:val="auto"/>
                <w:sz w:val="21"/>
                <w:szCs w:val="21"/>
              </w:rPr>
              <w:t>本</w:t>
            </w:r>
            <w:r>
              <w:rPr>
                <w:rFonts w:hint="default" w:ascii="Times New Roman" w:hAnsi="Times New Roman" w:eastAsia="宋体" w:cs="Times New Roman"/>
                <w:color w:val="auto"/>
                <w:sz w:val="21"/>
                <w:szCs w:val="21"/>
              </w:rPr>
              <w:t>项目总占地面积为</w:t>
            </w:r>
            <w:r>
              <w:rPr>
                <w:rFonts w:hint="eastAsia" w:cs="Times New Roman"/>
                <w:color w:val="auto"/>
                <w:sz w:val="21"/>
                <w:szCs w:val="21"/>
                <w:lang w:val="en-US" w:eastAsia="zh-CN"/>
              </w:rPr>
              <w:t>66668</w:t>
            </w:r>
            <w:r>
              <w:rPr>
                <w:rStyle w:val="66"/>
                <w:rFonts w:hint="default" w:ascii="Times New Roman" w:hAnsi="Times New Roman" w:eastAsia="宋体" w:cs="Times New Roman"/>
                <w:color w:val="auto"/>
                <w:sz w:val="21"/>
                <w:szCs w:val="21"/>
              </w:rPr>
              <w:t>m</w:t>
            </w:r>
            <w:r>
              <w:rPr>
                <w:rStyle w:val="66"/>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w:t>
            </w:r>
            <w:r>
              <w:rPr>
                <w:rFonts w:hint="default" w:ascii="Times New Roman" w:hAnsi="Times New Roman" w:eastAsia="宋体" w:cs="Times New Roman"/>
                <w:color w:val="auto"/>
                <w:sz w:val="21"/>
                <w:szCs w:val="21"/>
                <w:lang w:val="en-US" w:eastAsia="zh-CN"/>
              </w:rPr>
              <w:t>42305.13</w:t>
            </w:r>
            <w:r>
              <w:rPr>
                <w:rStyle w:val="66"/>
                <w:rFonts w:hint="default" w:ascii="Times New Roman" w:hAnsi="Times New Roman" w:eastAsia="宋体" w:cs="Times New Roman"/>
                <w:color w:val="auto"/>
                <w:sz w:val="21"/>
                <w:szCs w:val="21"/>
              </w:rPr>
              <w:t>m</w:t>
            </w:r>
            <w:r>
              <w:rPr>
                <w:rStyle w:val="66"/>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其中</w:t>
            </w:r>
            <w:r>
              <w:rPr>
                <w:rFonts w:hint="eastAsia" w:cs="Times New Roman"/>
                <w:color w:val="auto"/>
                <w:sz w:val="21"/>
                <w:szCs w:val="21"/>
                <w:lang w:val="en-US" w:eastAsia="zh-CN"/>
              </w:rPr>
              <w:t>拟建</w:t>
            </w:r>
            <w:r>
              <w:rPr>
                <w:rFonts w:hint="default" w:ascii="Times New Roman" w:hAnsi="Times New Roman" w:eastAsia="宋体" w:cs="Times New Roman"/>
                <w:color w:val="auto"/>
                <w:sz w:val="21"/>
                <w:szCs w:val="21"/>
                <w:lang w:val="en-US" w:eastAsia="zh-CN"/>
              </w:rPr>
              <w:t>14568.6㎡电芯前工序厂房</w:t>
            </w:r>
            <w:r>
              <w:rPr>
                <w:rFonts w:hint="eastAsia" w:cs="Times New Roman"/>
                <w:color w:val="auto"/>
                <w:sz w:val="21"/>
                <w:szCs w:val="21"/>
                <w:lang w:val="en-US" w:eastAsia="zh-CN"/>
              </w:rPr>
              <w:t>（占地面积14407.64㎡）、20279.90㎡的大电芯后工序和系统集成厂房（占地面积19773.02㎡）、725.81㎡的电解液车间（占地面积725.81㎡）、6564.50㎡的办公楼（占地面积1433.52㎡、其中地上5层、地下1层建筑面积894.44㎡）、55.44㎡的门卫室3个（占地面积55.44×3㎡）；</w:t>
            </w:r>
            <w:r>
              <w:rPr>
                <w:rFonts w:hint="default" w:ascii="Times New Roman" w:hAnsi="Times New Roman" w:eastAsia="宋体" w:cs="Times New Roman"/>
                <w:color w:val="auto"/>
                <w:sz w:val="21"/>
                <w:szCs w:val="21"/>
                <w:lang w:val="en-US" w:eastAsia="zh-CN"/>
              </w:rPr>
              <w:t>电芯前工序厂房</w:t>
            </w:r>
            <w:r>
              <w:rPr>
                <w:rFonts w:hint="eastAsia" w:ascii="Times New Roman" w:hAnsi="Times New Roman" w:eastAsia="宋体" w:cs="Times New Roman"/>
                <w:color w:val="auto"/>
                <w:sz w:val="21"/>
                <w:szCs w:val="21"/>
                <w:lang w:val="en-US" w:eastAsia="zh-CN"/>
              </w:rPr>
              <w:t>南侧为</w:t>
            </w:r>
            <w:r>
              <w:rPr>
                <w:rFonts w:hint="eastAsia" w:cs="Times New Roman"/>
                <w:color w:val="auto"/>
                <w:sz w:val="21"/>
                <w:szCs w:val="21"/>
                <w:lang w:val="en-US" w:eastAsia="zh-CN"/>
              </w:rPr>
              <w:t>大电芯后工序和系统集成厂房、东侧为办公楼</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大电芯后工序和系统集成厂房西侧为电解液车间；在项目东南侧和西北侧设置物流口，分别配置门卫室；在项目东北侧设置人流出入口，配置门卫室</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项目平面布置详见附图。</w:t>
            </w:r>
          </w:p>
          <w:p w14:paraId="0C45D410">
            <w:pPr>
              <w:widowControl w:val="0"/>
              <w:bidi w:val="0"/>
              <w:spacing w:line="360" w:lineRule="auto"/>
              <w:ind w:firstLine="422" w:firstLineChars="200"/>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4、</w:t>
            </w:r>
            <w:r>
              <w:rPr>
                <w:rFonts w:hint="eastAsia" w:cs="Times New Roman"/>
                <w:b/>
                <w:bCs/>
                <w:color w:val="auto"/>
                <w:sz w:val="21"/>
                <w:szCs w:val="21"/>
                <w:lang w:val="en-US" w:eastAsia="zh-CN"/>
              </w:rPr>
              <w:t>项目与玉溪市“三线一单”符合性分析</w:t>
            </w:r>
          </w:p>
          <w:p w14:paraId="615D49A4">
            <w:pPr>
              <w:widowControl w:val="0"/>
              <w:bidi w:val="0"/>
              <w:spacing w:line="360" w:lineRule="auto"/>
              <w:ind w:firstLine="422" w:firstLineChars="200"/>
              <w:jc w:val="both"/>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①</w:t>
            </w:r>
            <w:r>
              <w:rPr>
                <w:rFonts w:hint="default" w:ascii="Times New Roman" w:hAnsi="Times New Roman" w:eastAsia="宋体" w:cs="Times New Roman"/>
                <w:color w:val="auto"/>
                <w:sz w:val="21"/>
                <w:szCs w:val="21"/>
              </w:rPr>
              <w:t>2021年12月6日玉溪市人民政府印发了《玉溪市“三线一单”生态环境分区管控实施意见的通知》（玉政发〔2021〕15号）（以下简称《通知》）。本项目位于云南省玉溪高新技术产业园区九龙片区，属于红塔区工业集中区重点管控单元。项目与</w:t>
            </w:r>
            <w:r>
              <w:rPr>
                <w:rFonts w:hint="eastAsia" w:cs="Times New Roman"/>
                <w:color w:val="auto"/>
                <w:sz w:val="21"/>
                <w:szCs w:val="21"/>
                <w:lang w:eastAsia="zh-CN"/>
              </w:rPr>
              <w:t>玉溪市</w:t>
            </w:r>
            <w:r>
              <w:rPr>
                <w:rFonts w:hint="default" w:ascii="Times New Roman" w:hAnsi="Times New Roman" w:eastAsia="宋体" w:cs="Times New Roman"/>
                <w:color w:val="auto"/>
                <w:sz w:val="21"/>
                <w:szCs w:val="21"/>
              </w:rPr>
              <w:t>“三线一单”相关要求相符性分析详见下表</w:t>
            </w:r>
            <w:r>
              <w:rPr>
                <w:rFonts w:hint="eastAsia" w:ascii="Times New Roman" w:hAnsi="Times New Roman" w:eastAsia="宋体" w:cs="Times New Roman"/>
                <w:color w:val="auto"/>
                <w:sz w:val="21"/>
                <w:szCs w:val="21"/>
                <w:lang w:eastAsia="zh-CN"/>
              </w:rPr>
              <w:t>。</w:t>
            </w:r>
          </w:p>
          <w:p w14:paraId="27481E48">
            <w:pPr>
              <w:autoSpaceDE w:val="0"/>
              <w:autoSpaceDN w:val="0"/>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项目与</w:t>
            </w:r>
            <w:r>
              <w:rPr>
                <w:rFonts w:hint="default" w:ascii="Times New Roman" w:hAnsi="Times New Roman" w:eastAsia="宋体" w:cs="Times New Roman"/>
                <w:b/>
                <w:bCs/>
                <w:color w:val="auto"/>
                <w:sz w:val="21"/>
                <w:szCs w:val="21"/>
              </w:rPr>
              <w:t>《玉溪市“三线一单”生态环境分区管控实施意见的通知》（玉政发〔2021〕15号）</w:t>
            </w:r>
            <w:r>
              <w:rPr>
                <w:rFonts w:hint="default" w:ascii="Times New Roman" w:hAnsi="Times New Roman" w:cs="Times New Roman"/>
                <w:b/>
                <w:bCs/>
                <w:color w:val="auto"/>
                <w:sz w:val="21"/>
                <w:szCs w:val="21"/>
              </w:rPr>
              <w:t>符合性分析</w:t>
            </w:r>
          </w:p>
          <w:tbl>
            <w:tblPr>
              <w:tblStyle w:val="25"/>
              <w:tblW w:w="49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4646"/>
              <w:gridCol w:w="2481"/>
              <w:gridCol w:w="895"/>
            </w:tblGrid>
            <w:tr w14:paraId="56AB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91" w:type="pct"/>
                  <w:vAlign w:val="center"/>
                </w:tcPr>
                <w:p w14:paraId="70C2295C">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2669" w:type="pct"/>
                  <w:vAlign w:val="center"/>
                </w:tcPr>
                <w:p w14:paraId="1535FF77">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分析内容</w:t>
                  </w:r>
                </w:p>
              </w:tc>
              <w:tc>
                <w:tcPr>
                  <w:tcW w:w="1425" w:type="pct"/>
                  <w:vAlign w:val="center"/>
                </w:tcPr>
                <w:p w14:paraId="2201A821">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项目情况</w:t>
                  </w:r>
                </w:p>
              </w:tc>
              <w:tc>
                <w:tcPr>
                  <w:tcW w:w="514" w:type="pct"/>
                  <w:vAlign w:val="center"/>
                </w:tcPr>
                <w:p w14:paraId="03F8F6C9">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w:t>
                  </w:r>
                </w:p>
              </w:tc>
            </w:tr>
            <w:tr w14:paraId="5C5C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391" w:type="pct"/>
                  <w:vAlign w:val="center"/>
                </w:tcPr>
                <w:p w14:paraId="54D10857">
                  <w:pPr>
                    <w:snapToGrid w:val="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生态保护红线和一般生态空间</w:t>
                  </w:r>
                </w:p>
              </w:tc>
              <w:tc>
                <w:tcPr>
                  <w:tcW w:w="2669" w:type="pct"/>
                  <w:vAlign w:val="center"/>
                </w:tcPr>
                <w:p w14:paraId="37712C34">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425" w:type="pct"/>
                  <w:vAlign w:val="center"/>
                </w:tcPr>
                <w:p w14:paraId="3B172E2D">
                  <w:pPr>
                    <w:snapToGrid w:val="0"/>
                    <w:ind w:firstLine="420" w:firstLineChars="200"/>
                    <w:rPr>
                      <w:rFonts w:hint="default" w:ascii="Times New Roman" w:hAnsi="Times New Roman" w:cs="Times New Roman"/>
                      <w:color w:val="auto"/>
                      <w:sz w:val="21"/>
                      <w:szCs w:val="21"/>
                    </w:rPr>
                  </w:pPr>
                  <w:r>
                    <w:rPr>
                      <w:rFonts w:hint="eastAsia" w:ascii="Times New Roman" w:eastAsia="宋体"/>
                      <w:color w:val="auto"/>
                      <w:sz w:val="21"/>
                      <w:szCs w:val="21"/>
                      <w:lang w:val="en-US" w:eastAsia="zh-CN"/>
                    </w:rPr>
                    <w:t>项目位于</w:t>
                  </w:r>
                  <w:r>
                    <w:rPr>
                      <w:rFonts w:hint="default" w:ascii="Times New Roman" w:hAnsi="Times New Roman" w:eastAsia="宋体" w:cs="Times New Roman"/>
                      <w:color w:val="auto"/>
                      <w:sz w:val="21"/>
                      <w:szCs w:val="21"/>
                      <w:lang w:eastAsia="zh-CN"/>
                    </w:rPr>
                    <w:t>云南省玉溪市江川区龙泉工业园区</w:t>
                  </w:r>
                  <w:r>
                    <w:rPr>
                      <w:rFonts w:hint="eastAsia" w:ascii="Times New Roman" w:eastAsia="宋体"/>
                      <w:color w:val="auto"/>
                      <w:sz w:val="21"/>
                      <w:szCs w:val="21"/>
                      <w:lang w:val="en-US" w:eastAsia="zh-CN"/>
                    </w:rPr>
                    <w:t>，</w:t>
                  </w:r>
                  <w:r>
                    <w:rPr>
                      <w:rFonts w:hint="eastAsia"/>
                      <w:color w:val="auto"/>
                      <w:sz w:val="21"/>
                      <w:szCs w:val="21"/>
                      <w:lang w:val="en-US" w:eastAsia="zh-CN"/>
                    </w:rPr>
                    <w:t>项目用地性质为工业用地</w:t>
                  </w:r>
                  <w:r>
                    <w:rPr>
                      <w:rFonts w:hint="eastAsia" w:ascii="Times New Roman" w:eastAsia="宋体"/>
                      <w:color w:val="auto"/>
                      <w:sz w:val="21"/>
                      <w:szCs w:val="21"/>
                      <w:lang w:val="en-US" w:eastAsia="zh-CN"/>
                    </w:rPr>
                    <w:t>；</w:t>
                  </w:r>
                  <w:r>
                    <w:rPr>
                      <w:rFonts w:hint="default" w:ascii="Times New Roman" w:hAnsi="Times New Roman" w:eastAsia="宋体" w:cs="Times New Roman"/>
                      <w:b w:val="0"/>
                      <w:color w:val="auto"/>
                      <w:sz w:val="21"/>
                      <w:szCs w:val="21"/>
                    </w:rPr>
                    <w:t>项目评价范围内不涉及</w:t>
                  </w:r>
                  <w:r>
                    <w:rPr>
                      <w:rFonts w:hint="default" w:ascii="Times New Roman" w:hAnsi="Times New Roman" w:cs="Times New Roman"/>
                      <w:color w:val="auto"/>
                      <w:sz w:val="21"/>
                      <w:szCs w:val="21"/>
                    </w:rPr>
                    <w:t>自然保护地、饮用水水源保护区、重要湿地、基本草原、生态公益林、天然林等生态功能重要、生态环境敏感区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不</w:t>
                  </w:r>
                  <w:r>
                    <w:rPr>
                      <w:rFonts w:hint="default" w:ascii="Times New Roman" w:hAnsi="Times New Roman" w:cs="Times New Roman"/>
                      <w:color w:val="auto"/>
                      <w:sz w:val="21"/>
                      <w:szCs w:val="21"/>
                      <w:lang w:val="en-US" w:eastAsia="zh-CN"/>
                    </w:rPr>
                    <w:t>占用</w:t>
                  </w:r>
                  <w:r>
                    <w:rPr>
                      <w:rFonts w:hint="default" w:ascii="Times New Roman" w:hAnsi="Times New Roman" w:cs="Times New Roman"/>
                      <w:color w:val="auto"/>
                      <w:sz w:val="21"/>
                      <w:szCs w:val="21"/>
                    </w:rPr>
                    <w:t>一般生态空间。</w:t>
                  </w:r>
                </w:p>
              </w:tc>
              <w:tc>
                <w:tcPr>
                  <w:tcW w:w="514" w:type="pct"/>
                  <w:vAlign w:val="center"/>
                </w:tcPr>
                <w:p w14:paraId="3C018122">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F8D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1" w:type="pct"/>
                  <w:vAlign w:val="center"/>
                </w:tcPr>
                <w:p w14:paraId="59C7AD98">
                  <w:pPr>
                    <w:snapToGrid w:val="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环境质量底线</w:t>
                  </w:r>
                </w:p>
              </w:tc>
              <w:tc>
                <w:tcPr>
                  <w:tcW w:w="2669" w:type="pct"/>
                  <w:vAlign w:val="center"/>
                </w:tcPr>
                <w:p w14:paraId="261B2A9D">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p w14:paraId="2138FB2C">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p w14:paraId="454B3596">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3、土壤环境风险防控底线。到2025年，全市土壤环境风险防范体系进一步完善，受污染耕地安全利用率和污染地块安全利用率达到省下达的目标要求。到2035年，全市土壤环境质量稳中向好，农用地和</w:t>
                  </w:r>
                  <w:r>
                    <w:rPr>
                      <w:rFonts w:hint="default" w:ascii="Times New Roman" w:hAnsi="Times New Roman" w:cs="Times New Roman"/>
                      <w:color w:val="auto"/>
                      <w:sz w:val="21"/>
                      <w:szCs w:val="21"/>
                      <w:lang w:eastAsia="zh-CN"/>
                    </w:rPr>
                    <w:t>采矿用地</w:t>
                  </w:r>
                  <w:r>
                    <w:rPr>
                      <w:rFonts w:hint="default" w:ascii="Times New Roman" w:hAnsi="Times New Roman" w:cs="Times New Roman"/>
                      <w:color w:val="auto"/>
                      <w:sz w:val="21"/>
                      <w:szCs w:val="21"/>
                    </w:rPr>
                    <w:t>土壤环境安全得到有效保障，受污染耕地安全利用率和污染地块安全利用率进一步提高，土壤环境风险得到全面管控。</w:t>
                  </w:r>
                </w:p>
              </w:tc>
              <w:tc>
                <w:tcPr>
                  <w:tcW w:w="1425" w:type="pct"/>
                  <w:vAlign w:val="center"/>
                </w:tcPr>
                <w:p w14:paraId="1375E45B">
                  <w:pPr>
                    <w:snapToGrid w:val="0"/>
                    <w:ind w:firstLine="420" w:firstLineChars="20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1、本项目在“</w:t>
                  </w:r>
                  <w:r>
                    <w:rPr>
                      <w:rFonts w:hint="eastAsia" w:cs="Times New Roman"/>
                      <w:color w:val="auto"/>
                      <w:sz w:val="21"/>
                      <w:szCs w:val="21"/>
                      <w:lang w:val="en-US" w:eastAsia="zh-CN"/>
                    </w:rPr>
                    <w:t>星云湖</w:t>
                  </w:r>
                  <w:r>
                    <w:rPr>
                      <w:rFonts w:hint="default" w:ascii="Times New Roman" w:hAnsi="Times New Roman" w:cs="Times New Roman"/>
                      <w:color w:val="auto"/>
                      <w:sz w:val="21"/>
                      <w:szCs w:val="21"/>
                    </w:rPr>
                    <w:t>”流域范围内，无废水外排，对“三湖”地表水影响</w:t>
                  </w:r>
                  <w:r>
                    <w:rPr>
                      <w:rFonts w:hint="eastAsia" w:cs="Times New Roman"/>
                      <w:color w:val="auto"/>
                      <w:sz w:val="21"/>
                      <w:szCs w:val="21"/>
                      <w:lang w:val="en-US" w:eastAsia="zh-CN"/>
                    </w:rPr>
                    <w:t>较小</w:t>
                  </w:r>
                  <w:r>
                    <w:rPr>
                      <w:rFonts w:hint="default" w:ascii="Times New Roman" w:hAnsi="Times New Roman" w:cs="Times New Roman"/>
                      <w:color w:val="auto"/>
                      <w:sz w:val="21"/>
                      <w:szCs w:val="21"/>
                    </w:rPr>
                    <w:t>；</w:t>
                  </w: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w:t>
                  </w:r>
                  <w:r>
                    <w:rPr>
                      <w:rFonts w:hint="default" w:ascii="Times New Roman" w:hAnsi="Times New Roman" w:cs="Times New Roman"/>
                      <w:color w:val="auto"/>
                      <w:sz w:val="21"/>
                      <w:szCs w:val="21"/>
                    </w:rPr>
                    <w:t>。</w:t>
                  </w:r>
                </w:p>
                <w:p w14:paraId="26CB106C">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2、根据根据202</w:t>
                  </w:r>
                  <w:r>
                    <w:rPr>
                      <w:rFonts w:hint="eastAsia" w:cs="Times New Roman"/>
                      <w:color w:val="auto"/>
                      <w:sz w:val="21"/>
                      <w:szCs w:val="21"/>
                      <w:lang w:val="en-US" w:eastAsia="zh-CN"/>
                    </w:rPr>
                    <w:t>3</w:t>
                  </w:r>
                  <w:r>
                    <w:rPr>
                      <w:rFonts w:hint="default" w:ascii="Times New Roman" w:hAnsi="Times New Roman" w:cs="Times New Roman"/>
                      <w:color w:val="auto"/>
                      <w:sz w:val="21"/>
                      <w:szCs w:val="21"/>
                    </w:rPr>
                    <w:t>年1月~202</w:t>
                  </w:r>
                  <w:r>
                    <w:rPr>
                      <w:rFonts w:hint="eastAsia" w:cs="Times New Roman"/>
                      <w:color w:val="auto"/>
                      <w:sz w:val="21"/>
                      <w:szCs w:val="21"/>
                      <w:lang w:val="en-US" w:eastAsia="zh-CN"/>
                    </w:rPr>
                    <w:t>3</w:t>
                  </w:r>
                  <w:r>
                    <w:rPr>
                      <w:rFonts w:hint="default" w:ascii="Times New Roman" w:hAnsi="Times New Roman" w:cs="Times New Roman"/>
                      <w:color w:val="auto"/>
                      <w:sz w:val="21"/>
                      <w:szCs w:val="21"/>
                    </w:rPr>
                    <w:t>年12月</w:t>
                  </w:r>
                  <w:r>
                    <w:rPr>
                      <w:rFonts w:hint="eastAsia" w:cs="Times New Roman"/>
                      <w:color w:val="auto"/>
                      <w:sz w:val="21"/>
                      <w:szCs w:val="21"/>
                      <w:lang w:eastAsia="zh-CN"/>
                    </w:rPr>
                    <w:t>江川区</w:t>
                  </w:r>
                  <w:r>
                    <w:rPr>
                      <w:rFonts w:hint="default" w:ascii="Times New Roman" w:hAnsi="Times New Roman" w:cs="Times New Roman"/>
                      <w:color w:val="auto"/>
                      <w:sz w:val="21"/>
                      <w:szCs w:val="21"/>
                    </w:rPr>
                    <w:t>环境空气自动监测站</w:t>
                  </w:r>
                  <w:r>
                    <w:rPr>
                      <w:rFonts w:hint="eastAsia" w:ascii="Times New Roman" w:hAnsi="Times New Roman" w:cs="Times New Roman"/>
                      <w:color w:val="auto"/>
                      <w:sz w:val="21"/>
                      <w:szCs w:val="21"/>
                      <w:lang w:val="en-US" w:eastAsia="zh-CN"/>
                    </w:rPr>
                    <w:t>监测数据</w:t>
                  </w:r>
                  <w:r>
                    <w:rPr>
                      <w:rFonts w:hint="default" w:ascii="Times New Roman" w:hAnsi="Times New Roman" w:cs="Times New Roman"/>
                      <w:color w:val="auto"/>
                      <w:sz w:val="21"/>
                      <w:szCs w:val="21"/>
                    </w:rPr>
                    <w:t>，评价区域按环境空气质量符合《环境空气质量标准》（GB3095-2012）二级标准及</w:t>
                  </w:r>
                  <w:r>
                    <w:rPr>
                      <w:rFonts w:hint="default" w:ascii="Times New Roman" w:hAnsi="Times New Roman" w:cs="Times New Roman"/>
                      <w:color w:val="auto"/>
                      <w:sz w:val="21"/>
                      <w:szCs w:val="21"/>
                      <w:lang w:val="en-US" w:eastAsia="zh-CN"/>
                    </w:rPr>
                    <w:t>其2018年</w:t>
                  </w:r>
                  <w:r>
                    <w:rPr>
                      <w:rFonts w:hint="default" w:ascii="Times New Roman" w:hAnsi="Times New Roman" w:cs="Times New Roman"/>
                      <w:color w:val="auto"/>
                      <w:sz w:val="21"/>
                      <w:szCs w:val="21"/>
                    </w:rPr>
                    <w:t>修改单。本项目建成后严格落实各项大气环保措施，对周围大气环境影响不大。</w:t>
                  </w:r>
                </w:p>
                <w:p w14:paraId="014DC785">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3、企业设置</w:t>
                  </w:r>
                  <w:r>
                    <w:rPr>
                      <w:rFonts w:hint="default" w:ascii="Times New Roman" w:hAnsi="Times New Roman" w:cs="Times New Roman"/>
                      <w:color w:val="auto"/>
                      <w:sz w:val="21"/>
                      <w:szCs w:val="21"/>
                      <w:lang w:eastAsia="zh-CN"/>
                    </w:rPr>
                    <w:t>危险废物暂存间</w:t>
                  </w:r>
                  <w:r>
                    <w:rPr>
                      <w:rFonts w:hint="default" w:ascii="Times New Roman" w:hAnsi="Times New Roman" w:cs="Times New Roman"/>
                      <w:color w:val="auto"/>
                      <w:sz w:val="21"/>
                      <w:szCs w:val="21"/>
                    </w:rPr>
                    <w:t>，实行重点防渗，项目建成后，对土壤影响较小，风险可控。</w:t>
                  </w:r>
                </w:p>
              </w:tc>
              <w:tc>
                <w:tcPr>
                  <w:tcW w:w="514" w:type="pct"/>
                  <w:vAlign w:val="center"/>
                </w:tcPr>
                <w:p w14:paraId="00A542FD">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C3A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91" w:type="pct"/>
                  <w:vAlign w:val="center"/>
                </w:tcPr>
                <w:p w14:paraId="6C28F5FB">
                  <w:pPr>
                    <w:snapToGrid w:val="0"/>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资源利用上线</w:t>
                  </w:r>
                </w:p>
              </w:tc>
              <w:tc>
                <w:tcPr>
                  <w:tcW w:w="2669" w:type="pct"/>
                  <w:vAlign w:val="center"/>
                </w:tcPr>
                <w:p w14:paraId="34094BCA">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强化资源能源节约集约利用，持续提升资源能源利用效率，水资源、土地资源、能源消耗等达到或优于省下达的总量和强度控制目标。</w:t>
                  </w:r>
                </w:p>
              </w:tc>
              <w:tc>
                <w:tcPr>
                  <w:tcW w:w="1425" w:type="pct"/>
                  <w:vAlign w:val="center"/>
                </w:tcPr>
                <w:p w14:paraId="7028B60C">
                  <w:pPr>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项目运营会消耗一定量电能、水资源，水、电消耗量总量</w:t>
                  </w:r>
                  <w:r>
                    <w:rPr>
                      <w:rFonts w:hint="default" w:ascii="Times New Roman" w:hAnsi="Times New Roman" w:cs="Times New Roman"/>
                      <w:color w:val="auto"/>
                      <w:sz w:val="21"/>
                      <w:szCs w:val="21"/>
                      <w:lang w:val="en-US" w:eastAsia="zh-CN"/>
                    </w:rPr>
                    <w:t>较</w:t>
                  </w:r>
                  <w:r>
                    <w:rPr>
                      <w:rFonts w:hint="default" w:ascii="Times New Roman" w:hAnsi="Times New Roman" w:cs="Times New Roman"/>
                      <w:color w:val="auto"/>
                      <w:sz w:val="21"/>
                      <w:szCs w:val="21"/>
                    </w:rPr>
                    <w:t>小；项目不占用基本农田、林地等，不会突破省下达的总量和强度控制指标。</w:t>
                  </w:r>
                </w:p>
              </w:tc>
              <w:tc>
                <w:tcPr>
                  <w:tcW w:w="514" w:type="pct"/>
                  <w:vAlign w:val="center"/>
                </w:tcPr>
                <w:p w14:paraId="1622ADCA">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39C5CDC0">
            <w:pPr>
              <w:widowControl w:val="0"/>
              <w:bidi w:val="0"/>
              <w:spacing w:line="360" w:lineRule="auto"/>
              <w:ind w:firstLine="422" w:firstLineChars="200"/>
              <w:jc w:val="both"/>
              <w:rPr>
                <w:rFonts w:hint="eastAsia" w:ascii="Times New Roman" w:hAnsi="宋体" w:eastAsia="宋体" w:cs="宋体"/>
                <w:b/>
                <w:bCs/>
                <w:color w:val="auto"/>
                <w:kern w:val="2"/>
                <w:sz w:val="21"/>
                <w:szCs w:val="21"/>
                <w:lang w:val="en-US" w:eastAsia="zh-CN" w:bidi="ar-SA"/>
              </w:rPr>
            </w:pPr>
            <w:r>
              <w:rPr>
                <w:rFonts w:hint="eastAsia" w:hAnsi="宋体" w:cs="宋体"/>
                <w:b/>
                <w:bCs/>
                <w:color w:val="auto"/>
                <w:kern w:val="2"/>
                <w:sz w:val="21"/>
                <w:szCs w:val="21"/>
                <w:lang w:val="en-US" w:eastAsia="zh-CN" w:bidi="ar-SA"/>
              </w:rPr>
              <w:t>②</w:t>
            </w:r>
            <w:r>
              <w:rPr>
                <w:rFonts w:hint="eastAsia" w:ascii="Times New Roman" w:hAnsi="宋体" w:eastAsia="宋体" w:cs="宋体"/>
                <w:b/>
                <w:bCs/>
                <w:color w:val="auto"/>
                <w:kern w:val="2"/>
                <w:sz w:val="21"/>
                <w:szCs w:val="21"/>
                <w:lang w:val="en-US" w:eastAsia="zh-CN" w:bidi="ar-SA"/>
              </w:rPr>
              <w:t>与</w:t>
            </w:r>
            <w:r>
              <w:rPr>
                <w:rFonts w:hint="eastAsia" w:hAnsi="宋体" w:cs="宋体"/>
                <w:b/>
                <w:bCs/>
                <w:color w:val="auto"/>
                <w:kern w:val="2"/>
                <w:sz w:val="21"/>
                <w:szCs w:val="21"/>
                <w:lang w:val="en-US" w:eastAsia="zh-CN" w:bidi="ar-SA"/>
              </w:rPr>
              <w:t>《</w:t>
            </w:r>
            <w:r>
              <w:rPr>
                <w:rFonts w:hint="eastAsia" w:ascii="Times New Roman" w:hAnsi="宋体" w:eastAsia="宋体" w:cs="宋体"/>
                <w:b/>
                <w:bCs/>
                <w:color w:val="auto"/>
                <w:kern w:val="2"/>
                <w:sz w:val="21"/>
                <w:szCs w:val="21"/>
                <w:lang w:val="en-US" w:eastAsia="zh-CN" w:bidi="ar-SA"/>
              </w:rPr>
              <w:t>玉溪市生态环境局发布</w:t>
            </w:r>
            <w:r>
              <w:rPr>
                <w:rFonts w:hint="eastAsia" w:hAnsi="宋体" w:cs="宋体"/>
                <w:b/>
                <w:bCs/>
                <w:color w:val="auto"/>
                <w:kern w:val="2"/>
                <w:sz w:val="21"/>
                <w:szCs w:val="21"/>
                <w:lang w:val="en-US" w:eastAsia="zh-CN" w:bidi="ar-SA"/>
              </w:rPr>
              <w:t>玉溪市</w:t>
            </w:r>
            <w:r>
              <w:rPr>
                <w:rFonts w:hint="eastAsia" w:ascii="Times New Roman" w:hAnsi="宋体" w:eastAsia="宋体" w:cs="宋体"/>
                <w:b/>
                <w:bCs/>
                <w:color w:val="auto"/>
                <w:kern w:val="2"/>
                <w:sz w:val="21"/>
                <w:szCs w:val="21"/>
                <w:lang w:val="en-US" w:eastAsia="zh-CN" w:bidi="ar-SA"/>
              </w:rPr>
              <w:t>生态环境分区管控</w:t>
            </w:r>
            <w:r>
              <w:rPr>
                <w:rFonts w:hint="eastAsia" w:hAnsi="宋体" w:cs="宋体"/>
                <w:b/>
                <w:bCs/>
                <w:color w:val="auto"/>
                <w:kern w:val="2"/>
                <w:sz w:val="21"/>
                <w:szCs w:val="21"/>
                <w:lang w:val="en-US" w:eastAsia="zh-CN" w:bidi="ar-SA"/>
              </w:rPr>
              <w:t>动态更新调整方案（2023年）》</w:t>
            </w:r>
            <w:r>
              <w:rPr>
                <w:rFonts w:hint="eastAsia" w:ascii="Times New Roman" w:hAnsi="宋体" w:eastAsia="宋体" w:cs="宋体"/>
                <w:b/>
                <w:bCs/>
                <w:color w:val="auto"/>
                <w:kern w:val="2"/>
                <w:sz w:val="21"/>
                <w:szCs w:val="21"/>
                <w:lang w:val="en-US" w:eastAsia="zh-CN" w:bidi="ar-SA"/>
              </w:rPr>
              <w:t>符合性分析</w:t>
            </w:r>
          </w:p>
          <w:p w14:paraId="11369000">
            <w:pPr>
              <w:autoSpaceDE w:val="0"/>
              <w:autoSpaceDN w:val="0"/>
              <w:adjustRightInd w:val="0"/>
              <w:snapToGrid w:val="0"/>
              <w:spacing w:line="360" w:lineRule="auto"/>
              <w:ind w:firstLine="420" w:firstLineChars="200"/>
              <w:rPr>
                <w:rFonts w:hint="default" w:ascii="Times New Roman" w:hAnsi="Times New Roman" w:eastAsia="宋体" w:cs="Times New Roman"/>
                <w:b/>
                <w:bCs/>
                <w:color w:val="auto"/>
                <w:sz w:val="21"/>
                <w:szCs w:val="21"/>
              </w:rPr>
            </w:pPr>
            <w:r>
              <w:rPr>
                <w:rFonts w:hint="eastAsia" w:ascii="Times New Roman" w:hAnsi="Times New Roman" w:eastAsia="宋体" w:cs="Times New Roman"/>
                <w:b w:val="0"/>
                <w:bCs w:val="0"/>
                <w:color w:val="auto"/>
                <w:kern w:val="2"/>
                <w:sz w:val="21"/>
                <w:szCs w:val="21"/>
                <w:lang w:val="en-US" w:eastAsia="zh-CN" w:bidi="ar-SA"/>
              </w:rPr>
              <w:t>根据《</w:t>
            </w:r>
            <w:r>
              <w:rPr>
                <w:rFonts w:hint="eastAsia" w:cs="Times New Roman"/>
                <w:b w:val="0"/>
                <w:bCs w:val="0"/>
                <w:color w:val="auto"/>
                <w:kern w:val="2"/>
                <w:sz w:val="21"/>
                <w:szCs w:val="21"/>
                <w:lang w:val="en-US" w:eastAsia="zh-CN" w:bidi="ar-SA"/>
              </w:rPr>
              <w:t>玉溪市生态环境局关于印发</w:t>
            </w:r>
            <w:r>
              <w:rPr>
                <w:rFonts w:hint="eastAsia" w:ascii="Times New Roman" w:hAnsi="Times New Roman" w:eastAsia="宋体" w:cs="Times New Roman"/>
                <w:b w:val="0"/>
                <w:bCs w:val="0"/>
                <w:color w:val="auto"/>
                <w:kern w:val="2"/>
                <w:sz w:val="21"/>
                <w:szCs w:val="21"/>
                <w:lang w:val="en-US" w:eastAsia="zh-CN" w:bidi="ar-SA"/>
              </w:rPr>
              <w:t>玉溪市生态环境分区管控动态更新调整方案（2023年）的通知》（玉</w:t>
            </w:r>
            <w:r>
              <w:rPr>
                <w:rFonts w:hint="eastAsia" w:cs="Times New Roman"/>
                <w:b w:val="0"/>
                <w:bCs w:val="0"/>
                <w:color w:val="auto"/>
                <w:kern w:val="2"/>
                <w:sz w:val="21"/>
                <w:szCs w:val="21"/>
                <w:lang w:val="en-US" w:eastAsia="zh-CN" w:bidi="ar-SA"/>
              </w:rPr>
              <w:t>市环</w:t>
            </w:r>
            <w:r>
              <w:rPr>
                <w:rFonts w:hint="eastAsia" w:ascii="Times New Roman" w:hAnsi="Times New Roman" w:eastAsia="宋体" w:cs="Times New Roman"/>
                <w:b w:val="0"/>
                <w:bCs w:val="0"/>
                <w:color w:val="auto"/>
                <w:kern w:val="2"/>
                <w:sz w:val="21"/>
                <w:szCs w:val="21"/>
                <w:lang w:val="en-US" w:eastAsia="zh-CN" w:bidi="ar-SA"/>
              </w:rPr>
              <w:t>〔202</w:t>
            </w:r>
            <w:r>
              <w:rPr>
                <w:rFonts w:hint="eastAsia" w:cs="Times New Roman"/>
                <w:b w:val="0"/>
                <w:bCs w:val="0"/>
                <w:color w:val="auto"/>
                <w:kern w:val="2"/>
                <w:sz w:val="21"/>
                <w:szCs w:val="21"/>
                <w:lang w:val="en-US" w:eastAsia="zh-CN" w:bidi="ar-SA"/>
              </w:rPr>
              <w:t>4</w:t>
            </w: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40</w:t>
            </w:r>
            <w:r>
              <w:rPr>
                <w:rFonts w:hint="eastAsia" w:ascii="Times New Roman" w:hAnsi="Times New Roman" w:eastAsia="宋体" w:cs="Times New Roman"/>
                <w:b w:val="0"/>
                <w:bCs w:val="0"/>
                <w:color w:val="auto"/>
                <w:kern w:val="2"/>
                <w:sz w:val="21"/>
                <w:szCs w:val="21"/>
                <w:lang w:val="en-US" w:eastAsia="zh-CN" w:bidi="ar-SA"/>
              </w:rPr>
              <w:t>号）基本情况如下</w:t>
            </w:r>
            <w:r>
              <w:rPr>
                <w:rFonts w:hint="default" w:ascii="Times New Roman" w:hAnsi="Times New Roman" w:eastAsia="宋体" w:cs="Times New Roman"/>
                <w:color w:val="auto"/>
                <w:sz w:val="21"/>
                <w:szCs w:val="21"/>
              </w:rPr>
              <w:t>。</w:t>
            </w:r>
          </w:p>
          <w:p w14:paraId="2AAEE59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rPr>
              <w:t>项目与玉溪市政府发布“三线一单”生态环境分区管控实施意见符合性分析</w:t>
            </w:r>
          </w:p>
          <w:tbl>
            <w:tblPr>
              <w:tblStyle w:val="26"/>
              <w:tblW w:w="8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4117"/>
              <w:gridCol w:w="2940"/>
              <w:gridCol w:w="915"/>
            </w:tblGrid>
            <w:tr w14:paraId="580A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578B14C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项目</w:t>
                  </w:r>
                </w:p>
              </w:tc>
              <w:tc>
                <w:tcPr>
                  <w:tcW w:w="4117" w:type="dxa"/>
                  <w:vAlign w:val="center"/>
                </w:tcPr>
                <w:p w14:paraId="1A9DE5E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分析内容</w:t>
                  </w:r>
                </w:p>
              </w:tc>
              <w:tc>
                <w:tcPr>
                  <w:tcW w:w="2940" w:type="dxa"/>
                  <w:vAlign w:val="center"/>
                </w:tcPr>
                <w:p w14:paraId="42B006E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rPr>
                    <w:t>项目情况</w:t>
                  </w:r>
                </w:p>
              </w:tc>
              <w:tc>
                <w:tcPr>
                  <w:tcW w:w="915" w:type="dxa"/>
                  <w:vAlign w:val="center"/>
                </w:tcPr>
                <w:p w14:paraId="2F963B0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lang w:eastAsia="zh-CN"/>
                    </w:rPr>
                    <w:t>符合性</w:t>
                  </w:r>
                </w:p>
              </w:tc>
            </w:tr>
            <w:tr w14:paraId="4FDA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11718EF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环境管控单元调整结果</w:t>
                  </w:r>
                </w:p>
              </w:tc>
              <w:tc>
                <w:tcPr>
                  <w:tcW w:w="4117" w:type="dxa"/>
                  <w:vAlign w:val="center"/>
                </w:tcPr>
                <w:p w14:paraId="6E60215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调整后，全市环境管控单元数量由原有的82个调整至83个。</w:t>
                  </w:r>
                </w:p>
                <w:p w14:paraId="1DB66B3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优先保护单元：个数不变；面积占比由49、90%调整49、68%，较原有减少0、22%。</w:t>
                  </w:r>
                </w:p>
                <w:p w14:paraId="163FCEC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重点管控单元：增加1个；面积占比由14、28%调整为9、57%，较原有减少4、71%。</w:t>
                  </w:r>
                </w:p>
                <w:p w14:paraId="718FC67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一般管控单元：个数不变；面积占比由35、82%调整40、75%，较原有增加4、93%。</w:t>
                  </w:r>
                </w:p>
              </w:tc>
              <w:tc>
                <w:tcPr>
                  <w:tcW w:w="2940" w:type="dxa"/>
                  <w:vAlign w:val="center"/>
                </w:tcPr>
                <w:p w14:paraId="7F04E9D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sz w:val="21"/>
                      <w:szCs w:val="21"/>
                      <w:lang w:val="en-US" w:eastAsia="zh-CN"/>
                    </w:rPr>
                  </w:pPr>
                  <w:r>
                    <w:rPr>
                      <w:rFonts w:hint="eastAsia" w:ascii="Times New Roman" w:eastAsia="宋体"/>
                      <w:color w:val="auto"/>
                      <w:sz w:val="21"/>
                      <w:szCs w:val="21"/>
                      <w:lang w:val="en-US" w:eastAsia="zh-CN"/>
                    </w:rPr>
                    <w:t>项目位于</w:t>
                  </w:r>
                  <w:r>
                    <w:rPr>
                      <w:rFonts w:hint="default" w:ascii="Times New Roman" w:hAnsi="Times New Roman" w:eastAsia="宋体" w:cs="Times New Roman"/>
                      <w:color w:val="auto"/>
                      <w:sz w:val="21"/>
                      <w:szCs w:val="21"/>
                      <w:lang w:eastAsia="zh-CN"/>
                    </w:rPr>
                    <w:t>云南省玉溪市江川区龙泉工业园区</w:t>
                  </w:r>
                  <w:r>
                    <w:rPr>
                      <w:rFonts w:hint="eastAsia" w:ascii="Times New Roman" w:eastAsia="宋体"/>
                      <w:color w:val="auto"/>
                      <w:sz w:val="21"/>
                      <w:szCs w:val="21"/>
                      <w:lang w:val="en-US" w:eastAsia="zh-CN"/>
                    </w:rPr>
                    <w:t>，</w:t>
                  </w:r>
                  <w:r>
                    <w:rPr>
                      <w:rFonts w:hint="eastAsia" w:cs="Times New Roman"/>
                      <w:color w:val="auto"/>
                      <w:sz w:val="21"/>
                      <w:szCs w:val="21"/>
                      <w:lang w:val="en-US" w:eastAsia="zh-CN"/>
                    </w:rPr>
                    <w:t>通过国有建设用地使用权出让的方式取得了玉溪市玉溪高新技术产业开发区龙泉片区一块6.6668公顷的工业用地</w:t>
                  </w:r>
                  <w:r>
                    <w:rPr>
                      <w:rFonts w:hint="eastAsia" w:ascii="Times New Roman" w:eastAsia="宋体"/>
                      <w:color w:val="auto"/>
                      <w:sz w:val="21"/>
                      <w:szCs w:val="21"/>
                      <w:lang w:val="en-US" w:eastAsia="zh-CN"/>
                    </w:rPr>
                    <w:t>，不在生态红线范围内</w:t>
                  </w:r>
                  <w:r>
                    <w:rPr>
                      <w:rFonts w:hint="default"/>
                      <w:color w:val="auto"/>
                      <w:sz w:val="21"/>
                      <w:szCs w:val="21"/>
                      <w:lang w:val="en-US" w:eastAsia="zh-CN"/>
                    </w:rPr>
                    <w:t>，</w:t>
                  </w:r>
                  <w:r>
                    <w:rPr>
                      <w:rFonts w:hint="eastAsia"/>
                      <w:color w:val="auto"/>
                      <w:sz w:val="21"/>
                      <w:szCs w:val="21"/>
                      <w:lang w:val="en-US" w:eastAsia="zh-CN"/>
                    </w:rPr>
                    <w:t>分区管控调整后项目位</w:t>
                  </w:r>
                  <w:r>
                    <w:rPr>
                      <w:rFonts w:hint="default"/>
                      <w:color w:val="auto"/>
                      <w:sz w:val="21"/>
                      <w:szCs w:val="21"/>
                      <w:lang w:val="en-US" w:eastAsia="zh-CN"/>
                    </w:rPr>
                    <w:t>于</w:t>
                  </w:r>
                  <w:r>
                    <w:rPr>
                      <w:rFonts w:hint="eastAsia" w:ascii="Times New Roman" w:hAnsi="Times New Roman" w:eastAsia="宋体" w:cs="Times New Roman"/>
                      <w:b w:val="0"/>
                      <w:bCs w:val="0"/>
                      <w:color w:val="auto"/>
                      <w:sz w:val="21"/>
                      <w:szCs w:val="21"/>
                      <w:lang w:val="en-US" w:eastAsia="zh-CN"/>
                    </w:rPr>
                    <w:t>江川区产业园区重点管控单元</w:t>
                  </w:r>
                  <w:r>
                    <w:rPr>
                      <w:rFonts w:hint="default"/>
                      <w:b w:val="0"/>
                      <w:bCs w:val="0"/>
                      <w:color w:val="auto"/>
                      <w:sz w:val="21"/>
                      <w:szCs w:val="21"/>
                      <w:lang w:val="en-US" w:eastAsia="zh-CN"/>
                    </w:rPr>
                    <w:t>。</w:t>
                  </w:r>
                </w:p>
              </w:tc>
              <w:tc>
                <w:tcPr>
                  <w:tcW w:w="915" w:type="dxa"/>
                  <w:vAlign w:val="center"/>
                </w:tcPr>
                <w:p w14:paraId="43EEA06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cs="Times New Roman"/>
                      <w:b/>
                      <w:bCs/>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lang w:val="en-US" w:eastAsia="zh-CN"/>
                    </w:rPr>
                    <w:t>符合</w:t>
                  </w:r>
                </w:p>
              </w:tc>
            </w:tr>
            <w:tr w14:paraId="7F0B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3" w:type="dxa"/>
                  <w:gridSpan w:val="4"/>
                  <w:vAlign w:val="center"/>
                </w:tcPr>
                <w:p w14:paraId="2E3A43A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bCs/>
                      <w:color w:val="auto"/>
                      <w:sz w:val="21"/>
                      <w:szCs w:val="21"/>
                      <w:lang w:val="en-US" w:eastAsia="zh-CN"/>
                    </w:rPr>
                    <w:t>江川区产业园区重点管控单元</w:t>
                  </w:r>
                  <w:r>
                    <w:rPr>
                      <w:rFonts w:hint="eastAsia" w:cs="Times New Roman"/>
                      <w:b/>
                      <w:bCs/>
                      <w:color w:val="auto"/>
                      <w:sz w:val="21"/>
                      <w:szCs w:val="21"/>
                      <w:lang w:val="en-US" w:eastAsia="zh-CN"/>
                    </w:rPr>
                    <w:t>符合性分析</w:t>
                  </w:r>
                </w:p>
              </w:tc>
            </w:tr>
            <w:tr w14:paraId="423C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501764E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空间布局约束</w:t>
                  </w:r>
                </w:p>
              </w:tc>
              <w:tc>
                <w:tcPr>
                  <w:tcW w:w="4117" w:type="dxa"/>
                  <w:vAlign w:val="center"/>
                </w:tcPr>
                <w:p w14:paraId="337E4CD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1、合理规划产业分区和功能定位，禁止不符合产业政策、产业结构调整指导目录和园区规划要求的项目入园区。新能源新材料及锂电池产业布局产业链后端的高新产业，禁止激光视盘机生产线、专业电镀、铅酸蓄电池等产业入驻。烟草、装备制造、金属冶炼及制品延伸下游产业。禁止布局高耗能、高排放、高耗水项目。禁止布局以煤炭、焦炭等高污染燃料为主要能源的企业。禁止布局电子化工等相关产业，禁止外排生产废水企业入驻。</w:t>
                  </w:r>
                </w:p>
                <w:p w14:paraId="0605ABC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2、规划用地以一类工业用地为主，禁止布局三类工业用地。</w:t>
                  </w:r>
                </w:p>
                <w:p w14:paraId="0A18E68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3、严格落实防护距离要求，距离村庄较近的项目应设置不少于50米的防护距离。</w:t>
                  </w:r>
                </w:p>
                <w:p w14:paraId="4965E32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4、严格遵守《云南省星云湖保护条例》相关要求，严守星云湖“两线三区”控制要求，禁止新建、改建、扩建严重污染环境、破坏生态的项目。渔村河、小街河、周官河河道25米范围内划为禁建区，禁止开发建设。</w:t>
                  </w:r>
                </w:p>
              </w:tc>
              <w:tc>
                <w:tcPr>
                  <w:tcW w:w="2940" w:type="dxa"/>
                  <w:vAlign w:val="center"/>
                </w:tcPr>
                <w:p w14:paraId="69FF47B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kern w:val="0"/>
                      <w:sz w:val="21"/>
                      <w:szCs w:val="21"/>
                      <w:lang w:eastAsia="zh-CN"/>
                    </w:rPr>
                  </w:pPr>
                  <w:r>
                    <w:rPr>
                      <w:rFonts w:hint="eastAsia"/>
                      <w:color w:val="auto"/>
                      <w:sz w:val="21"/>
                      <w:szCs w:val="21"/>
                      <w:lang w:val="en-US" w:eastAsia="zh-CN"/>
                    </w:rPr>
                    <w:t>1、本项目属于</w:t>
                  </w:r>
                  <w:r>
                    <w:rPr>
                      <w:rFonts w:hint="eastAsia" w:cs="Times New Roman"/>
                      <w:color w:val="auto"/>
                      <w:sz w:val="21"/>
                      <w:szCs w:val="21"/>
                      <w:lang w:val="en-US" w:eastAsia="zh-CN"/>
                    </w:rPr>
                    <w:t>锂电池产业，不属于激光视盘机生产线、专业电镀、铅酸蓄电池、金属冶炼及制品延伸下游产业等禁止产业，符合园区规划；星链正储(玉溪)新能源科技有限公司</w:t>
                  </w:r>
                  <w:r>
                    <w:rPr>
                      <w:rFonts w:hint="eastAsia"/>
                      <w:color w:val="auto"/>
                      <w:sz w:val="21"/>
                      <w:szCs w:val="21"/>
                      <w:lang w:val="en-US" w:eastAsia="zh-CN"/>
                    </w:rPr>
                    <w:t>于</w:t>
                  </w:r>
                  <w:r>
                    <w:rPr>
                      <w:rFonts w:hint="eastAsia" w:cs="Times New Roman"/>
                      <w:color w:val="auto"/>
                      <w:sz w:val="21"/>
                      <w:szCs w:val="21"/>
                      <w:lang w:val="en-US" w:eastAsia="zh-CN"/>
                    </w:rPr>
                    <w:t>2024年3月28日</w:t>
                  </w:r>
                  <w:r>
                    <w:rPr>
                      <w:rFonts w:hint="default" w:ascii="Times New Roman" w:hAnsi="Times New Roman" w:eastAsia="宋体" w:cs="Times New Roman"/>
                      <w:color w:val="auto"/>
                      <w:sz w:val="21"/>
                      <w:szCs w:val="21"/>
                      <w:lang w:val="en-US" w:eastAsia="zh-CN"/>
                    </w:rPr>
                    <w:t>取得了玉溪高新技术产业开发区管理委员会出具的项目投资备案证，文号：玉</w:t>
                  </w:r>
                  <w:r>
                    <w:rPr>
                      <w:rFonts w:hint="eastAsia" w:cs="Times New Roman"/>
                      <w:color w:val="auto"/>
                      <w:sz w:val="21"/>
                      <w:szCs w:val="21"/>
                      <w:lang w:val="en-US" w:eastAsia="zh-CN"/>
                    </w:rPr>
                    <w:t>高开委发备案</w:t>
                  </w:r>
                  <w:r>
                    <w:rPr>
                      <w:rFonts w:hint="default" w:ascii="Times New Roman" w:hAnsi="Times New Roman" w:eastAsia="宋体" w:cs="Times New Roman"/>
                      <w:color w:val="auto"/>
                      <w:sz w:val="21"/>
                      <w:szCs w:val="21"/>
                      <w:lang w:val="en-US" w:eastAsia="zh-CN"/>
                    </w:rPr>
                    <w:t>[202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13</w:t>
                  </w:r>
                  <w:r>
                    <w:rPr>
                      <w:rFonts w:hint="default" w:ascii="Times New Roman" w:hAnsi="Times New Roman" w:eastAsia="宋体" w:cs="Times New Roman"/>
                      <w:color w:val="auto"/>
                      <w:sz w:val="21"/>
                      <w:szCs w:val="21"/>
                      <w:lang w:val="en-US" w:eastAsia="zh-CN"/>
                    </w:rPr>
                    <w:t>号</w:t>
                  </w:r>
                  <w:r>
                    <w:rPr>
                      <w:rFonts w:hint="eastAsia" w:cs="Times New Roman"/>
                      <w:color w:val="auto"/>
                      <w:sz w:val="21"/>
                      <w:szCs w:val="21"/>
                      <w:lang w:val="en-US" w:eastAsia="zh-CN"/>
                    </w:rPr>
                    <w:t>，同意项目选址和入住，同时</w:t>
                  </w:r>
                  <w:r>
                    <w:rPr>
                      <w:rFonts w:hint="eastAsia"/>
                      <w:color w:val="auto"/>
                      <w:sz w:val="21"/>
                      <w:szCs w:val="21"/>
                      <w:lang w:val="en-US" w:eastAsia="zh-CN"/>
                    </w:rPr>
                    <w:t>符合</w:t>
                  </w:r>
                  <w:r>
                    <w:rPr>
                      <w:rFonts w:hint="eastAsia"/>
                      <w:color w:val="auto"/>
                      <w:kern w:val="0"/>
                      <w:sz w:val="21"/>
                      <w:szCs w:val="21"/>
                    </w:rPr>
                    <w:t>国家相关产业政策和相关规划</w:t>
                  </w:r>
                  <w:r>
                    <w:rPr>
                      <w:rFonts w:hint="eastAsia"/>
                      <w:color w:val="auto"/>
                      <w:kern w:val="0"/>
                      <w:sz w:val="21"/>
                      <w:szCs w:val="21"/>
                      <w:lang w:eastAsia="zh-CN"/>
                    </w:rPr>
                    <w:t>。</w:t>
                  </w:r>
                </w:p>
                <w:p w14:paraId="7C73DDD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kern w:val="0"/>
                      <w:sz w:val="21"/>
                      <w:szCs w:val="21"/>
                      <w:lang w:val="en-US" w:eastAsia="zh-CN"/>
                    </w:rPr>
                  </w:pPr>
                  <w:r>
                    <w:rPr>
                      <w:rFonts w:hint="eastAsia"/>
                      <w:color w:val="auto"/>
                      <w:kern w:val="0"/>
                      <w:sz w:val="21"/>
                      <w:szCs w:val="21"/>
                      <w:lang w:val="en-US" w:eastAsia="zh-CN"/>
                    </w:rPr>
                    <w:t>2、本项目所在园区无三类工业用地规划布局，为二类工业用地。</w:t>
                  </w:r>
                </w:p>
                <w:p w14:paraId="0E69D3D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kern w:val="0"/>
                      <w:sz w:val="21"/>
                      <w:szCs w:val="21"/>
                      <w:lang w:val="en-US" w:eastAsia="zh-CN"/>
                    </w:rPr>
                  </w:pPr>
                  <w:r>
                    <w:rPr>
                      <w:rFonts w:hint="eastAsia"/>
                      <w:color w:val="auto"/>
                      <w:kern w:val="0"/>
                      <w:sz w:val="21"/>
                      <w:szCs w:val="21"/>
                      <w:lang w:val="en-US" w:eastAsia="zh-CN"/>
                    </w:rPr>
                    <w:t>3、本项目附近500m范围内无居民区。</w:t>
                  </w:r>
                </w:p>
                <w:p w14:paraId="0293B19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color w:val="auto"/>
                      <w:kern w:val="0"/>
                      <w:sz w:val="21"/>
                      <w:szCs w:val="21"/>
                      <w:lang w:val="en-US" w:eastAsia="zh-CN"/>
                    </w:rPr>
                  </w:pPr>
                  <w:r>
                    <w:rPr>
                      <w:rFonts w:hint="eastAsia"/>
                      <w:color w:val="auto"/>
                      <w:kern w:val="0"/>
                      <w:sz w:val="21"/>
                      <w:szCs w:val="21"/>
                      <w:lang w:val="en-US" w:eastAsia="zh-CN"/>
                    </w:rPr>
                    <w:t>4、本项目位于星云湖绿色发展期，不属于</w:t>
                  </w:r>
                  <w:r>
                    <w:rPr>
                      <w:rFonts w:hint="eastAsia" w:cs="Times New Roman"/>
                      <w:color w:val="auto"/>
                      <w:sz w:val="21"/>
                      <w:szCs w:val="21"/>
                      <w:lang w:val="en-US" w:eastAsia="zh-CN"/>
                    </w:rPr>
                    <w:t>严重污染环境、破坏生态的项目；不在渔村河、小街河、周官河河道两侧25米禁建范围内。</w:t>
                  </w:r>
                </w:p>
              </w:tc>
              <w:tc>
                <w:tcPr>
                  <w:tcW w:w="915" w:type="dxa"/>
                  <w:vAlign w:val="center"/>
                </w:tcPr>
                <w:p w14:paraId="384E6F5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cs="Times New Roman"/>
                      <w:b/>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符合</w:t>
                  </w:r>
                </w:p>
              </w:tc>
            </w:tr>
            <w:tr w14:paraId="6219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70F38ED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污染物排放管控</w:t>
                  </w:r>
                </w:p>
              </w:tc>
              <w:tc>
                <w:tcPr>
                  <w:tcW w:w="4117" w:type="dxa"/>
                  <w:vAlign w:val="center"/>
                </w:tcPr>
                <w:p w14:paraId="77694FB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1、加强控制颗粒物的排放。</w:t>
                  </w:r>
                </w:p>
                <w:p w14:paraId="563329B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2、园区禁止废水外排，生产废水不排出企业，生活污水不排出园区。</w:t>
                  </w:r>
                </w:p>
                <w:p w14:paraId="05E1A92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3、禁止产生大宗固废，入驻项目需配套建设大宗固废处置设施。</w:t>
                  </w:r>
                </w:p>
                <w:p w14:paraId="170F820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4、龙泉片区位于星云湖汇水区域内，禁止贮存、堆放可能造成水体污染的固体废弃物和其他污染物。</w:t>
                  </w:r>
                </w:p>
                <w:p w14:paraId="70929C3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5、园区主要交通干道两侧与居住区之间应保持30米以上的退让距离。</w:t>
                  </w:r>
                </w:p>
                <w:p w14:paraId="1800C94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6、禁止在居民区、学校、医疗和养老机构周边新建、改建、扩建可能造成土壤污染的项目。</w:t>
                  </w:r>
                </w:p>
              </w:tc>
              <w:tc>
                <w:tcPr>
                  <w:tcW w:w="2940" w:type="dxa"/>
                  <w:vAlign w:val="center"/>
                </w:tcPr>
                <w:p w14:paraId="5445173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1、</w:t>
                  </w:r>
                  <w:r>
                    <w:rPr>
                      <w:rFonts w:hint="eastAsia" w:cs="Times New Roman"/>
                      <w:color w:val="auto"/>
                      <w:sz w:val="21"/>
                      <w:szCs w:val="21"/>
                      <w:lang w:eastAsia="zh-CN"/>
                    </w:rPr>
                    <w:t>投料粉尘经设备自带布袋除尘器收集处理后，</w:t>
                  </w:r>
                  <w:r>
                    <w:rPr>
                      <w:rFonts w:hint="eastAsia" w:cs="Times New Roman"/>
                      <w:color w:val="auto"/>
                      <w:sz w:val="21"/>
                      <w:szCs w:val="21"/>
                      <w:lang w:val="en-US" w:eastAsia="zh-CN"/>
                    </w:rPr>
                    <w:t>通过25m高的排气筒DA005排放</w:t>
                  </w:r>
                  <w:r>
                    <w:rPr>
                      <w:rFonts w:hint="eastAsia" w:cs="Times New Roman"/>
                      <w:color w:val="auto"/>
                      <w:sz w:val="21"/>
                      <w:szCs w:val="21"/>
                      <w:lang w:eastAsia="zh-CN"/>
                    </w:rPr>
                    <w:t>；涂布、烘干装置为封闭系统，产生的废气经NMP回收装置“二级冷凝+转轮活性炭吸附再生”（TA001）处理后由25m高排气筒（DA001）排放；</w:t>
                  </w:r>
                  <w:r>
                    <w:rPr>
                      <w:rFonts w:hint="eastAsia" w:cs="Times New Roman"/>
                      <w:b w:val="0"/>
                      <w:bCs/>
                      <w:color w:val="auto"/>
                      <w:sz w:val="21"/>
                      <w:szCs w:val="21"/>
                      <w:lang w:val="en-US"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食堂油烟净化器</w:t>
                  </w:r>
                  <w:r>
                    <w:rPr>
                      <w:rFonts w:hint="eastAsia" w:ascii="Times New Roman" w:hAnsi="Times New Roman" w:eastAsia="宋体" w:cs="Times New Roman"/>
                      <w:color w:val="auto"/>
                      <w:sz w:val="21"/>
                      <w:szCs w:val="21"/>
                      <w:lang w:val="en-US" w:eastAsia="zh-CN"/>
                    </w:rPr>
                    <w:t>净化后从房顶排出；</w:t>
                  </w:r>
                  <w:r>
                    <w:rPr>
                      <w:rFonts w:hint="default" w:ascii="Times New Roman" w:hAnsi="Times New Roman" w:eastAsia="宋体" w:cs="Times New Roman"/>
                      <w:b w:val="0"/>
                      <w:bCs/>
                      <w:color w:val="auto"/>
                      <w:sz w:val="21"/>
                      <w:szCs w:val="21"/>
                      <w:lang w:val="en-US" w:eastAsia="zh-CN"/>
                    </w:rPr>
                    <w:t>配料、制浆、涂布和NMP回收装置均为密闭结构。装置缝隙以及中转罐浆料转移、NMP回收液收集储存过程中有微量NMP无组织排放</w:t>
                  </w:r>
                  <w:r>
                    <w:rPr>
                      <w:rFonts w:hint="eastAsia"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分切、模切</w:t>
                  </w:r>
                  <w:r>
                    <w:rPr>
                      <w:rFonts w:hint="default" w:ascii="Times New Roman" w:hAnsi="Times New Roman" w:eastAsia="宋体" w:cs="Times New Roman"/>
                      <w:b w:val="0"/>
                      <w:bCs/>
                      <w:color w:val="auto"/>
                      <w:sz w:val="21"/>
                      <w:szCs w:val="21"/>
                      <w:lang w:val="en-US" w:eastAsia="zh-CN"/>
                    </w:rPr>
                    <w:t>时有正负极片的浮粉抖落，分条机均设置真空吸尘装置</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本项目采用激光焊接对电池钢壳进行点焊焊接，不使用焊丝，基本不产生烟尘</w:t>
                  </w:r>
                  <w:r>
                    <w:rPr>
                      <w:rFonts w:hint="eastAsia" w:ascii="Times New Roman" w:hAnsi="Times New Roman" w:eastAsia="宋体" w:cs="Times New Roman"/>
                      <w:b w:val="0"/>
                      <w:bCs/>
                      <w:color w:val="auto"/>
                      <w:sz w:val="21"/>
                      <w:szCs w:val="21"/>
                      <w:lang w:val="en-US" w:eastAsia="zh-CN"/>
                    </w:rPr>
                    <w:t>；本项目废气</w:t>
                  </w:r>
                  <w:r>
                    <w:rPr>
                      <w:rFonts w:hint="default" w:ascii="Times New Roman" w:hAnsi="Times New Roman" w:eastAsia="宋体" w:cs="Times New Roman"/>
                      <w:color w:val="auto"/>
                      <w:kern w:val="0"/>
                      <w:sz w:val="21"/>
                      <w:szCs w:val="21"/>
                      <w:lang w:val="en-US" w:eastAsia="zh-CN"/>
                    </w:rPr>
                    <w:t>对环境影响较小</w:t>
                  </w:r>
                  <w:r>
                    <w:rPr>
                      <w:rFonts w:hint="eastAsia"/>
                      <w:color w:val="auto"/>
                      <w:sz w:val="21"/>
                      <w:szCs w:val="21"/>
                      <w:lang w:val="en-US" w:eastAsia="zh-CN"/>
                    </w:rPr>
                    <w:t>。</w:t>
                  </w:r>
                </w:p>
                <w:p w14:paraId="2006339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2、</w:t>
                  </w: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w:t>
                  </w:r>
                  <w:r>
                    <w:rPr>
                      <w:rFonts w:hint="eastAsia"/>
                      <w:color w:val="auto"/>
                      <w:sz w:val="21"/>
                      <w:szCs w:val="21"/>
                      <w:lang w:val="en-US" w:eastAsia="zh-CN"/>
                    </w:rPr>
                    <w:t>。</w:t>
                  </w:r>
                </w:p>
                <w:p w14:paraId="114BE73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3、本项目不涉及；</w:t>
                  </w:r>
                </w:p>
                <w:p w14:paraId="062CB97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4、本项目不涉及；</w:t>
                  </w:r>
                </w:p>
                <w:p w14:paraId="4DB67D5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5、本项目不涉及；</w:t>
                  </w:r>
                </w:p>
                <w:p w14:paraId="5F03315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6、本项目不涉及。</w:t>
                  </w:r>
                </w:p>
              </w:tc>
              <w:tc>
                <w:tcPr>
                  <w:tcW w:w="915" w:type="dxa"/>
                  <w:vAlign w:val="center"/>
                </w:tcPr>
                <w:p w14:paraId="50AAA46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CA3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3021B09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环境风险防控</w:t>
                  </w:r>
                </w:p>
              </w:tc>
              <w:tc>
                <w:tcPr>
                  <w:tcW w:w="4117" w:type="dxa"/>
                  <w:vAlign w:val="center"/>
                </w:tcPr>
                <w:p w14:paraId="46DE4C9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1、禁止布局重大环境风险源。</w:t>
                  </w:r>
                </w:p>
                <w:p w14:paraId="19471FA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2、园区不宜布置日常储量构成重大危险源的使用危险化学品的项目。</w:t>
                  </w:r>
                </w:p>
                <w:p w14:paraId="1FE55F6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3、注重危险化学品的贮存和风险防范，其最大可信事故半致死浓度范围内不得有居民点存在。</w:t>
                  </w:r>
                </w:p>
                <w:p w14:paraId="1AD79DD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4、对于进驻园区项目在选址布局时要充分考虑卫生防护距离和安全防护距离的求。</w:t>
                  </w:r>
                </w:p>
                <w:p w14:paraId="7321851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5、制定突发环境事件应急预案，完善风险管理机制，加强风险控制防范。建立区域环境监测制度，加强规划实施的跟踪监测与管理。</w:t>
                  </w:r>
                </w:p>
              </w:tc>
              <w:tc>
                <w:tcPr>
                  <w:tcW w:w="2940" w:type="dxa"/>
                  <w:vAlign w:val="center"/>
                </w:tcPr>
                <w:p w14:paraId="737BBE9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s="Times New Roman"/>
                      <w:color w:val="auto"/>
                      <w:sz w:val="21"/>
                      <w:szCs w:val="21"/>
                      <w:lang w:val="en-US" w:eastAsia="zh-CN"/>
                    </w:rPr>
                  </w:pPr>
                  <w:r>
                    <w:rPr>
                      <w:rFonts w:hint="eastAsia"/>
                      <w:color w:val="auto"/>
                      <w:sz w:val="21"/>
                      <w:szCs w:val="21"/>
                      <w:lang w:val="en-US" w:eastAsia="zh-CN"/>
                    </w:rPr>
                    <w:t>1、本项目Q＜1，不构成</w:t>
                  </w:r>
                  <w:r>
                    <w:rPr>
                      <w:rFonts w:hint="eastAsia" w:cs="Times New Roman"/>
                      <w:color w:val="auto"/>
                      <w:sz w:val="21"/>
                      <w:szCs w:val="21"/>
                      <w:lang w:val="en-US" w:eastAsia="zh-CN"/>
                    </w:rPr>
                    <w:t>重大环境风险源；</w:t>
                  </w:r>
                </w:p>
                <w:p w14:paraId="4CE8E57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s="Times New Roman"/>
                      <w:color w:val="auto"/>
                      <w:sz w:val="21"/>
                      <w:szCs w:val="21"/>
                      <w:lang w:val="en-US" w:eastAsia="zh-CN"/>
                    </w:rPr>
                  </w:pPr>
                  <w:r>
                    <w:rPr>
                      <w:rFonts w:hint="eastAsia" w:cs="Times New Roman"/>
                      <w:color w:val="auto"/>
                      <w:sz w:val="21"/>
                      <w:szCs w:val="21"/>
                      <w:lang w:val="en-US" w:eastAsia="zh-CN"/>
                    </w:rPr>
                    <w:t>2、本项目不涉及；</w:t>
                  </w:r>
                </w:p>
                <w:p w14:paraId="1D88050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eastAsia"/>
                      <w:color w:val="auto"/>
                      <w:kern w:val="0"/>
                      <w:sz w:val="21"/>
                      <w:szCs w:val="21"/>
                    </w:rPr>
                  </w:pPr>
                  <w:r>
                    <w:rPr>
                      <w:rFonts w:hint="eastAsia" w:cs="Times New Roman"/>
                      <w:color w:val="auto"/>
                      <w:sz w:val="21"/>
                      <w:szCs w:val="21"/>
                      <w:lang w:val="en-US" w:eastAsia="zh-CN"/>
                    </w:rPr>
                    <w:t>3、根据</w:t>
                  </w:r>
                  <w:r>
                    <w:rPr>
                      <w:color w:val="auto"/>
                      <w:sz w:val="21"/>
                      <w:szCs w:val="21"/>
                    </w:rPr>
                    <w:t>《建设项目环境风险评价技术导则》（HJ169—2018）</w:t>
                  </w:r>
                  <w:r>
                    <w:rPr>
                      <w:rFonts w:hint="eastAsia"/>
                      <w:color w:val="auto"/>
                      <w:sz w:val="21"/>
                      <w:szCs w:val="21"/>
                      <w:lang w:val="en-US" w:eastAsia="zh-CN"/>
                    </w:rPr>
                    <w:t>本项目Q小于1，风险评价等级为简单分析，不存在</w:t>
                  </w:r>
                  <w:r>
                    <w:rPr>
                      <w:rFonts w:hint="eastAsia" w:cs="Times New Roman"/>
                      <w:color w:val="auto"/>
                      <w:sz w:val="21"/>
                      <w:szCs w:val="21"/>
                      <w:lang w:val="en-US" w:eastAsia="zh-CN"/>
                    </w:rPr>
                    <w:t>最大可信事故半致死浓度范围内有居民区的可能</w:t>
                  </w:r>
                  <w:r>
                    <w:rPr>
                      <w:rFonts w:hint="eastAsia"/>
                      <w:color w:val="auto"/>
                      <w:kern w:val="0"/>
                      <w:sz w:val="21"/>
                      <w:szCs w:val="21"/>
                    </w:rPr>
                    <w:t>。</w:t>
                  </w:r>
                </w:p>
                <w:p w14:paraId="49BAB08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cs="Times New Roman"/>
                      <w:color w:val="auto"/>
                      <w:sz w:val="21"/>
                      <w:szCs w:val="21"/>
                      <w:lang w:val="en-US" w:eastAsia="zh-CN"/>
                    </w:rPr>
                  </w:pPr>
                  <w:r>
                    <w:rPr>
                      <w:rFonts w:hint="eastAsia"/>
                      <w:color w:val="auto"/>
                      <w:kern w:val="0"/>
                      <w:sz w:val="21"/>
                      <w:szCs w:val="21"/>
                      <w:lang w:val="en-US" w:eastAsia="zh-CN"/>
                    </w:rPr>
                    <w:t>4、</w:t>
                  </w:r>
                  <w:r>
                    <w:rPr>
                      <w:rFonts w:hint="eastAsia" w:cs="Times New Roman"/>
                      <w:color w:val="auto"/>
                      <w:sz w:val="21"/>
                      <w:szCs w:val="21"/>
                      <w:lang w:val="en-US" w:eastAsia="zh-CN"/>
                    </w:rPr>
                    <w:t>由于项目500m范围内无居民区满足卫生和安全防护距离要求。</w:t>
                  </w:r>
                </w:p>
                <w:p w14:paraId="6C99D5C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5、</w:t>
                  </w:r>
                  <w:r>
                    <w:rPr>
                      <w:rFonts w:hint="eastAsia"/>
                      <w:color w:val="auto"/>
                      <w:sz w:val="21"/>
                      <w:szCs w:val="21"/>
                    </w:rPr>
                    <w:t>本环评要求项目建成后及时编制突发环境事件应急预案</w:t>
                  </w:r>
                  <w:r>
                    <w:rPr>
                      <w:rFonts w:hint="eastAsia"/>
                      <w:color w:val="auto"/>
                      <w:sz w:val="21"/>
                      <w:szCs w:val="21"/>
                      <w:lang w:eastAsia="zh-CN"/>
                    </w:rPr>
                    <w:t>；</w:t>
                  </w:r>
                  <w:r>
                    <w:rPr>
                      <w:color w:val="auto"/>
                      <w:sz w:val="21"/>
                      <w:szCs w:val="21"/>
                    </w:rPr>
                    <w:t>建立区域环境监测制度，</w:t>
                  </w:r>
                  <w:r>
                    <w:rPr>
                      <w:rFonts w:hint="eastAsia"/>
                      <w:color w:val="auto"/>
                      <w:sz w:val="21"/>
                      <w:szCs w:val="21"/>
                      <w:lang w:val="en-US" w:eastAsia="zh-CN"/>
                    </w:rPr>
                    <w:t>编制自行监测方案，委托具有资质的第三方开展监测；依法申请全国排污许可证，</w:t>
                  </w:r>
                  <w:r>
                    <w:rPr>
                      <w:color w:val="auto"/>
                      <w:sz w:val="21"/>
                      <w:szCs w:val="21"/>
                    </w:rPr>
                    <w:t>加强规划实施的跟踪监测与管理</w:t>
                  </w:r>
                  <w:r>
                    <w:rPr>
                      <w:rFonts w:hint="eastAsia"/>
                      <w:color w:val="auto"/>
                      <w:sz w:val="21"/>
                      <w:szCs w:val="21"/>
                      <w:lang w:eastAsia="zh-CN"/>
                    </w:rPr>
                    <w:t>，</w:t>
                  </w:r>
                  <w:r>
                    <w:rPr>
                      <w:rFonts w:hint="eastAsia"/>
                      <w:color w:val="auto"/>
                      <w:sz w:val="21"/>
                      <w:szCs w:val="21"/>
                      <w:lang w:val="en-US" w:eastAsia="zh-CN"/>
                    </w:rPr>
                    <w:t>实时上传执行报告公示。</w:t>
                  </w:r>
                </w:p>
              </w:tc>
              <w:tc>
                <w:tcPr>
                  <w:tcW w:w="915" w:type="dxa"/>
                  <w:vAlign w:val="center"/>
                </w:tcPr>
                <w:p w14:paraId="35483AE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02F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dxa"/>
                  <w:vAlign w:val="center"/>
                </w:tcPr>
                <w:p w14:paraId="69A5A53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资源开发效率要求</w:t>
                  </w:r>
                </w:p>
              </w:tc>
              <w:tc>
                <w:tcPr>
                  <w:tcW w:w="4117" w:type="dxa"/>
                  <w:vAlign w:val="center"/>
                </w:tcPr>
                <w:p w14:paraId="36F08C0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园区生活污水及工业污水集中处理率达到90%以上，再生水利用率达到30%，工业用水重复率不低于80%。</w:t>
                  </w:r>
                </w:p>
              </w:tc>
              <w:tc>
                <w:tcPr>
                  <w:tcW w:w="2940" w:type="dxa"/>
                  <w:vAlign w:val="center"/>
                </w:tcPr>
                <w:p w14:paraId="3FD8C76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color w:val="auto"/>
                      <w:sz w:val="21"/>
                      <w:szCs w:val="21"/>
                      <w:lang w:val="en-US" w:eastAsia="zh-CN"/>
                    </w:rPr>
                  </w:pP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w:t>
                  </w:r>
                  <w:r>
                    <w:rPr>
                      <w:rFonts w:hint="eastAsia"/>
                      <w:color w:val="auto"/>
                      <w:sz w:val="21"/>
                      <w:szCs w:val="21"/>
                      <w:lang w:val="en-US" w:eastAsia="zh-CN"/>
                    </w:rPr>
                    <w:t>。</w:t>
                  </w:r>
                </w:p>
              </w:tc>
              <w:tc>
                <w:tcPr>
                  <w:tcW w:w="915" w:type="dxa"/>
                  <w:vAlign w:val="center"/>
                </w:tcPr>
                <w:p w14:paraId="063F470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E4A9689">
            <w:pPr>
              <w:spacing w:line="360" w:lineRule="auto"/>
              <w:ind w:firstLine="422" w:firstLineChars="200"/>
              <w:jc w:val="left"/>
              <w:rPr>
                <w:rFonts w:hint="default" w:ascii="Times New Roman" w:hAnsi="Times New Roman" w:eastAsia="宋体" w:cs="Times New Roman"/>
                <w:color w:val="auto"/>
                <w:sz w:val="21"/>
                <w:szCs w:val="21"/>
              </w:rPr>
            </w:pPr>
            <w:bookmarkStart w:id="4" w:name="_Toc36123105"/>
            <w:r>
              <w:rPr>
                <w:rFonts w:hint="default" w:ascii="Times New Roman" w:hAnsi="Times New Roman" w:eastAsia="宋体" w:cs="Times New Roman"/>
                <w:b/>
                <w:bCs/>
                <w:color w:val="auto"/>
                <w:sz w:val="21"/>
                <w:szCs w:val="21"/>
                <w:lang w:val="en-US" w:eastAsia="zh-CN"/>
              </w:rPr>
              <w:t>5、</w:t>
            </w:r>
            <w:bookmarkEnd w:id="4"/>
            <w:r>
              <w:rPr>
                <w:rFonts w:hint="default" w:ascii="Times New Roman" w:hAnsi="Times New Roman" w:eastAsia="宋体" w:cs="Times New Roman"/>
                <w:b/>
                <w:color w:val="auto"/>
                <w:sz w:val="21"/>
                <w:szCs w:val="21"/>
              </w:rPr>
              <w:t>与《云南省星云湖保护条例》的符合性分析</w:t>
            </w:r>
          </w:p>
          <w:p w14:paraId="73E98068">
            <w:pPr>
              <w:widowControl w:val="0"/>
              <w:bidi w:val="0"/>
              <w:spacing w:line="360" w:lineRule="auto"/>
              <w:ind w:firstLine="420" w:firstLineChars="200"/>
              <w:jc w:val="both"/>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根据《</w:t>
            </w:r>
            <w:r>
              <w:rPr>
                <w:rFonts w:hint="default" w:ascii="Times New Roman" w:hAnsi="Times New Roman" w:eastAsia="宋体" w:cs="Times New Roman"/>
                <w:b w:val="0"/>
                <w:bCs w:val="0"/>
                <w:color w:val="auto"/>
                <w:kern w:val="2"/>
                <w:sz w:val="21"/>
                <w:szCs w:val="21"/>
                <w:lang w:val="en-US" w:eastAsia="zh-CN" w:bidi="ar-SA"/>
              </w:rPr>
              <w:t>云南省星云湖保护条例》（2023年9月23日云南省第十四届人民代表大会常务委员会第五次会议通过）相关内容，本项目与其符合性分析见下表所示：</w:t>
            </w:r>
          </w:p>
          <w:p w14:paraId="740E3C3B">
            <w:pPr>
              <w:widowControl w:val="0"/>
              <w:bidi w:val="0"/>
              <w:spacing w:before="25" w:beforeLines="25" w:after="25" w:afterLines="25"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7</w:t>
            </w:r>
            <w:r>
              <w:rPr>
                <w:rFonts w:hint="default" w:ascii="Times New Roman" w:hAnsi="Times New Roman" w:eastAsia="宋体" w:cs="Times New Roman"/>
                <w:b/>
                <w:bCs/>
                <w:color w:val="auto"/>
                <w:kern w:val="2"/>
                <w:sz w:val="21"/>
                <w:szCs w:val="21"/>
                <w:lang w:val="en-US" w:eastAsia="zh-CN" w:bidi="ar-SA"/>
              </w:rPr>
              <w:t>本项目与《云南省星云湖保护条例》符合性分析</w:t>
            </w:r>
          </w:p>
          <w:tbl>
            <w:tblPr>
              <w:tblStyle w:val="26"/>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655"/>
              <w:gridCol w:w="4519"/>
              <w:gridCol w:w="2162"/>
              <w:gridCol w:w="930"/>
            </w:tblGrid>
            <w:tr w14:paraId="2BE9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74FCFA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序号</w:t>
                  </w:r>
                </w:p>
              </w:tc>
              <w:tc>
                <w:tcPr>
                  <w:tcW w:w="5174" w:type="dxa"/>
                  <w:gridSpan w:val="2"/>
                  <w:vAlign w:val="center"/>
                </w:tcPr>
                <w:p w14:paraId="42721D9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《云南省星云湖保护条例》相关标准</w:t>
                  </w:r>
                </w:p>
              </w:tc>
              <w:tc>
                <w:tcPr>
                  <w:tcW w:w="2162" w:type="dxa"/>
                  <w:vAlign w:val="center"/>
                </w:tcPr>
                <w:p w14:paraId="6992205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本项目情况</w:t>
                  </w:r>
                </w:p>
              </w:tc>
              <w:tc>
                <w:tcPr>
                  <w:tcW w:w="930" w:type="dxa"/>
                  <w:vAlign w:val="center"/>
                </w:tcPr>
                <w:p w14:paraId="048CB90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14:paraId="2CBE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3CD7F7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1</w:t>
                  </w:r>
                </w:p>
              </w:tc>
              <w:tc>
                <w:tcPr>
                  <w:tcW w:w="655" w:type="dxa"/>
                  <w:vAlign w:val="center"/>
                </w:tcPr>
                <w:p w14:paraId="5BB3CAB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星云湖保护范围</w:t>
                  </w:r>
                </w:p>
              </w:tc>
              <w:tc>
                <w:tcPr>
                  <w:tcW w:w="4519" w:type="dxa"/>
                  <w:vAlign w:val="center"/>
                </w:tcPr>
                <w:p w14:paraId="6660614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星云湖按照划定的湖滨生态红线和湖泊生态黄线，确定生态保护核心区、生态保护缓冲区和绿色发展区。生态保护核心区是指湖滨生态红线以内的水域和陆域；生态保护缓冲区是指湖滨生态红线与湖泊生态黄线之间的区域；绿色发展区是指湖泊生态黄线与湖泊流域分水线之间的区域。</w:t>
                  </w:r>
                </w:p>
              </w:tc>
              <w:tc>
                <w:tcPr>
                  <w:tcW w:w="2162" w:type="dxa"/>
                  <w:vAlign w:val="center"/>
                </w:tcPr>
                <w:p w14:paraId="642AF02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本</w:t>
                  </w:r>
                  <w:r>
                    <w:rPr>
                      <w:rFonts w:hint="default" w:ascii="Times New Roman" w:hAnsi="Times New Roman" w:eastAsia="宋体" w:cs="Times New Roman"/>
                      <w:color w:val="auto"/>
                      <w:sz w:val="21"/>
                      <w:szCs w:val="21"/>
                      <w:lang w:val="en-US" w:eastAsia="zh-CN"/>
                    </w:rPr>
                    <w:t>根据《玉溪市人民政府关于印发云南省抚仙湖星云湖杞麓湖湖滨生态红线及湖泊生态黄线“两线”划定方案（精简版）的通知》（玉政发[2022]19号），项目位于</w:t>
                  </w:r>
                  <w:r>
                    <w:rPr>
                      <w:rFonts w:hint="eastAsia" w:cs="Times New Roman"/>
                      <w:color w:val="auto"/>
                      <w:sz w:val="21"/>
                      <w:szCs w:val="21"/>
                      <w:lang w:val="en-US" w:eastAsia="zh-CN"/>
                    </w:rPr>
                    <w:t>江川区龙泉工业园区</w:t>
                  </w:r>
                  <w:r>
                    <w:rPr>
                      <w:rFonts w:hint="default" w:ascii="Times New Roman" w:hAnsi="Times New Roman" w:eastAsia="宋体" w:cs="Times New Roman"/>
                      <w:color w:val="auto"/>
                      <w:sz w:val="21"/>
                      <w:szCs w:val="21"/>
                      <w:lang w:val="en-US" w:eastAsia="zh-CN"/>
                    </w:rPr>
                    <w:t>，属于星云湖流域，所在地距星云湖直线距离约为</w:t>
                  </w:r>
                  <w:r>
                    <w:rPr>
                      <w:rFonts w:hint="eastAsia" w:cs="Times New Roman"/>
                      <w:color w:val="auto"/>
                      <w:sz w:val="21"/>
                      <w:szCs w:val="21"/>
                      <w:lang w:val="en-US" w:eastAsia="zh-CN"/>
                    </w:rPr>
                    <w:t>3.82</w:t>
                  </w:r>
                  <w:r>
                    <w:rPr>
                      <w:rFonts w:hint="default" w:ascii="Times New Roman" w:hAnsi="Times New Roman" w:eastAsia="宋体" w:cs="Times New Roman"/>
                      <w:color w:val="auto"/>
                      <w:sz w:val="21"/>
                      <w:szCs w:val="21"/>
                      <w:lang w:val="en-US" w:eastAsia="zh-CN"/>
                    </w:rPr>
                    <w:t>km，位于绿色发展区，不在“两区两线”星云湖保护范围内（详见附件），则项目对星云湖“两区两线”范围内的环境的影响很小</w:t>
                  </w:r>
                  <w:r>
                    <w:rPr>
                      <w:rFonts w:hint="default" w:ascii="Times New Roman" w:hAnsi="Times New Roman" w:eastAsia="宋体" w:cs="Times New Roman"/>
                      <w:b w:val="0"/>
                      <w:bCs w:val="0"/>
                      <w:color w:val="auto"/>
                      <w:kern w:val="2"/>
                      <w:sz w:val="21"/>
                      <w:szCs w:val="21"/>
                      <w:vertAlign w:val="baseline"/>
                      <w:lang w:val="en-US" w:eastAsia="zh-CN" w:bidi="ar-SA"/>
                    </w:rPr>
                    <w:t>。详见附图。</w:t>
                  </w:r>
                </w:p>
              </w:tc>
              <w:tc>
                <w:tcPr>
                  <w:tcW w:w="930" w:type="dxa"/>
                  <w:vAlign w:val="center"/>
                </w:tcPr>
                <w:p w14:paraId="19AD8A2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符合</w:t>
                  </w:r>
                </w:p>
              </w:tc>
            </w:tr>
            <w:tr w14:paraId="123F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747068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2</w:t>
                  </w:r>
                </w:p>
              </w:tc>
              <w:tc>
                <w:tcPr>
                  <w:tcW w:w="655" w:type="dxa"/>
                  <w:vAlign w:val="center"/>
                </w:tcPr>
                <w:p w14:paraId="579C0DC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生态保护核心区内禁止行为</w:t>
                  </w:r>
                </w:p>
              </w:tc>
              <w:tc>
                <w:tcPr>
                  <w:tcW w:w="4519" w:type="dxa"/>
                  <w:vAlign w:val="center"/>
                </w:tcPr>
                <w:p w14:paraId="756E200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一）新建、改建、扩建建（构）筑物或者设施，符合本条例第十九条规定的除外；（二）新建排污口；（三）填湖，围湖造田、造地、建鱼塘，侵占或者损毁湖堤、护岸等侵占水体、缩小水面的行为；（四）网箱、围栏（网）养殖；（五）爆破、打井；（六）使用炸鱼、毒鱼、电鱼等破坏渔业资源的方法捕捞，使用禁用的渔具、捕捞方法或者不符合规定的网具捕捞；（七）违反规定垂钓；（八）在星云湖水体、入湖河道、湿地清洗车辆、宠物、畜禽、农产品、生产生活用具和其他可能污染水体的物品；（九）在划定区域外搭棚、摆摊、设点经营，烧烤、野炊；（十）燃放烟花爆竹和孔明灯、烧香烧纸；（十一）使用泡沫制品、轮胎等简易浮动设施载人入湖；（十二）擅自设立广告牌、宣传牌；（十三）在生态廊道内通行、停放机动车、电动车，但执法、应急救援等执行公务活动的车辆以及经批准的环保工程、养护和运营等车辆除外；（十四）生态保护缓冲区禁止的行为。</w:t>
                  </w:r>
                </w:p>
              </w:tc>
              <w:tc>
                <w:tcPr>
                  <w:tcW w:w="2162" w:type="dxa"/>
                  <w:vAlign w:val="center"/>
                </w:tcPr>
                <w:p w14:paraId="4C5C364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本项目不在核心区内，以上内容均不涉及。</w:t>
                  </w:r>
                </w:p>
              </w:tc>
              <w:tc>
                <w:tcPr>
                  <w:tcW w:w="930" w:type="dxa"/>
                  <w:vMerge w:val="restart"/>
                  <w:vAlign w:val="center"/>
                </w:tcPr>
                <w:p w14:paraId="5E609E81">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符合</w:t>
                  </w:r>
                </w:p>
              </w:tc>
            </w:tr>
            <w:tr w14:paraId="0E4D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8D10F5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3</w:t>
                  </w:r>
                </w:p>
              </w:tc>
              <w:tc>
                <w:tcPr>
                  <w:tcW w:w="655" w:type="dxa"/>
                  <w:vAlign w:val="center"/>
                </w:tcPr>
                <w:p w14:paraId="6CDB03E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生态保护缓冲区内禁止行为</w:t>
                  </w:r>
                </w:p>
              </w:tc>
              <w:tc>
                <w:tcPr>
                  <w:tcW w:w="4519" w:type="dxa"/>
                  <w:vAlign w:val="center"/>
                </w:tcPr>
                <w:p w14:paraId="360567C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（一）新建除城镇污水集中处理设施排污口外的排污口；（二）焚烧垃圾、秸秆；（三）损毁或者擅自移动界桩、星云湖保护相关标识标牌、环卫设施；（四）绿色发展区禁止的行为。</w:t>
                  </w:r>
                </w:p>
              </w:tc>
              <w:tc>
                <w:tcPr>
                  <w:tcW w:w="2162" w:type="dxa"/>
                  <w:vAlign w:val="center"/>
                </w:tcPr>
                <w:p w14:paraId="3E39B88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本项目不在星云湖保护缓冲区范围内，不新增污水排放口。</w:t>
                  </w:r>
                </w:p>
              </w:tc>
              <w:tc>
                <w:tcPr>
                  <w:tcW w:w="930" w:type="dxa"/>
                  <w:vMerge w:val="continue"/>
                  <w:vAlign w:val="center"/>
                </w:tcPr>
                <w:p w14:paraId="397FDEE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r>
            <w:tr w14:paraId="3511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FA46C7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4</w:t>
                  </w:r>
                </w:p>
              </w:tc>
              <w:tc>
                <w:tcPr>
                  <w:tcW w:w="655" w:type="dxa"/>
                  <w:vAlign w:val="center"/>
                </w:tcPr>
                <w:p w14:paraId="7CF2AC1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绿色发展区内禁止行为</w:t>
                  </w:r>
                </w:p>
              </w:tc>
              <w:tc>
                <w:tcPr>
                  <w:tcW w:w="4519" w:type="dxa"/>
                  <w:vAlign w:val="center"/>
                </w:tcPr>
                <w:p w14:paraId="5779FA1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left"/>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一）利用渗井、渗坑、裂隙，私设暗管，篡改、伪造监测数据，或者不正常运行水污染防治设施等逃避监管的方式排放水污染物；（二）向入湖河道、沟渠、城镇排水管网排放超过国家、地方水污染物排放标准或者超过重点水污染物排放总量控制指标的水污染物；（三）向入湖河道、沟渠、水库排放、倾倒、填埋油类、酸液、碱液、剧毒废液（渣）等；（四）在入湖河道、沟渠、水库最高水位线以下的滩地和岸坡倾倒、堆放、贮存、填埋固体废弃物或者其他污染物，丢弃或者填埋病死动物、病害动物产品；（五）在入湖河道、沟渠、水库内丢弃农药、农药包装物，清洗施药器械；（六）向农用地排放重金属或者其他有毒有害物质含量超标的污水、污泥，以及可能造成土壤污染的清淤底泥、尾矿、矿渣等；（七）随意倾倒、堆放、填埋废弃菜叶等农业废弃物；（八）生产、销售、使用含磷洗涤用品和国家明令禁止或者明令淘汰的一次性发泡塑料餐具、塑料袋；（九）经营、使用杀鼠剂以外的限制使用类农药；（十）违反规定处置生活垃圾，倾倒粪便或者直排畜禽养殖粪污；（十一）侵占湿地、水库，擅自填堵、覆盖河道；（十二）新增采矿、选矿；（十三）开山、采石、挖砂、取土、毁林毁草；（十四）擅自取水或者违反取水许可规定取水；（十五）擅自释放或者丢弃外来物种；（十六）法律、法规禁止的其他行为。</w:t>
                  </w:r>
                </w:p>
              </w:tc>
              <w:tc>
                <w:tcPr>
                  <w:tcW w:w="2162" w:type="dxa"/>
                  <w:vAlign w:val="center"/>
                </w:tcPr>
                <w:p w14:paraId="459CB9F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本项目位于绿色发展期内；①</w:t>
                  </w: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w:t>
                  </w:r>
                  <w:r>
                    <w:rPr>
                      <w:rFonts w:hint="default" w:ascii="Times New Roman" w:hAnsi="Times New Roman" w:eastAsia="宋体" w:cs="Times New Roman"/>
                      <w:b w:val="0"/>
                      <w:bCs w:val="0"/>
                      <w:color w:val="auto"/>
                      <w:kern w:val="2"/>
                      <w:sz w:val="21"/>
                      <w:szCs w:val="21"/>
                      <w:vertAlign w:val="baseline"/>
                      <w:lang w:val="en-US" w:eastAsia="zh-CN" w:bidi="ar-SA"/>
                    </w:rPr>
                    <w:t>；</w:t>
                  </w:r>
                </w:p>
                <w:p w14:paraId="163EF4F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②本项目不属于采矿、选矿项目；</w:t>
                  </w:r>
                </w:p>
                <w:p w14:paraId="3D8D388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③本项目不涉及开山、采石、挖砂、取土、毁林毁草等行为。</w:t>
                  </w:r>
                </w:p>
                <w:p w14:paraId="3C7142F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④本项目生产及生活用水依托园区的供水管道。</w:t>
                  </w:r>
                </w:p>
              </w:tc>
              <w:tc>
                <w:tcPr>
                  <w:tcW w:w="930" w:type="dxa"/>
                  <w:vMerge w:val="continue"/>
                  <w:vAlign w:val="center"/>
                </w:tcPr>
                <w:p w14:paraId="270AD6D0">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r>
            <w:tr w14:paraId="6B50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740C7B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5</w:t>
                  </w:r>
                </w:p>
              </w:tc>
              <w:tc>
                <w:tcPr>
                  <w:tcW w:w="5174" w:type="dxa"/>
                  <w:gridSpan w:val="2"/>
                  <w:vAlign w:val="center"/>
                </w:tcPr>
                <w:p w14:paraId="3CECA8E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left"/>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星云湖流域内项目建设应当执行环境影响评价制度，污染治理设施、节水设施、水土保持设施应当与主体工程同时设计、同时施工、同时投产使用。</w:t>
                  </w:r>
                </w:p>
              </w:tc>
              <w:tc>
                <w:tcPr>
                  <w:tcW w:w="2162" w:type="dxa"/>
                  <w:vAlign w:val="center"/>
                </w:tcPr>
                <w:p w14:paraId="29B4D28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本项目执行环境影响评价制度，污染治理设施、节水设施、水土保持设施与主体工程同时设计、同时施工、同时投产使用。</w:t>
                  </w:r>
                </w:p>
              </w:tc>
              <w:tc>
                <w:tcPr>
                  <w:tcW w:w="930" w:type="dxa"/>
                  <w:vAlign w:val="center"/>
                </w:tcPr>
                <w:p w14:paraId="53319DD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r>
          </w:tbl>
          <w:p w14:paraId="144DBCD2">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0"/>
                <w:sz w:val="21"/>
                <w:szCs w:val="21"/>
                <w:lang w:val="en-US" w:eastAsia="zh-CN"/>
              </w:rPr>
              <w:t>6、</w:t>
            </w:r>
            <w:r>
              <w:rPr>
                <w:rFonts w:hint="default" w:ascii="Times New Roman" w:hAnsi="Times New Roman" w:eastAsia="宋体" w:cs="Times New Roman"/>
                <w:b/>
                <w:bCs/>
                <w:color w:val="auto"/>
                <w:sz w:val="21"/>
                <w:szCs w:val="21"/>
                <w:lang w:val="en-US" w:eastAsia="zh-CN"/>
              </w:rPr>
              <w:t>项目</w:t>
            </w:r>
            <w:r>
              <w:rPr>
                <w:rFonts w:hint="default" w:ascii="Times New Roman" w:hAnsi="Times New Roman" w:eastAsia="宋体" w:cs="Times New Roman"/>
                <w:b/>
                <w:bCs/>
                <w:color w:val="auto"/>
                <w:sz w:val="21"/>
                <w:szCs w:val="21"/>
              </w:rPr>
              <w:t>与《星云湖水环境保护治理“十四五”规划》符合性分析</w:t>
            </w:r>
          </w:p>
          <w:p w14:paraId="3DD24341">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全面推进雨污分流，完善城镇截污治污体系</w:t>
            </w:r>
          </w:p>
          <w:p w14:paraId="7182F4F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污水处理厂提质增效、补短板及管网整治工程，进一步完善江川区中心城区雨污水主管网及配套设施，对原有合流制排水管道实施雨污分流，提高排水入网率；实施江川区污水处理厂（老厂）及南厂合并改造工程、北片区污水处理厂补短板，进一步提高出水水质；从源头上解决城区雨季发生内涝的问题，提高江川区主城区污水收集率和处理率，逐步实施雨污分流改造、消除管网空白区，全面提升城镇截污治污能力。在星云湖西片区前卫镇建设污水处理厂1座，进一步提升流域城镇截污治污能力。</w:t>
            </w:r>
          </w:p>
          <w:p w14:paraId="2A255295">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b/>
                <w:color w:val="auto"/>
                <w:szCs w:val="21"/>
                <w:lang w:val="en-US" w:eastAsia="zh-CN"/>
              </w:rPr>
            </w:pPr>
            <w:r>
              <w:rPr>
                <w:rFonts w:hint="default" w:ascii="Times New Roman" w:hAnsi="Times New Roman" w:eastAsia="宋体" w:cs="Times New Roman"/>
                <w:color w:val="auto"/>
                <w:sz w:val="21"/>
                <w:szCs w:val="21"/>
                <w:lang w:val="en-US" w:eastAsia="zh-CN"/>
              </w:rPr>
              <w:t>本项目不在城镇截污治污体系内，</w:t>
            </w:r>
            <w:r>
              <w:rPr>
                <w:rFonts w:hint="default" w:ascii="Times New Roman" w:hAnsi="Times New Roman" w:eastAsia="宋体" w:cs="Times New Roman"/>
                <w:b w:val="0"/>
                <w:bCs w:val="0"/>
                <w:color w:val="auto"/>
                <w:kern w:val="2"/>
                <w:sz w:val="21"/>
                <w:szCs w:val="21"/>
                <w:vertAlign w:val="baseline"/>
                <w:lang w:val="en-US" w:eastAsia="zh-CN" w:bidi="ar-SA"/>
              </w:rPr>
              <w:t>本项目</w:t>
            </w: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w:t>
            </w:r>
          </w:p>
          <w:p w14:paraId="18509B12">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项目与生态保护区管控关系</w:t>
            </w:r>
          </w:p>
          <w:p w14:paraId="4C1ADCBB">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mc:AlternateContent>
                <mc:Choice Requires="wps">
                  <w:drawing>
                    <wp:anchor distT="0" distB="0" distL="114300" distR="114300" simplePos="0" relativeHeight="251663360" behindDoc="0" locked="0" layoutInCell="1" allowOverlap="1">
                      <wp:simplePos x="0" y="0"/>
                      <wp:positionH relativeFrom="column">
                        <wp:posOffset>469900</wp:posOffset>
                      </wp:positionH>
                      <wp:positionV relativeFrom="paragraph">
                        <wp:posOffset>2653665</wp:posOffset>
                      </wp:positionV>
                      <wp:extent cx="914400" cy="291465"/>
                      <wp:effectExtent l="0" t="0" r="0" b="0"/>
                      <wp:wrapNone/>
                      <wp:docPr id="4" name="文本框 17"/>
                      <wp:cNvGraphicFramePr/>
                      <a:graphic xmlns:a="http://schemas.openxmlformats.org/drawingml/2006/main">
                        <a:graphicData uri="http://schemas.microsoft.com/office/word/2010/wordprocessingShape">
                          <wps:wsp>
                            <wps:cNvSpPr txBox="1"/>
                            <wps:spPr>
                              <a:xfrm>
                                <a:off x="0" y="0"/>
                                <a:ext cx="914400" cy="291465"/>
                              </a:xfrm>
                              <a:prstGeom prst="rect">
                                <a:avLst/>
                              </a:prstGeom>
                              <a:noFill/>
                              <a:ln>
                                <a:noFill/>
                              </a:ln>
                            </wps:spPr>
                            <wps:txbx>
                              <w:txbxContent>
                                <w:p w14:paraId="2758199E">
                                  <w:pPr>
                                    <w:rPr>
                                      <w:rFonts w:hint="default" w:eastAsia="宋体"/>
                                      <w:b/>
                                      <w:bCs/>
                                      <w:color w:val="FF0000"/>
                                      <w:lang w:val="en-US" w:eastAsia="zh-CN"/>
                                    </w:rPr>
                                  </w:pPr>
                                  <w:r>
                                    <w:rPr>
                                      <w:rFonts w:hint="eastAsia"/>
                                      <w:b/>
                                      <w:bCs/>
                                      <w:color w:val="FF0000"/>
                                      <w:lang w:val="en-US" w:eastAsia="zh-CN"/>
                                    </w:rPr>
                                    <w:t>项目所在地</w:t>
                                  </w:r>
                                </w:p>
                              </w:txbxContent>
                            </wps:txbx>
                            <wps:bodyPr upright="1"/>
                          </wps:wsp>
                        </a:graphicData>
                      </a:graphic>
                    </wp:anchor>
                  </w:drawing>
                </mc:Choice>
                <mc:Fallback>
                  <w:pict>
                    <v:shape id="文本框 17" o:spid="_x0000_s1026" o:spt="202" type="#_x0000_t202" style="position:absolute;left:0pt;margin-left:37pt;margin-top:208.95pt;height:22.95pt;width:72pt;z-index:251663360;mso-width-relative:page;mso-height-relative:page;" filled="f" stroked="f" coordsize="21600,21600" o:gfxdata="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kuSJHYAAAA&#10;CgEAAA8AAAAAAAAAAQAgAAAAIgAAAGRycy9kb3ducmV2LnhtbFBLAQIUABQAAAAIAIdO4kDO9lgp&#10;qwEAAE4DAAAOAAAAAAAAAAEAIAAAACcBAABkcnMvZTJvRG9jLnhtbFBLBQYAAAAABgAGAFkBAABE&#10;BQAAAAA=&#10;">
                      <v:fill on="f" focussize="0,0"/>
                      <v:stroke on="f"/>
                      <v:imagedata o:title=""/>
                      <o:lock v:ext="edit" aspectratio="f"/>
                      <v:textbox>
                        <w:txbxContent>
                          <w:p w14:paraId="2758199E">
                            <w:pPr>
                              <w:rPr>
                                <w:rFonts w:hint="default" w:eastAsia="宋体"/>
                                <w:b/>
                                <w:bCs/>
                                <w:color w:val="FF0000"/>
                                <w:lang w:val="en-US" w:eastAsia="zh-CN"/>
                              </w:rPr>
                            </w:pPr>
                            <w:r>
                              <w:rPr>
                                <w:rFonts w:hint="eastAsia"/>
                                <w:b/>
                                <w:bCs/>
                                <w:color w:val="FF0000"/>
                                <w:lang w:val="en-US" w:eastAsia="zh-CN"/>
                              </w:rPr>
                              <w:t>项目所在地</w:t>
                            </w:r>
                          </w:p>
                        </w:txbxContent>
                      </v:textbox>
                    </v:shap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662336" behindDoc="0" locked="0" layoutInCell="1" allowOverlap="1">
                      <wp:simplePos x="0" y="0"/>
                      <wp:positionH relativeFrom="column">
                        <wp:posOffset>894715</wp:posOffset>
                      </wp:positionH>
                      <wp:positionV relativeFrom="paragraph">
                        <wp:posOffset>2955290</wp:posOffset>
                      </wp:positionV>
                      <wp:extent cx="700405" cy="1325245"/>
                      <wp:effectExtent l="4445" t="0" r="19050" b="8255"/>
                      <wp:wrapNone/>
                      <wp:docPr id="3" name="直线 18"/>
                      <wp:cNvGraphicFramePr/>
                      <a:graphic xmlns:a="http://schemas.openxmlformats.org/drawingml/2006/main">
                        <a:graphicData uri="http://schemas.microsoft.com/office/word/2010/wordprocessingShape">
                          <wps:wsp>
                            <wps:cNvCnPr/>
                            <wps:spPr>
                              <a:xfrm flipH="1" flipV="1">
                                <a:off x="0" y="0"/>
                                <a:ext cx="700405" cy="1325245"/>
                              </a:xfrm>
                              <a:prstGeom prst="line">
                                <a:avLst/>
                              </a:prstGeom>
                              <a:ln w="19050" cap="flat" cmpd="sng">
                                <a:solidFill>
                                  <a:srgbClr val="FF0000"/>
                                </a:solidFill>
                                <a:prstDash val="solid"/>
                                <a:headEnd type="none" w="med" len="med"/>
                                <a:tailEnd type="arrow" w="med" len="med"/>
                              </a:ln>
                            </wps:spPr>
                            <wps:bodyPr upright="1"/>
                          </wps:wsp>
                        </a:graphicData>
                      </a:graphic>
                    </wp:anchor>
                  </w:drawing>
                </mc:Choice>
                <mc:Fallback>
                  <w:pict>
                    <v:line id="直线 18" o:spid="_x0000_s1026" o:spt="20" style="position:absolute;left:0pt;flip:x y;margin-left:70.45pt;margin-top:232.7pt;height:104.35pt;width:55.15pt;z-index:251662336;mso-width-relative:page;mso-height-relative:page;" filled="f" stroked="t" coordsize="21600,21600" o:gfxdata="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vvl9oAAAALAQAADwAAAAAAAAABACAAAAAiAAAAZHJz&#10;L2Rvd25yZXYueG1sUEsBAhQAFAAAAAgAh07iQOQQHmQCAgAA9wMAAA4AAAAAAAAAAQAgAAAAKQEA&#10;AGRycy9lMm9Eb2MueG1sUEsFBgAAAAAGAAYAWQEAAJ0FAAAAAA==&#10;">
                      <v:fill on="f" focussize="0,0"/>
                      <v:stroke weight="1.5pt" color="#FF0000" joinstyle="round" endarrow="open"/>
                      <v:imagedata o:title=""/>
                      <o:lock v:ext="edit" aspectratio="f"/>
                    </v:line>
                  </w:pict>
                </mc:Fallback>
              </mc:AlternateContent>
            </w:r>
            <w:r>
              <w:rPr>
                <w:rFonts w:hint="default" w:ascii="Times New Roman" w:hAnsi="Times New Roman" w:eastAsia="宋体" w:cs="Times New Roman"/>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1526540</wp:posOffset>
                      </wp:positionH>
                      <wp:positionV relativeFrom="paragraph">
                        <wp:posOffset>4255135</wp:posOffset>
                      </wp:positionV>
                      <wp:extent cx="75565" cy="77470"/>
                      <wp:effectExtent l="4445" t="4445" r="15240" b="13335"/>
                      <wp:wrapNone/>
                      <wp:docPr id="2" name="椭圆 19"/>
                      <wp:cNvGraphicFramePr/>
                      <a:graphic xmlns:a="http://schemas.openxmlformats.org/drawingml/2006/main">
                        <a:graphicData uri="http://schemas.microsoft.com/office/word/2010/wordprocessingShape">
                          <wps:wsp>
                            <wps:cNvSpPr/>
                            <wps:spPr>
                              <a:xfrm>
                                <a:off x="0" y="0"/>
                                <a:ext cx="75565" cy="77470"/>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椭圆 19" o:spid="_x0000_s1026" o:spt="3" type="#_x0000_t3" style="position:absolute;left:0pt;margin-left:120.2pt;margin-top:335.05pt;height:6.1pt;width:5.95pt;z-index:251661312;mso-width-relative:page;mso-height-relative:page;" fillcolor="#FF0000" filled="t" stroked="t" coordsize="21600,21600" o:gfxdata="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G24Z9gAAAALAQAADwAAAAAAAAABACAAAAAiAAAAZHJzL2Rvd25yZXYueG1sUEsB&#10;AhQAFAAAAAgAh07iQFgiygj1AQAAFQQAAA4AAAAAAAAAAQAgAAAAJwEAAGRycy9lMm9Eb2MueG1s&#10;UEsFBgAAAAAGAAYAWQEAAI4FAAAAAA==&#10;">
                      <v:fill on="t" focussize="0,0"/>
                      <v:stroke color="#FF0000" joinstyle="round"/>
                      <v:imagedata o:title=""/>
                      <o:lock v:ext="edit" aspectratio="f"/>
                    </v:shape>
                  </w:pict>
                </mc:Fallback>
              </mc:AlternateContent>
            </w:r>
            <w:r>
              <w:rPr>
                <w:rFonts w:hint="default" w:ascii="Times New Roman" w:hAnsi="Times New Roman" w:eastAsia="宋体" w:cs="Times New Roman"/>
                <w:color w:val="auto"/>
                <w:sz w:val="21"/>
                <w:szCs w:val="21"/>
              </w:rPr>
              <w:drawing>
                <wp:inline distT="0" distB="0" distL="114300" distR="114300">
                  <wp:extent cx="5394325" cy="6791960"/>
                  <wp:effectExtent l="0" t="0" r="1587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394325" cy="6791960"/>
                          </a:xfrm>
                          <a:prstGeom prst="rect">
                            <a:avLst/>
                          </a:prstGeom>
                          <a:noFill/>
                          <a:ln>
                            <a:noFill/>
                          </a:ln>
                        </pic:spPr>
                      </pic:pic>
                    </a:graphicData>
                  </a:graphic>
                </wp:inline>
              </w:drawing>
            </w:r>
          </w:p>
          <w:p w14:paraId="3EA431A4">
            <w:pPr>
              <w:numPr>
                <w:ilvl w:val="0"/>
                <w:numId w:val="0"/>
              </w:numPr>
              <w:autoSpaceDE w:val="0"/>
              <w:autoSpaceDN w:val="0"/>
              <w:adjustRightInd w:val="0"/>
              <w:snapToGrid w:val="0"/>
              <w:spacing w:line="360" w:lineRule="auto"/>
              <w:ind w:firstLine="420" w:firstLineChars="200"/>
              <w:rPr>
                <w:rFonts w:hint="eastAsia" w:cs="Times New Roman"/>
                <w:b/>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根</w:t>
            </w:r>
            <w:r>
              <w:rPr>
                <w:rFonts w:hint="default" w:ascii="Times New Roman" w:hAnsi="Times New Roman" w:eastAsia="宋体" w:cs="Times New Roman"/>
                <w:b w:val="0"/>
                <w:bCs w:val="0"/>
                <w:color w:val="auto"/>
                <w:sz w:val="21"/>
                <w:szCs w:val="21"/>
                <w:lang w:val="en-US" w:eastAsia="zh-CN"/>
              </w:rPr>
              <w:t>据上图，本项目选址不在重要生态空间、其它生态空间、100米生态空间、自然保护区、滨湖湿地带。本项目建设对星云湖生态保护区影响较小。</w:t>
            </w:r>
          </w:p>
          <w:p w14:paraId="77669A3C">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）优化水资源配置利用，保障清水入湖</w:t>
            </w:r>
          </w:p>
          <w:p w14:paraId="2009276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按照习近平总书记提出“节水优先、空间均衡、系统治理、两手发力”的科学治水思想，以构建星云湖水资源健康水循环体系为核心，以落实最严格水资源管理制度为抓手，以水利产业政策为依托，针对目前流域水资源不足与损耗并存的现状，全面规划、统筹兼顾、综合治理，开源节流并重，推进水资源的合理开发、优化配置、高效利用、全面节约、有效保护，实现空间均衡的高效水资源利用调度系统，科学合理保障湖泊生态用水，形成流域水资源统一调度机制，实现流域自然水资源-社会经济-生态环境三大子系统之间的协调发展。</w:t>
            </w:r>
          </w:p>
          <w:p w14:paraId="34CBA995">
            <w:pPr>
              <w:numPr>
                <w:ilvl w:val="0"/>
                <w:numId w:val="0"/>
              </w:numPr>
              <w:autoSpaceDE w:val="0"/>
              <w:autoSpaceDN w:val="0"/>
              <w:adjustRightInd w:val="0"/>
              <w:snapToGrid w:val="0"/>
              <w:spacing w:line="360" w:lineRule="auto"/>
              <w:ind w:firstLine="420" w:firstLineChars="200"/>
              <w:rPr>
                <w:rFonts w:hint="eastAsia" w:cs="Times New Roman"/>
                <w:b/>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雨水通过雨水沟进入园区雨水管网；</w:t>
            </w:r>
            <w:r>
              <w:rPr>
                <w:rFonts w:hint="eastAsia" w:cs="Times New Roman"/>
                <w:color w:val="auto"/>
                <w:lang w:val="en-US" w:eastAsia="zh-CN"/>
              </w:rPr>
              <w:t>搅拌罐清洗废水统一收集后暂存于危废暂存间，定期委托具有资质的单位清运处置；纯水站产生的浓水浓水仅有少量的钙镁离子，暂存于厂区内设置的100m³的景观池，非雨天回用于绿化，不外排；定期更换的冷却循环水暂存于厂区内设置的100m³的景观池，非雨天回用于绿化；生活污水和清洁用水进入化粪池+6m³/d一体化污水处理系统处理后，暂存于厂区内设置的100m³的景观池，非雨天回用于绿化</w:t>
            </w:r>
            <w:r>
              <w:rPr>
                <w:rFonts w:hint="default" w:ascii="Times New Roman" w:hAnsi="Times New Roman" w:eastAsia="宋体" w:cs="Times New Roman"/>
                <w:color w:val="auto"/>
                <w:sz w:val="21"/>
                <w:szCs w:val="21"/>
                <w:lang w:val="en-US" w:eastAsia="zh-CN"/>
              </w:rPr>
              <w:t>；若后期园区污水处理系统正常运行则生活污水</w:t>
            </w:r>
            <w:r>
              <w:rPr>
                <w:rFonts w:hint="eastAsia" w:cs="Times New Roman"/>
                <w:color w:val="auto"/>
                <w:sz w:val="21"/>
                <w:szCs w:val="21"/>
                <w:lang w:val="en-US" w:eastAsia="zh-CN"/>
              </w:rPr>
              <w:t>经15m³化粪池处理后</w:t>
            </w:r>
            <w:r>
              <w:rPr>
                <w:rFonts w:hint="default" w:ascii="Times New Roman" w:hAnsi="Times New Roman" w:eastAsia="宋体" w:cs="Times New Roman"/>
                <w:color w:val="auto"/>
                <w:sz w:val="21"/>
                <w:szCs w:val="21"/>
                <w:lang w:val="en-US" w:eastAsia="zh-CN"/>
              </w:rPr>
              <w:t>，排入园区污水管网，进入园区污水处理系统处理；项目无废水外排，不涉及清水人湖。</w:t>
            </w:r>
          </w:p>
          <w:p w14:paraId="571F9AE3">
            <w:pPr>
              <w:numPr>
                <w:ilvl w:val="0"/>
                <w:numId w:val="0"/>
              </w:numPr>
              <w:autoSpaceDE w:val="0"/>
              <w:autoSpaceDN w:val="0"/>
              <w:adjustRightInd w:val="0"/>
              <w:snapToGrid w:val="0"/>
              <w:spacing w:line="360" w:lineRule="auto"/>
              <w:ind w:firstLine="422" w:firstLineChars="200"/>
              <w:rPr>
                <w:rFonts w:hint="eastAsia" w:cs="Times New Roman"/>
                <w:b/>
                <w:bCs/>
                <w:color w:val="auto"/>
                <w:sz w:val="21"/>
                <w:szCs w:val="21"/>
                <w:lang w:val="en-US" w:eastAsia="zh-CN"/>
              </w:rPr>
            </w:pPr>
            <w:r>
              <w:rPr>
                <w:rFonts w:hint="eastAsia" w:cs="Times New Roman"/>
                <w:b/>
                <w:bCs/>
                <w:color w:val="auto"/>
                <w:kern w:val="2"/>
                <w:sz w:val="21"/>
                <w:szCs w:val="21"/>
                <w:lang w:val="en-US" w:eastAsia="zh-CN" w:bidi="ar-SA"/>
              </w:rPr>
              <w:t>7</w:t>
            </w: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sz w:val="21"/>
                <w:szCs w:val="21"/>
                <w:lang w:val="en-US" w:eastAsia="zh-CN"/>
              </w:rPr>
              <w:t>项目与与《锂离子电池行业规范条件(2024年本)》的相符性分析</w:t>
            </w:r>
          </w:p>
          <w:p w14:paraId="2627725D">
            <w:pPr>
              <w:numPr>
                <w:ilvl w:val="0"/>
                <w:numId w:val="0"/>
              </w:numPr>
              <w:autoSpaceDE w:val="0"/>
              <w:autoSpaceDN w:val="0"/>
              <w:adjustRightInd w:val="0"/>
              <w:snapToGrid w:val="0"/>
              <w:spacing w:line="360" w:lineRule="auto"/>
              <w:jc w:val="center"/>
              <w:rPr>
                <w:rFonts w:hint="default" w:ascii="Times New Roman" w:hAnsi="Times New Roman" w:eastAsia="宋体" w:cs="Times New Roman"/>
                <w:b w:val="0"/>
                <w:bCs w:val="0"/>
                <w:color w:val="auto"/>
                <w:sz w:val="21"/>
                <w:szCs w:val="21"/>
                <w:lang w:val="en-US" w:eastAsia="zh-CN"/>
              </w:rPr>
            </w:pPr>
            <w:r>
              <w:rPr>
                <w:rFonts w:hint="eastAsia" w:cs="Times New Roman"/>
                <w:b/>
                <w:bCs/>
                <w:color w:val="auto"/>
                <w:sz w:val="21"/>
                <w:szCs w:val="21"/>
                <w:lang w:val="en-US" w:eastAsia="zh-CN"/>
              </w:rPr>
              <w:t>表1-8与《锂离子电池行业规范条件(2024年本)》的相符性分析（摘取）</w:t>
            </w:r>
          </w:p>
          <w:tbl>
            <w:tblPr>
              <w:tblStyle w:val="26"/>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779"/>
              <w:gridCol w:w="3705"/>
              <w:gridCol w:w="856"/>
            </w:tblGrid>
            <w:tr w14:paraId="0347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3AA0714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3779" w:type="dxa"/>
                  <w:vAlign w:val="center"/>
                </w:tcPr>
                <w:p w14:paraId="24E2CE4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条件内容</w:t>
                  </w:r>
                </w:p>
              </w:tc>
              <w:tc>
                <w:tcPr>
                  <w:tcW w:w="3705" w:type="dxa"/>
                  <w:vAlign w:val="center"/>
                </w:tcPr>
                <w:p w14:paraId="6BDD7E1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w:t>
                  </w:r>
                </w:p>
              </w:tc>
              <w:tc>
                <w:tcPr>
                  <w:tcW w:w="856" w:type="dxa"/>
                  <w:vAlign w:val="center"/>
                </w:tcPr>
                <w:p w14:paraId="523A82E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72AA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7F87C54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3779" w:type="dxa"/>
                  <w:vAlign w:val="center"/>
                </w:tcPr>
                <w:p w14:paraId="5A2DF5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2"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一、产业布局和项目设立</w:t>
                  </w:r>
                </w:p>
                <w:p w14:paraId="159B8C8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（一）锂离子电池企业及项目应符合国家资源开发利用、生态环境保护、节能管理、安全生产等法律法规要求</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符合国家产业政策和相关产业规划及布局要求，符合当地国土空间规划和生态环境保护专项规划等要求，符合区域生态环境分区管控及规划环评要求，应具备相应的运输条件。</w:t>
                  </w:r>
                </w:p>
                <w:p w14:paraId="774AA24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在规划确定的永久基本农田、生态保护红线，以及国家法律法规、规章规定禁止建设工业企业的区域不得建设锂离子电池及配套项目。上述区域内的现有企业应按照法律法规要求关闭拆除，或严格控制规模、逐步迁出。</w:t>
                  </w:r>
                </w:p>
                <w:p w14:paraId="1249840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（三）引导企业减少单纯扩大产能的制造项目，加强技术创新、提高产品质量、降低生产成本。</w:t>
                  </w:r>
                </w:p>
              </w:tc>
              <w:tc>
                <w:tcPr>
                  <w:tcW w:w="3705" w:type="dxa"/>
                  <w:vAlign w:val="center"/>
                </w:tcPr>
                <w:p w14:paraId="3AFE1EB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eastAsia" w:cs="Times New Roman"/>
                      <w:b w:val="0"/>
                      <w:bCs w:val="0"/>
                      <w:color w:val="auto"/>
                      <w:sz w:val="21"/>
                      <w:szCs w:val="21"/>
                      <w:lang w:val="en-US" w:eastAsia="zh-CN"/>
                    </w:rPr>
                  </w:pPr>
                  <w:r>
                    <w:rPr>
                      <w:rFonts w:hint="eastAsia" w:cs="Times New Roman"/>
                      <w:color w:val="auto"/>
                      <w:kern w:val="0"/>
                      <w:sz w:val="21"/>
                      <w:szCs w:val="21"/>
                      <w:lang w:val="en-US" w:eastAsia="zh-CN"/>
                    </w:rPr>
                    <w:t>1、</w:t>
                  </w:r>
                  <w:r>
                    <w:rPr>
                      <w:rFonts w:hint="default" w:ascii="Times New Roman" w:hAnsi="Times New Roman" w:eastAsia="宋体" w:cs="Times New Roman"/>
                      <w:color w:val="auto"/>
                      <w:kern w:val="0"/>
                      <w:sz w:val="21"/>
                      <w:szCs w:val="21"/>
                      <w:lang w:val="en-US" w:eastAsia="zh-CN"/>
                    </w:rPr>
                    <w:t>本项目不属于《产业结构调整指导目录（2024年本）》中的限制类和淘汰类，不属于《淘汰落后生产能力、工艺和产品的名录（第一、二、三批）》中的淘汰类，与片区产业定位不冲突</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kern w:val="0"/>
                      <w:sz w:val="21"/>
                      <w:szCs w:val="21"/>
                      <w:lang w:val="en-US" w:eastAsia="zh-CN"/>
                    </w:rPr>
                    <w:t>项目位于玉溪高新区龙泉片区</w:t>
                  </w:r>
                  <w:r>
                    <w:rPr>
                      <w:rFonts w:hint="default" w:ascii="Times New Roman" w:hAnsi="Times New Roman" w:eastAsia="宋体" w:cs="Times New Roman"/>
                      <w:color w:val="auto"/>
                      <w:sz w:val="21"/>
                      <w:szCs w:val="21"/>
                      <w:lang w:val="en-US" w:eastAsia="zh-CN"/>
                    </w:rPr>
                    <w:t>地块</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土地性质为工业用地，从事锂电池制造生产活动</w:t>
                  </w:r>
                  <w:r>
                    <w:rPr>
                      <w:rFonts w:hint="default" w:ascii="Times New Roman" w:hAnsi="Times New Roman" w:eastAsia="宋体" w:cs="Times New Roman"/>
                      <w:color w:val="auto"/>
                      <w:kern w:val="0"/>
                      <w:sz w:val="21"/>
                      <w:szCs w:val="21"/>
                      <w:lang w:val="en-US" w:eastAsia="zh-CN"/>
                    </w:rPr>
                    <w:t>，</w:t>
                  </w:r>
                  <w:r>
                    <w:rPr>
                      <w:rFonts w:hint="eastAsia" w:cs="Times New Roman"/>
                      <w:color w:val="auto"/>
                      <w:sz w:val="21"/>
                      <w:szCs w:val="21"/>
                      <w:lang w:val="en-US" w:eastAsia="zh-CN"/>
                    </w:rPr>
                    <w:t>符合</w:t>
                  </w:r>
                  <w:r>
                    <w:rPr>
                      <w:rFonts w:hint="default" w:ascii="Times New Roman" w:hAnsi="Times New Roman" w:eastAsia="宋体" w:cs="Times New Roman"/>
                      <w:color w:val="auto"/>
                      <w:kern w:val="0"/>
                      <w:sz w:val="21"/>
                      <w:szCs w:val="21"/>
                      <w:lang w:val="en-US" w:eastAsia="zh-CN"/>
                    </w:rPr>
                    <w:t>玉溪高新技术产业开发区总体规划</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符合</w:t>
                  </w:r>
                  <w:r>
                    <w:rPr>
                      <w:rFonts w:hint="default" w:ascii="Times New Roman" w:hAnsi="Times New Roman" w:eastAsia="宋体" w:cs="Times New Roman"/>
                      <w:color w:val="auto"/>
                      <w:sz w:val="21"/>
                      <w:szCs w:val="21"/>
                      <w:vertAlign w:val="baseline"/>
                      <w:lang w:val="en-US" w:eastAsia="zh-CN"/>
                    </w:rPr>
                    <w:t>当地土地利用总体规划、城市总体规划、环境功能区划和环境保护规等要求</w:t>
                  </w:r>
                  <w:r>
                    <w:rPr>
                      <w:rFonts w:hint="eastAsia" w:cs="Times New Roman"/>
                      <w:color w:val="auto"/>
                      <w:sz w:val="21"/>
                      <w:szCs w:val="21"/>
                      <w:vertAlign w:val="baseline"/>
                      <w:lang w:val="en-US" w:eastAsia="zh-CN"/>
                    </w:rPr>
                    <w:t>。园区内道路交通便利，位</w:t>
                  </w:r>
                  <w:r>
                    <w:rPr>
                      <w:rFonts w:hint="eastAsia" w:cs="Times New Roman"/>
                      <w:b w:val="0"/>
                      <w:bCs w:val="0"/>
                      <w:color w:val="auto"/>
                      <w:sz w:val="21"/>
                      <w:szCs w:val="21"/>
                      <w:vertAlign w:val="baseline"/>
                      <w:lang w:val="en-US" w:eastAsia="zh-CN"/>
                    </w:rPr>
                    <w:t>于</w:t>
                  </w:r>
                  <w:r>
                    <w:rPr>
                      <w:rFonts w:hint="eastAsia" w:ascii="Times New Roman" w:hAnsi="Times New Roman" w:eastAsia="宋体" w:cs="Times New Roman"/>
                      <w:b w:val="0"/>
                      <w:bCs w:val="0"/>
                      <w:color w:val="auto"/>
                      <w:sz w:val="21"/>
                      <w:szCs w:val="21"/>
                      <w:lang w:val="en-US" w:eastAsia="zh-CN"/>
                    </w:rPr>
                    <w:t>江川区产业园区重点管控单元</w:t>
                  </w:r>
                  <w:r>
                    <w:rPr>
                      <w:rFonts w:hint="eastAsia" w:cs="Times New Roman"/>
                      <w:b w:val="0"/>
                      <w:bCs w:val="0"/>
                      <w:color w:val="auto"/>
                      <w:sz w:val="21"/>
                      <w:szCs w:val="21"/>
                      <w:lang w:val="en-US" w:eastAsia="zh-CN"/>
                    </w:rPr>
                    <w:t>。</w:t>
                  </w:r>
                </w:p>
                <w:p w14:paraId="0BA6615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eastAsia" w:cs="Times New Roman"/>
                      <w:color w:val="auto"/>
                      <w:sz w:val="21"/>
                      <w:szCs w:val="21"/>
                      <w:vertAlign w:val="baseline"/>
                      <w:lang w:val="en-US" w:eastAsia="zh-CN"/>
                    </w:rPr>
                  </w:pPr>
                  <w:r>
                    <w:rPr>
                      <w:rFonts w:hint="eastAsia" w:cs="Times New Roman"/>
                      <w:b w:val="0"/>
                      <w:bCs w:val="0"/>
                      <w:color w:val="auto"/>
                      <w:sz w:val="21"/>
                      <w:szCs w:val="21"/>
                      <w:lang w:val="en-US" w:eastAsia="zh-CN"/>
                    </w:rPr>
                    <w:t>2、本项目位于</w:t>
                  </w:r>
                  <w:r>
                    <w:rPr>
                      <w:rFonts w:hint="eastAsia" w:ascii="Times New Roman" w:hAnsi="Times New Roman" w:eastAsia="宋体" w:cs="Times New Roman"/>
                      <w:b w:val="0"/>
                      <w:bCs w:val="0"/>
                      <w:color w:val="auto"/>
                      <w:sz w:val="21"/>
                      <w:szCs w:val="21"/>
                      <w:lang w:val="en-US" w:eastAsia="zh-CN"/>
                    </w:rPr>
                    <w:t>江川区产业园区重点管控单元</w:t>
                  </w:r>
                  <w:r>
                    <w:rPr>
                      <w:rFonts w:hint="eastAsia" w:cs="Times New Roman"/>
                      <w:b w:val="0"/>
                      <w:bCs w:val="0"/>
                      <w:color w:val="auto"/>
                      <w:sz w:val="21"/>
                      <w:szCs w:val="21"/>
                      <w:lang w:val="en-US" w:eastAsia="zh-CN"/>
                    </w:rPr>
                    <w:t>，不占用</w:t>
                  </w:r>
                  <w:r>
                    <w:rPr>
                      <w:rFonts w:hint="default" w:ascii="Times New Roman" w:hAnsi="Times New Roman" w:eastAsia="宋体" w:cs="Times New Roman"/>
                      <w:color w:val="auto"/>
                      <w:sz w:val="21"/>
                      <w:szCs w:val="21"/>
                      <w:vertAlign w:val="baseline"/>
                      <w:lang w:val="en-US" w:eastAsia="zh-CN"/>
                    </w:rPr>
                    <w:t>永久基本农田、生态保护红线</w:t>
                  </w:r>
                  <w:r>
                    <w:rPr>
                      <w:rFonts w:hint="eastAsia" w:cs="Times New Roman"/>
                      <w:color w:val="auto"/>
                      <w:sz w:val="21"/>
                      <w:szCs w:val="21"/>
                      <w:vertAlign w:val="baseline"/>
                      <w:lang w:val="en-US" w:eastAsia="zh-CN"/>
                    </w:rPr>
                    <w:t>及</w:t>
                  </w:r>
                  <w:r>
                    <w:rPr>
                      <w:rFonts w:hint="default" w:ascii="Times New Roman" w:hAnsi="Times New Roman" w:eastAsia="宋体" w:cs="Times New Roman"/>
                      <w:color w:val="auto"/>
                      <w:sz w:val="21"/>
                      <w:szCs w:val="21"/>
                      <w:vertAlign w:val="baseline"/>
                      <w:lang w:val="en-US" w:eastAsia="zh-CN"/>
                    </w:rPr>
                    <w:t>国家法律法规、规章规定禁止建设工业企业的区域</w:t>
                  </w:r>
                  <w:r>
                    <w:rPr>
                      <w:rFonts w:hint="eastAsia" w:cs="Times New Roman"/>
                      <w:color w:val="auto"/>
                      <w:sz w:val="21"/>
                      <w:szCs w:val="21"/>
                      <w:vertAlign w:val="baseline"/>
                      <w:lang w:val="en-US" w:eastAsia="zh-CN"/>
                    </w:rPr>
                    <w:t>。</w:t>
                  </w:r>
                </w:p>
                <w:p w14:paraId="75D62EE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3、项目通过公开招标的方式，委托具备资质的设计单位设计全自动化生产线，设计要求将产品合格率设置为99.9%；通过设置</w:t>
                  </w:r>
                  <w:r>
                    <w:rPr>
                      <w:rFonts w:hint="eastAsia" w:cs="Times New Roman"/>
                      <w:b w:val="0"/>
                      <w:bCs w:val="0"/>
                      <w:color w:val="auto"/>
                      <w:sz w:val="21"/>
                      <w:szCs w:val="21"/>
                      <w:lang w:val="en-US" w:eastAsia="zh-CN"/>
                    </w:rPr>
                    <w:t>X</w:t>
                  </w:r>
                  <w:r>
                    <w:rPr>
                      <w:rFonts w:hint="eastAsia" w:ascii="Times New Roman" w:hAnsi="Times New Roman" w:eastAsia="宋体" w:cs="Times New Roman"/>
                      <w:b w:val="0"/>
                      <w:bCs w:val="0"/>
                      <w:color w:val="auto"/>
                      <w:sz w:val="21"/>
                      <w:szCs w:val="21"/>
                      <w:lang w:val="en-US" w:eastAsia="zh-CN"/>
                    </w:rPr>
                    <w:t>-ray检验</w:t>
                  </w:r>
                  <w:r>
                    <w:rPr>
                      <w:rFonts w:hint="eastAsia" w:cs="Times New Roman"/>
                      <w:b w:val="0"/>
                      <w:bCs w:val="0"/>
                      <w:color w:val="auto"/>
                      <w:sz w:val="21"/>
                      <w:szCs w:val="21"/>
                      <w:lang w:val="en-US" w:eastAsia="zh-CN"/>
                    </w:rPr>
                    <w:t>工序</w:t>
                  </w:r>
                  <w:r>
                    <w:rPr>
                      <w:rFonts w:hint="eastAsia"/>
                      <w:color w:val="auto"/>
                      <w:sz w:val="21"/>
                      <w:szCs w:val="21"/>
                      <w:lang w:val="en-US" w:eastAsia="zh-CN"/>
                    </w:rPr>
                    <w:t>快速、高效校准叠片相位差</w:t>
                  </w:r>
                  <w:r>
                    <w:rPr>
                      <w:rFonts w:hint="eastAsia" w:cs="Times New Roman"/>
                      <w:color w:val="auto"/>
                      <w:sz w:val="21"/>
                      <w:szCs w:val="21"/>
                      <w:vertAlign w:val="baseline"/>
                      <w:lang w:val="en-US" w:eastAsia="zh-CN"/>
                    </w:rPr>
                    <w:t>，提升产品质量，降低生产成本。</w:t>
                  </w:r>
                </w:p>
              </w:tc>
              <w:tc>
                <w:tcPr>
                  <w:tcW w:w="856" w:type="dxa"/>
                  <w:vAlign w:val="center"/>
                </w:tcPr>
                <w:p w14:paraId="54D43B1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268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202A8B5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779" w:type="dxa"/>
                  <w:vAlign w:val="center"/>
                </w:tcPr>
                <w:p w14:paraId="198E0A89">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2" w:firstLineChars="200"/>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bCs/>
                      <w:color w:val="auto"/>
                      <w:kern w:val="0"/>
                      <w:sz w:val="21"/>
                      <w:szCs w:val="21"/>
                      <w:vertAlign w:val="baseline"/>
                      <w:lang w:val="en-US" w:eastAsia="zh-CN" w:bidi="ar-SA"/>
                    </w:rPr>
                    <w:t>二、</w:t>
                  </w:r>
                  <w:r>
                    <w:rPr>
                      <w:rFonts w:hint="default" w:ascii="Times New Roman" w:hAnsi="Times New Roman" w:eastAsia="宋体" w:cs="Times New Roman"/>
                      <w:b/>
                      <w:bCs/>
                      <w:color w:val="auto"/>
                      <w:sz w:val="21"/>
                      <w:szCs w:val="21"/>
                      <w:vertAlign w:val="baseline"/>
                      <w:lang w:val="en-US" w:eastAsia="zh-CN"/>
                    </w:rPr>
                    <w:t>生产经营和工艺水平</w:t>
                  </w:r>
                </w:p>
                <w:p w14:paraId="13A536FD">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企业应采用技术先进、节能环保、安全稳定、智能化程度高的生产工艺和设备，并达到以下要求：</w:t>
                  </w:r>
                </w:p>
                <w:p w14:paraId="5D677AAD">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单体电池企业应具有电极涂覆后均匀性的监测能力，电极涂覆厚度和长度的控制精度分别达到或优于2μm和1mm；应具有生产过程中含水量的控制能力和适用条件下的电极烘干工艺技术，含水量控制精度达到或优于10ppm。</w:t>
                  </w:r>
                </w:p>
                <w:p w14:paraId="6B41A767">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2.单体电池企业应具有剪切过程中电极毛刺控制能力，控制精度达到或优于1μm；具有卷绕或叠片过程中电极对齐度控制能力，控制精度达到或优于0.1mm。</w:t>
                  </w:r>
                </w:p>
                <w:p w14:paraId="70BB6A81">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3.单体电池企业应具有注液过程中温湿度和洁净度等环境条件控制能力，露点温度≤-30℃；应具有电池装配后的内部短路高压测试（HI-POT）在线检测能力。</w:t>
                  </w:r>
                </w:p>
                <w:p w14:paraId="023FCB3D">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4.电池组企业应具有单体电池开路电压、内阻等一致性控制能力，控制精度分别达到或优于1mV和1mΩ；应具有电池组保护装置功能在线检测能力和静电防护能力，电池管理系统应具有防止过充、过放、短路等安全保护功能。</w:t>
                  </w:r>
                </w:p>
              </w:tc>
              <w:tc>
                <w:tcPr>
                  <w:tcW w:w="3705" w:type="dxa"/>
                  <w:vAlign w:val="center"/>
                </w:tcPr>
                <w:p w14:paraId="4CA56DE5">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eastAsia" w:cs="Times New Roman"/>
                      <w:color w:val="auto"/>
                      <w:sz w:val="21"/>
                      <w:szCs w:val="21"/>
                      <w:vertAlign w:val="baseline"/>
                      <w:lang w:val="en-US" w:eastAsia="zh-CN"/>
                    </w:rPr>
                  </w:pPr>
                  <w:r>
                    <w:rPr>
                      <w:rFonts w:hint="eastAsia"/>
                      <w:color w:val="auto"/>
                      <w:sz w:val="21"/>
                      <w:szCs w:val="21"/>
                      <w:lang w:val="en-US" w:eastAsia="zh-CN"/>
                    </w:rPr>
                    <w:t>1、</w:t>
                  </w:r>
                  <w:r>
                    <w:rPr>
                      <w:rFonts w:hint="eastAsia" w:cs="Times New Roman"/>
                      <w:color w:val="auto"/>
                      <w:sz w:val="21"/>
                      <w:szCs w:val="21"/>
                      <w:vertAlign w:val="baseline"/>
                      <w:lang w:val="en-US" w:eastAsia="zh-CN"/>
                    </w:rPr>
                    <w:t>项目通过公开招标的方式，委托具备资质的设计单位设计全自动化生产线，定制高精度模头，涂布生产线自带COV</w:t>
                  </w:r>
                  <w:r>
                    <w:rPr>
                      <w:rFonts w:hint="eastAsia"/>
                      <w:color w:val="auto"/>
                      <w:sz w:val="21"/>
                      <w:szCs w:val="21"/>
                      <w:lang w:val="en-US" w:eastAsia="zh-CN"/>
                    </w:rPr>
                    <w:t>监测系统控制</w:t>
                  </w:r>
                  <w:r>
                    <w:rPr>
                      <w:rFonts w:hint="default" w:ascii="Times New Roman" w:hAnsi="Times New Roman" w:eastAsia="宋体" w:cs="Times New Roman"/>
                      <w:color w:val="auto"/>
                      <w:sz w:val="21"/>
                      <w:szCs w:val="21"/>
                      <w:vertAlign w:val="baseline"/>
                      <w:lang w:val="en-US" w:eastAsia="zh-CN"/>
                    </w:rPr>
                    <w:t>电极涂覆厚度和长度的控制精度分别优于2μm和1mm</w:t>
                  </w:r>
                  <w:r>
                    <w:rPr>
                      <w:rFonts w:hint="eastAsia" w:cs="Times New Roman"/>
                      <w:color w:val="auto"/>
                      <w:sz w:val="21"/>
                      <w:szCs w:val="21"/>
                      <w:vertAlign w:val="baseline"/>
                      <w:lang w:val="en-US" w:eastAsia="zh-CN"/>
                    </w:rPr>
                    <w:t>；生产过程采用电加热烘干系统，含水率控制精度</w:t>
                  </w:r>
                  <w:r>
                    <w:rPr>
                      <w:rFonts w:hint="default" w:ascii="Times New Roman" w:hAnsi="Times New Roman" w:eastAsia="宋体" w:cs="Times New Roman"/>
                      <w:color w:val="auto"/>
                      <w:sz w:val="21"/>
                      <w:szCs w:val="21"/>
                      <w:vertAlign w:val="baseline"/>
                      <w:lang w:val="en-US" w:eastAsia="zh-CN"/>
                    </w:rPr>
                    <w:t>优于10ppm</w:t>
                  </w:r>
                  <w:r>
                    <w:rPr>
                      <w:rFonts w:hint="eastAsia" w:cs="Times New Roman"/>
                      <w:color w:val="auto"/>
                      <w:sz w:val="21"/>
                      <w:szCs w:val="21"/>
                      <w:vertAlign w:val="baseline"/>
                      <w:lang w:val="en-US" w:eastAsia="zh-CN"/>
                    </w:rPr>
                    <w:t>。</w:t>
                  </w:r>
                </w:p>
                <w:p w14:paraId="17E97E7E">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2、本项目设置模切工序，可控制在剪切过程</w:t>
                  </w:r>
                  <w:r>
                    <w:rPr>
                      <w:rFonts w:hint="default" w:ascii="Times New Roman" w:hAnsi="Times New Roman" w:eastAsia="宋体" w:cs="Times New Roman"/>
                      <w:color w:val="auto"/>
                      <w:sz w:val="21"/>
                      <w:szCs w:val="21"/>
                      <w:vertAlign w:val="baseline"/>
                      <w:lang w:val="en-US" w:eastAsia="zh-CN"/>
                    </w:rPr>
                    <w:t>电极毛刺，控制精度优于1μm</w:t>
                  </w:r>
                  <w:r>
                    <w:rPr>
                      <w:rFonts w:hint="eastAsia" w:cs="Times New Roman"/>
                      <w:color w:val="auto"/>
                      <w:sz w:val="21"/>
                      <w:szCs w:val="21"/>
                      <w:vertAlign w:val="baseline"/>
                      <w:lang w:val="en-US" w:eastAsia="zh-CN"/>
                    </w:rPr>
                    <w:t>；采用X光校准叠片</w:t>
                  </w:r>
                  <w:r>
                    <w:rPr>
                      <w:rFonts w:hint="default" w:ascii="Times New Roman" w:hAnsi="Times New Roman" w:eastAsia="宋体" w:cs="Times New Roman"/>
                      <w:color w:val="auto"/>
                      <w:sz w:val="21"/>
                      <w:szCs w:val="21"/>
                      <w:vertAlign w:val="baseline"/>
                      <w:lang w:val="en-US" w:eastAsia="zh-CN"/>
                    </w:rPr>
                    <w:t>过程中电极对齐度控制能力，控制精度优于0.1mm</w:t>
                  </w:r>
                  <w:r>
                    <w:rPr>
                      <w:rFonts w:hint="eastAsia" w:cs="Times New Roman"/>
                      <w:color w:val="auto"/>
                      <w:sz w:val="21"/>
                      <w:szCs w:val="21"/>
                      <w:vertAlign w:val="baseline"/>
                      <w:lang w:val="en-US" w:eastAsia="zh-CN"/>
                    </w:rPr>
                    <w:t>。</w:t>
                  </w:r>
                </w:p>
                <w:p w14:paraId="4F1A9FC8">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r>
                    <w:rPr>
                      <w:rFonts w:hint="eastAsia" w:cs="Times New Roman"/>
                      <w:b w:val="0"/>
                      <w:bCs w:val="0"/>
                      <w:color w:val="auto"/>
                      <w:sz w:val="21"/>
                      <w:szCs w:val="21"/>
                      <w:lang w:val="en-US" w:eastAsia="zh-CN"/>
                    </w:rPr>
                    <w:t>注液过程是在完全封闭手套箱中进行的，采样负压条件下的洁净环境，本项目手套箱设置的露点温度Td≤-40℃，相对湿度RH≤0.6%；产品制成过程中设置多道锂电池</w:t>
                  </w:r>
                  <w:r>
                    <w:rPr>
                      <w:rFonts w:hint="default" w:ascii="Times New Roman" w:hAnsi="Times New Roman" w:eastAsia="宋体" w:cs="Times New Roman"/>
                      <w:color w:val="auto"/>
                      <w:sz w:val="21"/>
                      <w:szCs w:val="21"/>
                      <w:vertAlign w:val="baseline"/>
                      <w:lang w:val="en-US" w:eastAsia="zh-CN"/>
                    </w:rPr>
                    <w:t>内部短路高压测试（HI-POT）</w:t>
                  </w:r>
                  <w:r>
                    <w:rPr>
                      <w:rFonts w:hint="eastAsia" w:cs="Times New Roman"/>
                      <w:color w:val="auto"/>
                      <w:sz w:val="21"/>
                      <w:szCs w:val="21"/>
                      <w:vertAlign w:val="baseline"/>
                      <w:lang w:val="en-US" w:eastAsia="zh-CN"/>
                    </w:rPr>
                    <w:t>工序。</w:t>
                  </w:r>
                </w:p>
                <w:p w14:paraId="0A187A16">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default" w:eastAsia="宋体"/>
                      <w:color w:val="auto"/>
                      <w:sz w:val="21"/>
                      <w:szCs w:val="21"/>
                      <w:lang w:val="en-US" w:eastAsia="zh-CN"/>
                    </w:rPr>
                  </w:pPr>
                  <w:r>
                    <w:rPr>
                      <w:rFonts w:hint="eastAsia" w:cs="Times New Roman"/>
                      <w:color w:val="auto"/>
                      <w:sz w:val="21"/>
                      <w:szCs w:val="21"/>
                      <w:vertAlign w:val="baseline"/>
                      <w:lang w:val="en-US" w:eastAsia="zh-CN"/>
                    </w:rPr>
                    <w:t>4、设置锂电池DCR测试和OCV检测，用于把控</w:t>
                  </w:r>
                  <w:r>
                    <w:rPr>
                      <w:rFonts w:hint="default" w:ascii="Times New Roman" w:hAnsi="Times New Roman" w:eastAsia="宋体" w:cs="Times New Roman"/>
                      <w:color w:val="auto"/>
                      <w:sz w:val="21"/>
                      <w:szCs w:val="21"/>
                      <w:vertAlign w:val="baseline"/>
                      <w:lang w:val="en-US" w:eastAsia="zh-CN"/>
                    </w:rPr>
                    <w:t>电池开路电压、内阻</w:t>
                  </w:r>
                  <w:r>
                    <w:rPr>
                      <w:rFonts w:hint="eastAsia" w:cs="Times New Roman"/>
                      <w:color w:val="auto"/>
                      <w:sz w:val="21"/>
                      <w:szCs w:val="21"/>
                      <w:vertAlign w:val="baseline"/>
                      <w:lang w:val="en-US" w:eastAsia="zh-CN"/>
                    </w:rPr>
                    <w:t>一致性，</w:t>
                  </w:r>
                  <w:r>
                    <w:rPr>
                      <w:rFonts w:hint="default" w:ascii="Times New Roman" w:hAnsi="Times New Roman" w:eastAsia="宋体" w:cs="Times New Roman"/>
                      <w:color w:val="auto"/>
                      <w:sz w:val="21"/>
                      <w:szCs w:val="21"/>
                      <w:vertAlign w:val="baseline"/>
                      <w:lang w:val="en-US" w:eastAsia="zh-CN"/>
                    </w:rPr>
                    <w:t>精度分别优于1mV和1mΩ</w:t>
                  </w:r>
                  <w:r>
                    <w:rPr>
                      <w:rFonts w:hint="eastAsia" w:cs="Times New Roman"/>
                      <w:color w:val="auto"/>
                      <w:sz w:val="21"/>
                      <w:szCs w:val="21"/>
                      <w:vertAlign w:val="baseline"/>
                      <w:lang w:val="en-US" w:eastAsia="zh-CN"/>
                    </w:rPr>
                    <w:t>；电池包裹蓝膜保护锂电池芯，并进行</w:t>
                  </w:r>
                  <w:r>
                    <w:rPr>
                      <w:rFonts w:hint="default" w:ascii="Times New Roman" w:hAnsi="Times New Roman" w:eastAsia="宋体" w:cs="Times New Roman"/>
                      <w:color w:val="auto"/>
                      <w:sz w:val="21"/>
                      <w:szCs w:val="21"/>
                      <w:vertAlign w:val="baseline"/>
                      <w:lang w:val="en-US" w:eastAsia="zh-CN"/>
                    </w:rPr>
                    <w:t>（HI-POT）</w:t>
                  </w:r>
                  <w:r>
                    <w:rPr>
                      <w:rFonts w:hint="eastAsia" w:cs="Times New Roman"/>
                      <w:color w:val="auto"/>
                      <w:sz w:val="21"/>
                      <w:szCs w:val="21"/>
                      <w:vertAlign w:val="baseline"/>
                      <w:lang w:val="en-US" w:eastAsia="zh-CN"/>
                    </w:rPr>
                    <w:t>工序检验；</w:t>
                  </w:r>
                  <w:r>
                    <w:rPr>
                      <w:rFonts w:hint="eastAsia" w:cs="Times New Roman"/>
                      <w:b w:val="0"/>
                      <w:bCs w:val="0"/>
                      <w:color w:val="auto"/>
                      <w:sz w:val="21"/>
                      <w:szCs w:val="21"/>
                      <w:lang w:val="en-US" w:eastAsia="zh-CN"/>
                    </w:rPr>
                    <w:t>安装冷却系统、泄爆阀、</w:t>
                  </w:r>
                  <w:r>
                    <w:rPr>
                      <w:rFonts w:hint="default" w:ascii="Times New Roman" w:hAnsi="Times New Roman" w:eastAsia="宋体" w:cs="Times New Roman"/>
                      <w:i w:val="0"/>
                      <w:iCs w:val="0"/>
                      <w:color w:val="auto"/>
                      <w:kern w:val="0"/>
                      <w:sz w:val="21"/>
                      <w:szCs w:val="21"/>
                      <w:u w:val="none"/>
                      <w:lang w:val="en-US" w:eastAsia="zh-CN" w:bidi="ar"/>
                    </w:rPr>
                    <w:t>BMS</w:t>
                  </w:r>
                  <w:r>
                    <w:rPr>
                      <w:rFonts w:hint="eastAsia" w:cs="Times New Roman"/>
                      <w:i w:val="0"/>
                      <w:iCs w:val="0"/>
                      <w:color w:val="auto"/>
                      <w:kern w:val="0"/>
                      <w:sz w:val="21"/>
                      <w:szCs w:val="21"/>
                      <w:u w:val="none"/>
                      <w:lang w:val="en-US" w:eastAsia="zh-CN" w:bidi="ar"/>
                    </w:rPr>
                    <w:t>系统等防止</w:t>
                  </w:r>
                  <w:r>
                    <w:rPr>
                      <w:rFonts w:hint="default" w:ascii="Times New Roman" w:hAnsi="Times New Roman" w:eastAsia="宋体" w:cs="Times New Roman"/>
                      <w:color w:val="auto"/>
                      <w:sz w:val="21"/>
                      <w:szCs w:val="21"/>
                      <w:vertAlign w:val="baseline"/>
                      <w:lang w:val="en-US" w:eastAsia="zh-CN"/>
                    </w:rPr>
                    <w:t>过充、过放、短路</w:t>
                  </w:r>
                  <w:r>
                    <w:rPr>
                      <w:rFonts w:hint="eastAsia" w:cs="Times New Roman"/>
                      <w:color w:val="auto"/>
                      <w:sz w:val="21"/>
                      <w:szCs w:val="21"/>
                      <w:vertAlign w:val="baseline"/>
                      <w:lang w:val="en-US" w:eastAsia="zh-CN"/>
                    </w:rPr>
                    <w:t>等意外情况发生。</w:t>
                  </w:r>
                  <w:r>
                    <w:rPr>
                      <w:rFonts w:hint="eastAsia" w:cs="Times New Roman"/>
                      <w:b w:val="0"/>
                      <w:bCs w:val="0"/>
                      <w:color w:val="auto"/>
                      <w:sz w:val="21"/>
                      <w:szCs w:val="21"/>
                      <w:lang w:val="en-US" w:eastAsia="zh-CN"/>
                    </w:rPr>
                    <w:t>‌</w:t>
                  </w:r>
                </w:p>
              </w:tc>
              <w:tc>
                <w:tcPr>
                  <w:tcW w:w="856" w:type="dxa"/>
                  <w:vAlign w:val="center"/>
                </w:tcPr>
                <w:p w14:paraId="6DC18E6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691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08A300A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3779" w:type="dxa"/>
                  <w:vAlign w:val="center"/>
                </w:tcPr>
                <w:p w14:paraId="5B7AEAE2">
                  <w:pPr>
                    <w:pStyle w:val="10"/>
                    <w:keepNext w:val="0"/>
                    <w:keepLines w:val="0"/>
                    <w:pageBreakBefore w:val="0"/>
                    <w:kinsoku/>
                    <w:wordWrap/>
                    <w:overflowPunct/>
                    <w:topLinePunct w:val="0"/>
                    <w:bidi w:val="0"/>
                    <w:snapToGrid w:val="0"/>
                    <w:spacing w:before="0" w:after="0" w:line="240" w:lineRule="auto"/>
                    <w:ind w:right="0" w:firstLine="422" w:firstLineChars="200"/>
                    <w:textAlignment w:val="auto"/>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b/>
                      <w:bCs/>
                      <w:i w:val="0"/>
                      <w:iCs w:val="0"/>
                      <w:caps w:val="0"/>
                      <w:color w:val="auto"/>
                      <w:spacing w:val="0"/>
                      <w:sz w:val="21"/>
                      <w:szCs w:val="21"/>
                      <w:shd w:val="clear" w:fill="FFFFFF"/>
                    </w:rPr>
                    <w:t>三、产品性能</w:t>
                  </w:r>
                </w:p>
                <w:p w14:paraId="7BCAB3AE">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一</w:t>
                  </w:r>
                  <w:r>
                    <w:rPr>
                      <w:rFonts w:hint="eastAsia"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电池</w:t>
                  </w:r>
                </w:p>
                <w:p w14:paraId="7669EC67">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eastAsia" w:ascii="Times New Roman" w:hAnsi="Times New Roman" w:eastAsia="宋体" w:cs="Times New Roman"/>
                      <w:i w:val="0"/>
                      <w:iCs w:val="0"/>
                      <w:caps w:val="0"/>
                      <w:color w:val="auto"/>
                      <w:spacing w:val="0"/>
                      <w:sz w:val="21"/>
                      <w:szCs w:val="21"/>
                      <w:shd w:val="clear" w:fill="FFFFFF"/>
                      <w:lang w:eastAsia="zh-CN"/>
                    </w:rPr>
                  </w:pPr>
                  <w:r>
                    <w:rPr>
                      <w:rFonts w:hint="default" w:ascii="Times New Roman" w:hAnsi="Times New Roman" w:eastAsia="宋体" w:cs="Times New Roman"/>
                      <w:i w:val="0"/>
                      <w:iCs w:val="0"/>
                      <w:caps w:val="0"/>
                      <w:color w:val="auto"/>
                      <w:spacing w:val="0"/>
                      <w:sz w:val="21"/>
                      <w:szCs w:val="21"/>
                      <w:shd w:val="clear" w:fill="FFFFFF"/>
                    </w:rPr>
                    <w:t>储能型电池。单体电池能量密度≥155Wh/kg，电池组能量密度≥110Wh/kg。单体电池循环寿命≥6000 次且容量保持率≥80%，电池组循环寿命≥5000 次且容量保持率≥80%</w:t>
                  </w:r>
                  <w:r>
                    <w:rPr>
                      <w:rFonts w:hint="eastAsia" w:cs="Times New Roman"/>
                      <w:i w:val="0"/>
                      <w:iCs w:val="0"/>
                      <w:caps w:val="0"/>
                      <w:color w:val="auto"/>
                      <w:spacing w:val="0"/>
                      <w:sz w:val="21"/>
                      <w:szCs w:val="21"/>
                      <w:shd w:val="clear" w:fill="FFFFFF"/>
                      <w:lang w:eastAsia="zh-CN"/>
                    </w:rPr>
                    <w:t>；</w:t>
                  </w:r>
                </w:p>
                <w:p w14:paraId="7B85DAE5">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eastAsia" w:cs="Times New Roman"/>
                      <w:i w:val="0"/>
                      <w:iCs w:val="0"/>
                      <w:caps w:val="0"/>
                      <w:color w:val="auto"/>
                      <w:spacing w:val="0"/>
                      <w:sz w:val="21"/>
                      <w:szCs w:val="21"/>
                      <w:shd w:val="clear" w:fill="FFFFFF"/>
                      <w:lang w:eastAsia="zh-CN"/>
                    </w:rPr>
                  </w:pPr>
                  <w:r>
                    <w:rPr>
                      <w:rFonts w:hint="eastAsia"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二</w:t>
                  </w:r>
                  <w:r>
                    <w:rPr>
                      <w:rFonts w:hint="eastAsia" w:cs="Times New Roman"/>
                      <w:i w:val="0"/>
                      <w:iCs w:val="0"/>
                      <w:caps w:val="0"/>
                      <w:color w:val="auto"/>
                      <w:spacing w:val="0"/>
                      <w:sz w:val="21"/>
                      <w:szCs w:val="21"/>
                      <w:shd w:val="clear" w:fill="FFFFFF"/>
                      <w:lang w:eastAsia="zh-CN"/>
                    </w:rPr>
                    <w:t>）正极材料</w:t>
                  </w:r>
                </w:p>
                <w:p w14:paraId="7EC8C778">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磷酸铁锂比容量≥155mAh/g</w:t>
                  </w:r>
                  <w:r>
                    <w:rPr>
                      <w:rFonts w:hint="eastAsia" w:cs="Times New Roman"/>
                      <w:color w:val="auto"/>
                      <w:sz w:val="21"/>
                      <w:szCs w:val="21"/>
                      <w:lang w:val="en-US" w:eastAsia="zh-CN"/>
                    </w:rPr>
                    <w:t>；</w:t>
                  </w:r>
                </w:p>
                <w:p w14:paraId="120594E9">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（三）负极材料</w:t>
                  </w:r>
                </w:p>
                <w:p w14:paraId="110DE4E0">
                  <w:pPr>
                    <w:pStyle w:val="10"/>
                    <w:keepNext w:val="0"/>
                    <w:keepLines w:val="0"/>
                    <w:pageBreakBefore w:val="0"/>
                    <w:kinsoku/>
                    <w:wordWrap/>
                    <w:overflowPunct/>
                    <w:topLinePunct w:val="0"/>
                    <w:bidi w:val="0"/>
                    <w:snapToGrid w:val="0"/>
                    <w:spacing w:before="0" w:after="0" w:line="240" w:lineRule="auto"/>
                    <w:ind w:right="0" w:firstLine="420" w:firstLineChars="200"/>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碳（石墨）比容量≥340mAh/g</w:t>
                  </w:r>
                  <w:r>
                    <w:rPr>
                      <w:rFonts w:hint="eastAsia" w:cs="Times New Roman"/>
                      <w:color w:val="auto"/>
                      <w:sz w:val="21"/>
                      <w:szCs w:val="21"/>
                      <w:lang w:val="en-US" w:eastAsia="zh-CN"/>
                    </w:rPr>
                    <w:t>；</w:t>
                  </w:r>
                </w:p>
                <w:p w14:paraId="28065264">
                  <w:pPr>
                    <w:numPr>
                      <w:ilvl w:val="0"/>
                      <w:numId w:val="1"/>
                    </w:numPr>
                    <w:ind w:firstLine="420" w:firstLineChars="200"/>
                    <w:rPr>
                      <w:rFonts w:hint="default"/>
                      <w:sz w:val="21"/>
                      <w:szCs w:val="21"/>
                      <w:lang w:val="en-US" w:eastAsia="zh-CN"/>
                    </w:rPr>
                  </w:pPr>
                  <w:r>
                    <w:rPr>
                      <w:rFonts w:hint="default"/>
                      <w:sz w:val="21"/>
                      <w:szCs w:val="21"/>
                      <w:lang w:val="en-US" w:eastAsia="zh-CN"/>
                    </w:rPr>
                    <w:t>隔膜</w:t>
                  </w:r>
                </w:p>
                <w:p w14:paraId="10BDD70E">
                  <w:pPr>
                    <w:numPr>
                      <w:ilvl w:val="0"/>
                      <w:numId w:val="0"/>
                    </w:numPr>
                    <w:ind w:firstLine="420" w:firstLineChars="200"/>
                    <w:rPr>
                      <w:rFonts w:hint="default"/>
                      <w:sz w:val="21"/>
                      <w:szCs w:val="21"/>
                      <w:lang w:val="en-US" w:eastAsia="zh-CN"/>
                    </w:rPr>
                  </w:pPr>
                  <w:r>
                    <w:rPr>
                      <w:rFonts w:hint="default"/>
                      <w:sz w:val="21"/>
                      <w:szCs w:val="21"/>
                      <w:lang w:val="en-US" w:eastAsia="zh-CN"/>
                    </w:rPr>
                    <w:t>干法双向拉伸：纵向拉伸强度≥110MPa，横向拉伸强度≥25MPa，穿刺强度≥0.133N/μm</w:t>
                  </w:r>
                  <w:r>
                    <w:rPr>
                      <w:rFonts w:hint="eastAsia"/>
                      <w:sz w:val="21"/>
                      <w:szCs w:val="21"/>
                      <w:lang w:val="en-US" w:eastAsia="zh-CN"/>
                    </w:rPr>
                    <w:t>；</w:t>
                  </w:r>
                </w:p>
              </w:tc>
              <w:tc>
                <w:tcPr>
                  <w:tcW w:w="3705" w:type="dxa"/>
                  <w:vAlign w:val="center"/>
                </w:tcPr>
                <w:p w14:paraId="7247FE0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color w:val="auto"/>
                      <w:kern w:val="0"/>
                      <w:sz w:val="21"/>
                      <w:szCs w:val="21"/>
                      <w:lang w:val="en-US" w:eastAsia="zh-CN"/>
                    </w:rPr>
                    <w:t>1、根据业主提供的数据本项目锂电池单体</w:t>
                  </w:r>
                  <w:r>
                    <w:rPr>
                      <w:rFonts w:hint="default" w:ascii="Times New Roman" w:hAnsi="Times New Roman" w:eastAsia="宋体" w:cs="Times New Roman"/>
                      <w:i w:val="0"/>
                      <w:iCs w:val="0"/>
                      <w:caps w:val="0"/>
                      <w:color w:val="auto"/>
                      <w:spacing w:val="0"/>
                      <w:sz w:val="21"/>
                      <w:szCs w:val="21"/>
                      <w:shd w:val="clear" w:fill="FFFFFF"/>
                    </w:rPr>
                    <w:t>能量密度</w:t>
                  </w:r>
                  <w:r>
                    <w:rPr>
                      <w:rFonts w:hint="eastAsia" w:cs="Times New Roman"/>
                      <w:i w:val="0"/>
                      <w:iCs w:val="0"/>
                      <w:caps w:val="0"/>
                      <w:color w:val="auto"/>
                      <w:spacing w:val="0"/>
                      <w:sz w:val="21"/>
                      <w:szCs w:val="21"/>
                      <w:shd w:val="clear" w:fill="FFFFFF"/>
                      <w:lang w:val="en-US" w:eastAsia="zh-CN"/>
                    </w:rPr>
                    <w:t>为170</w:t>
                  </w:r>
                  <w:r>
                    <w:rPr>
                      <w:rFonts w:hint="default" w:ascii="Times New Roman" w:hAnsi="Times New Roman" w:eastAsia="宋体" w:cs="Times New Roman"/>
                      <w:i w:val="0"/>
                      <w:iCs w:val="0"/>
                      <w:caps w:val="0"/>
                      <w:color w:val="auto"/>
                      <w:spacing w:val="0"/>
                      <w:sz w:val="21"/>
                      <w:szCs w:val="21"/>
                      <w:shd w:val="clear" w:fill="FFFFFF"/>
                    </w:rPr>
                    <w:t>Wh/kg，电池组能量密度≥1</w:t>
                  </w:r>
                  <w:r>
                    <w:rPr>
                      <w:rFonts w:hint="eastAsia" w:cs="Times New Roman"/>
                      <w:i w:val="0"/>
                      <w:iCs w:val="0"/>
                      <w:caps w:val="0"/>
                      <w:color w:val="auto"/>
                      <w:spacing w:val="0"/>
                      <w:sz w:val="21"/>
                      <w:szCs w:val="21"/>
                      <w:shd w:val="clear" w:fill="FFFFFF"/>
                      <w:lang w:val="en-US" w:eastAsia="zh-CN"/>
                    </w:rPr>
                    <w:t>25</w:t>
                  </w:r>
                  <w:r>
                    <w:rPr>
                      <w:rFonts w:hint="default" w:ascii="Times New Roman" w:hAnsi="Times New Roman" w:eastAsia="宋体" w:cs="Times New Roman"/>
                      <w:i w:val="0"/>
                      <w:iCs w:val="0"/>
                      <w:caps w:val="0"/>
                      <w:color w:val="auto"/>
                      <w:spacing w:val="0"/>
                      <w:sz w:val="21"/>
                      <w:szCs w:val="21"/>
                      <w:shd w:val="clear" w:fill="FFFFFF"/>
                    </w:rPr>
                    <w:t>Wh/kg</w:t>
                  </w:r>
                  <w:r>
                    <w:rPr>
                      <w:rFonts w:hint="eastAsia"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单体电池循环寿命≥6</w:t>
                  </w:r>
                  <w:r>
                    <w:rPr>
                      <w:rFonts w:hint="eastAsia" w:cs="Times New Roman"/>
                      <w:i w:val="0"/>
                      <w:iCs w:val="0"/>
                      <w:caps w:val="0"/>
                      <w:color w:val="auto"/>
                      <w:spacing w:val="0"/>
                      <w:sz w:val="21"/>
                      <w:szCs w:val="21"/>
                      <w:shd w:val="clear" w:fill="FFFFFF"/>
                      <w:lang w:val="en-US" w:eastAsia="zh-CN"/>
                    </w:rPr>
                    <w:t>5</w:t>
                  </w:r>
                  <w:r>
                    <w:rPr>
                      <w:rFonts w:hint="default" w:ascii="Times New Roman" w:hAnsi="Times New Roman" w:eastAsia="宋体" w:cs="Times New Roman"/>
                      <w:i w:val="0"/>
                      <w:iCs w:val="0"/>
                      <w:caps w:val="0"/>
                      <w:color w:val="auto"/>
                      <w:spacing w:val="0"/>
                      <w:sz w:val="21"/>
                      <w:szCs w:val="21"/>
                      <w:shd w:val="clear" w:fill="FFFFFF"/>
                    </w:rPr>
                    <w:t>00次</w:t>
                  </w:r>
                  <w:r>
                    <w:rPr>
                      <w:rFonts w:hint="eastAsia"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DOD85%</w:t>
                  </w:r>
                  <w:r>
                    <w:rPr>
                      <w:rFonts w:hint="eastAsia"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rPr>
                    <w:t>电池组循环寿命≥5</w:t>
                  </w:r>
                  <w:r>
                    <w:rPr>
                      <w:rFonts w:hint="eastAsia" w:cs="Times New Roman"/>
                      <w:i w:val="0"/>
                      <w:iCs w:val="0"/>
                      <w:caps w:val="0"/>
                      <w:color w:val="auto"/>
                      <w:spacing w:val="0"/>
                      <w:sz w:val="21"/>
                      <w:szCs w:val="21"/>
                      <w:shd w:val="clear" w:fill="FFFFFF"/>
                      <w:lang w:val="en-US" w:eastAsia="zh-CN"/>
                    </w:rPr>
                    <w:t>8</w:t>
                  </w:r>
                  <w:r>
                    <w:rPr>
                      <w:rFonts w:hint="default" w:ascii="Times New Roman" w:hAnsi="Times New Roman" w:eastAsia="宋体" w:cs="Times New Roman"/>
                      <w:i w:val="0"/>
                      <w:iCs w:val="0"/>
                      <w:caps w:val="0"/>
                      <w:color w:val="auto"/>
                      <w:spacing w:val="0"/>
                      <w:sz w:val="21"/>
                      <w:szCs w:val="21"/>
                      <w:shd w:val="clear" w:fill="FFFFFF"/>
                    </w:rPr>
                    <w:t>00</w:t>
                  </w:r>
                  <w:r>
                    <w:rPr>
                      <w:rFonts w:hint="eastAsia"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DOD85%</w:t>
                  </w:r>
                  <w:r>
                    <w:rPr>
                      <w:rFonts w:hint="eastAsia" w:cs="Times New Roman"/>
                      <w:i w:val="0"/>
                      <w:iCs w:val="0"/>
                      <w:caps w:val="0"/>
                      <w:color w:val="auto"/>
                      <w:spacing w:val="0"/>
                      <w:sz w:val="21"/>
                      <w:szCs w:val="21"/>
                      <w:shd w:val="clear" w:fill="FFFFFF"/>
                      <w:lang w:eastAsia="zh-CN"/>
                    </w:rPr>
                    <w:t>）</w:t>
                  </w:r>
                  <w:r>
                    <w:rPr>
                      <w:rFonts w:hint="default" w:ascii="Times New Roman" w:hAnsi="Times New Roman" w:eastAsia="宋体" w:cs="Times New Roman"/>
                      <w:i w:val="0"/>
                      <w:iCs w:val="0"/>
                      <w:caps w:val="0"/>
                      <w:color w:val="auto"/>
                      <w:spacing w:val="0"/>
                      <w:sz w:val="21"/>
                      <w:szCs w:val="21"/>
                      <w:shd w:val="clear" w:fill="FFFFFF"/>
                      <w:lang w:eastAsia="zh-CN"/>
                    </w:rPr>
                    <w:t>。</w:t>
                  </w:r>
                </w:p>
                <w:p w14:paraId="3A8A3E9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default" w:cs="Times New Roman"/>
                      <w:color w:val="auto"/>
                      <w:kern w:val="0"/>
                      <w:sz w:val="21"/>
                      <w:szCs w:val="21"/>
                      <w:lang w:val="en-US" w:eastAsia="zh-CN"/>
                    </w:rPr>
                  </w:pPr>
                  <w:r>
                    <w:rPr>
                      <w:rFonts w:hint="eastAsia" w:cs="Times New Roman"/>
                      <w:i w:val="0"/>
                      <w:iCs w:val="0"/>
                      <w:caps w:val="0"/>
                      <w:color w:val="auto"/>
                      <w:spacing w:val="0"/>
                      <w:sz w:val="21"/>
                      <w:szCs w:val="21"/>
                      <w:shd w:val="clear" w:fill="FFFFFF"/>
                      <w:lang w:val="en-US" w:eastAsia="zh-CN"/>
                    </w:rPr>
                    <w:t>2、项目使用的</w:t>
                  </w:r>
                  <w:r>
                    <w:rPr>
                      <w:rFonts w:hint="eastAsia" w:cs="Times New Roman"/>
                      <w:i w:val="0"/>
                      <w:iCs w:val="0"/>
                      <w:caps w:val="0"/>
                      <w:color w:val="auto"/>
                      <w:spacing w:val="0"/>
                      <w:sz w:val="21"/>
                      <w:szCs w:val="21"/>
                      <w:shd w:val="clear" w:fill="FFFFFF"/>
                      <w:lang w:eastAsia="zh-CN"/>
                    </w:rPr>
                    <w:t>正极材料</w:t>
                  </w:r>
                  <w:r>
                    <w:rPr>
                      <w:rFonts w:hint="default" w:ascii="Times New Roman" w:hAnsi="Times New Roman" w:eastAsia="宋体" w:cs="Times New Roman"/>
                      <w:color w:val="auto"/>
                      <w:sz w:val="21"/>
                      <w:szCs w:val="21"/>
                      <w:lang w:val="en-US" w:eastAsia="zh-CN"/>
                    </w:rPr>
                    <w:t>磷酸铁锂比容</w:t>
                  </w:r>
                  <w:r>
                    <w:rPr>
                      <w:rFonts w:hint="default" w:cs="Times New Roman"/>
                      <w:color w:val="auto"/>
                      <w:kern w:val="0"/>
                      <w:sz w:val="21"/>
                      <w:szCs w:val="21"/>
                      <w:lang w:val="en-US" w:eastAsia="zh-CN"/>
                    </w:rPr>
                    <w:t>量</w:t>
                  </w:r>
                  <w:r>
                    <w:rPr>
                      <w:rFonts w:hint="eastAsia" w:cs="Times New Roman"/>
                      <w:color w:val="auto"/>
                      <w:kern w:val="0"/>
                      <w:sz w:val="21"/>
                      <w:szCs w:val="21"/>
                      <w:lang w:val="en-US" w:eastAsia="zh-CN"/>
                    </w:rPr>
                    <w:t>为170</w:t>
                  </w:r>
                  <w:r>
                    <w:rPr>
                      <w:rFonts w:hint="default" w:cs="Times New Roman"/>
                      <w:color w:val="auto"/>
                      <w:kern w:val="0"/>
                      <w:sz w:val="21"/>
                      <w:szCs w:val="21"/>
                      <w:lang w:val="en-US" w:eastAsia="zh-CN"/>
                    </w:rPr>
                    <w:t>mAh/g</w:t>
                  </w:r>
                  <w:r>
                    <w:rPr>
                      <w:rFonts w:hint="eastAsia" w:cs="Times New Roman"/>
                      <w:color w:val="auto"/>
                      <w:kern w:val="0"/>
                      <w:sz w:val="21"/>
                      <w:szCs w:val="21"/>
                      <w:lang w:val="en-US" w:eastAsia="zh-CN"/>
                    </w:rPr>
                    <w:t>；</w:t>
                  </w:r>
                </w:p>
                <w:p w14:paraId="396341F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3、项目使用的</w:t>
                  </w:r>
                  <w:r>
                    <w:rPr>
                      <w:rFonts w:hint="default" w:cs="Times New Roman"/>
                      <w:color w:val="auto"/>
                      <w:kern w:val="0"/>
                      <w:sz w:val="21"/>
                      <w:szCs w:val="21"/>
                      <w:lang w:val="en-US" w:eastAsia="zh-CN"/>
                    </w:rPr>
                    <w:t>负极材料碳（石墨）比容量</w:t>
                  </w:r>
                  <w:r>
                    <w:rPr>
                      <w:rFonts w:hint="eastAsia" w:cs="Times New Roman"/>
                      <w:color w:val="auto"/>
                      <w:kern w:val="0"/>
                      <w:sz w:val="21"/>
                      <w:szCs w:val="21"/>
                      <w:lang w:val="en-US" w:eastAsia="zh-CN"/>
                    </w:rPr>
                    <w:t>为</w:t>
                  </w:r>
                  <w:r>
                    <w:rPr>
                      <w:rFonts w:hint="default" w:cs="Times New Roman"/>
                      <w:color w:val="auto"/>
                      <w:kern w:val="0"/>
                      <w:sz w:val="21"/>
                      <w:szCs w:val="21"/>
                      <w:lang w:val="en-US" w:eastAsia="zh-CN"/>
                    </w:rPr>
                    <w:t>3</w:t>
                  </w:r>
                  <w:r>
                    <w:rPr>
                      <w:rFonts w:hint="eastAsia" w:cs="Times New Roman"/>
                      <w:color w:val="auto"/>
                      <w:kern w:val="0"/>
                      <w:sz w:val="21"/>
                      <w:szCs w:val="21"/>
                      <w:lang w:val="en-US" w:eastAsia="zh-CN"/>
                    </w:rPr>
                    <w:t>6</w:t>
                  </w:r>
                  <w:r>
                    <w:rPr>
                      <w:rFonts w:hint="default" w:cs="Times New Roman"/>
                      <w:color w:val="auto"/>
                      <w:kern w:val="0"/>
                      <w:sz w:val="21"/>
                      <w:szCs w:val="21"/>
                      <w:lang w:val="en-US" w:eastAsia="zh-CN"/>
                    </w:rPr>
                    <w:t>0mAh/g</w:t>
                  </w:r>
                  <w:r>
                    <w:rPr>
                      <w:rFonts w:hint="eastAsia" w:cs="Times New Roman"/>
                      <w:color w:val="auto"/>
                      <w:kern w:val="0"/>
                      <w:sz w:val="21"/>
                      <w:szCs w:val="21"/>
                      <w:lang w:val="en-US" w:eastAsia="zh-CN"/>
                    </w:rPr>
                    <w:t>；</w:t>
                  </w:r>
                </w:p>
                <w:p w14:paraId="2AE177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20" w:firstLineChars="200"/>
                    <w:jc w:val="both"/>
                    <w:textAlignment w:val="auto"/>
                    <w:rPr>
                      <w:rFonts w:hint="default" w:eastAsia="宋体"/>
                      <w:color w:val="auto"/>
                      <w:sz w:val="21"/>
                      <w:szCs w:val="21"/>
                      <w:lang w:val="en-US" w:eastAsia="zh-CN"/>
                    </w:rPr>
                  </w:pPr>
                  <w:r>
                    <w:rPr>
                      <w:rFonts w:hint="eastAsia" w:cs="Times New Roman"/>
                      <w:color w:val="auto"/>
                      <w:kern w:val="0"/>
                      <w:sz w:val="21"/>
                      <w:szCs w:val="21"/>
                      <w:lang w:val="en-US" w:eastAsia="zh-CN"/>
                    </w:rPr>
                    <w:t>4、项目使用的mylar膜为干法双向拉伸制成，</w:t>
                  </w:r>
                  <w:r>
                    <w:rPr>
                      <w:rFonts w:hint="default" w:cs="Times New Roman"/>
                      <w:color w:val="auto"/>
                      <w:kern w:val="0"/>
                      <w:sz w:val="21"/>
                      <w:szCs w:val="21"/>
                      <w:lang w:val="en-US" w:eastAsia="zh-CN"/>
                    </w:rPr>
                    <w:t>纵向拉伸强度≥110MPa，横向拉伸强度≥25MPa，穿刺强度≥0.133N/μm</w:t>
                  </w:r>
                  <w:r>
                    <w:rPr>
                      <w:rFonts w:hint="eastAsia" w:cs="Times New Roman"/>
                      <w:color w:val="auto"/>
                      <w:kern w:val="0"/>
                      <w:sz w:val="21"/>
                      <w:szCs w:val="21"/>
                      <w:lang w:val="en-US" w:eastAsia="zh-CN"/>
                    </w:rPr>
                    <w:t>。</w:t>
                  </w:r>
                </w:p>
              </w:tc>
              <w:tc>
                <w:tcPr>
                  <w:tcW w:w="856" w:type="dxa"/>
                  <w:vAlign w:val="center"/>
                </w:tcPr>
                <w:p w14:paraId="0FF5C0F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ED4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2947A9D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3779" w:type="dxa"/>
                  <w:vAlign w:val="center"/>
                </w:tcPr>
                <w:p w14:paraId="7CBCC83F">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2" w:firstLineChars="200"/>
                    <w:textAlignment w:val="auto"/>
                    <w:rPr>
                      <w:rFonts w:hint="default" w:ascii="Times New Roman" w:hAnsi="Times New Roman" w:eastAsia="宋体" w:cs="Times New Roman"/>
                      <w:b/>
                      <w:bCs/>
                      <w:i w:val="0"/>
                      <w:iCs w:val="0"/>
                      <w:caps w:val="0"/>
                      <w:color w:val="auto"/>
                      <w:spacing w:val="0"/>
                      <w:sz w:val="21"/>
                      <w:szCs w:val="21"/>
                      <w:shd w:val="clear" w:fill="FFFFFF"/>
                    </w:rPr>
                  </w:pP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SA"/>
                    </w:rPr>
                    <w:t>四、</w:t>
                  </w:r>
                  <w:r>
                    <w:rPr>
                      <w:rFonts w:hint="default" w:ascii="Times New Roman" w:hAnsi="Times New Roman" w:eastAsia="宋体" w:cs="Times New Roman"/>
                      <w:b/>
                      <w:bCs/>
                      <w:i w:val="0"/>
                      <w:iCs w:val="0"/>
                      <w:caps w:val="0"/>
                      <w:color w:val="auto"/>
                      <w:spacing w:val="0"/>
                      <w:sz w:val="21"/>
                      <w:szCs w:val="21"/>
                      <w:shd w:val="clear" w:fill="FFFFFF"/>
                    </w:rPr>
                    <w:t>安全和质量管理</w:t>
                  </w:r>
                </w:p>
                <w:p w14:paraId="5E23B955">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一）企业应遵守《中华人民共和国安全生产法》及其他安全生产有关法律法规，执行保障安全生产的国家或行业标准，严格落实建设项目安全设施“三同时”制度要求，当年及上一年度未发生较大及以上生产安全事故。</w:t>
                  </w:r>
                </w:p>
                <w:p w14:paraId="5DE496F1">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二）企业应建立健全安全生产责任制和安全生产规章制度，加大对安全生产资金、物资、技术、人员的投入保障力度，改善安全生产条件，加强安全生产信息化建设，设立产品制造安全质量追溯手段，加强从业人员安全生产教育和培训，构建安全风险分级管控和隐患排查治理双重预防机制，健全风险防范化解机制，开展安全生产标准化建设并达到三级及以上水平。</w:t>
                  </w:r>
                </w:p>
                <w:p w14:paraId="5199C0B0">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（三）锂离子电池企业应加强应急处置能力建设，制定事故应急预案并定期开展演练，建设事故处置专业队伍，并配备与企业规模相适应的人员和装备。</w:t>
                  </w:r>
                </w:p>
                <w:p w14:paraId="69E7EE7A">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0" w:firstLineChars="200"/>
                    <w:textAlignment w:val="auto"/>
                    <w:rPr>
                      <w:rFonts w:hint="default" w:ascii="Times New Roman" w:hAnsi="Times New Roman" w:eastAsia="宋体" w:cs="Times New Roman"/>
                      <w:i w:val="0"/>
                      <w:iCs w:val="0"/>
                      <w:caps w:val="0"/>
                      <w:color w:val="auto"/>
                      <w:spacing w:val="0"/>
                      <w:sz w:val="21"/>
                      <w:szCs w:val="21"/>
                      <w:shd w:val="clear" w:fill="FFFFFF"/>
                    </w:rPr>
                  </w:pPr>
                  <w:r>
                    <w:rPr>
                      <w:rFonts w:hint="default" w:ascii="Times New Roman" w:hAnsi="Times New Roman" w:eastAsia="宋体" w:cs="Times New Roman"/>
                      <w:i w:val="0"/>
                      <w:iCs w:val="0"/>
                      <w:caps w:val="0"/>
                      <w:color w:val="auto"/>
                      <w:spacing w:val="0"/>
                      <w:sz w:val="21"/>
                      <w:szCs w:val="21"/>
                      <w:shd w:val="clear" w:fill="FFFFFF"/>
                    </w:rPr>
                    <w:t>（四）锂离子电池产品的安全应符合有关强制性标准和强制性认证要求。鼓励企业制定和执行高于国家或行业标准的产品技术标准或规范。</w:t>
                  </w:r>
                </w:p>
              </w:tc>
              <w:tc>
                <w:tcPr>
                  <w:tcW w:w="3705" w:type="dxa"/>
                  <w:vAlign w:val="center"/>
                </w:tcPr>
                <w:p w14:paraId="7727174A">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i w:val="0"/>
                      <w:iCs w:val="0"/>
                      <w:caps w:val="0"/>
                      <w:color w:val="auto"/>
                      <w:spacing w:val="0"/>
                      <w:sz w:val="21"/>
                      <w:szCs w:val="21"/>
                      <w:shd w:val="clear" w:fill="FFFFFF"/>
                      <w:lang w:val="en-US" w:eastAsia="zh-CN"/>
                    </w:rPr>
                    <w:t>1、目前企业暂未开工建设，正在委托专业的第三方机构开展</w:t>
                  </w:r>
                  <w:r>
                    <w:rPr>
                      <w:rFonts w:hint="default" w:ascii="Times New Roman" w:hAnsi="Times New Roman" w:eastAsia="宋体" w:cs="Times New Roman"/>
                      <w:i w:val="0"/>
                      <w:iCs w:val="0"/>
                      <w:caps w:val="0"/>
                      <w:color w:val="auto"/>
                      <w:spacing w:val="0"/>
                      <w:sz w:val="21"/>
                      <w:szCs w:val="21"/>
                      <w:shd w:val="clear" w:fill="FFFFFF"/>
                    </w:rPr>
                    <w:t>项目安全设施“三同时”</w:t>
                  </w:r>
                  <w:r>
                    <w:rPr>
                      <w:rFonts w:hint="eastAsia" w:cs="Times New Roman"/>
                      <w:i w:val="0"/>
                      <w:iCs w:val="0"/>
                      <w:caps w:val="0"/>
                      <w:color w:val="auto"/>
                      <w:spacing w:val="0"/>
                      <w:sz w:val="21"/>
                      <w:szCs w:val="21"/>
                      <w:shd w:val="clear" w:fill="FFFFFF"/>
                      <w:lang w:val="en-US" w:eastAsia="zh-CN"/>
                    </w:rPr>
                    <w:t>工作</w:t>
                  </w:r>
                  <w:r>
                    <w:rPr>
                      <w:rFonts w:hint="eastAsia" w:ascii="Times New Roman" w:hAnsi="Times New Roman" w:eastAsia="宋体" w:cs="Times New Roman"/>
                      <w:color w:val="auto"/>
                      <w:sz w:val="21"/>
                      <w:szCs w:val="21"/>
                      <w:lang w:val="en-US" w:eastAsia="zh-CN"/>
                    </w:rPr>
                    <w:t>。</w:t>
                  </w:r>
                </w:p>
                <w:p w14:paraId="56180CA3">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cs="Times New Roman"/>
                      <w:i w:val="0"/>
                      <w:iCs w:val="0"/>
                      <w:caps w:val="0"/>
                      <w:color w:val="auto"/>
                      <w:spacing w:val="0"/>
                      <w:sz w:val="21"/>
                      <w:szCs w:val="21"/>
                      <w:shd w:val="clear" w:fill="FFFFFF"/>
                      <w:lang w:eastAsia="zh-CN"/>
                    </w:rPr>
                  </w:pPr>
                  <w:r>
                    <w:rPr>
                      <w:rFonts w:hint="eastAsia" w:cs="Times New Roman"/>
                      <w:color w:val="auto"/>
                      <w:sz w:val="21"/>
                      <w:szCs w:val="21"/>
                      <w:lang w:val="en-US" w:eastAsia="zh-CN"/>
                    </w:rPr>
                    <w:t>2、企业应</w:t>
                  </w:r>
                  <w:r>
                    <w:rPr>
                      <w:rFonts w:hint="default" w:ascii="Times New Roman" w:hAnsi="Times New Roman" w:eastAsia="宋体" w:cs="Times New Roman"/>
                      <w:i w:val="0"/>
                      <w:iCs w:val="0"/>
                      <w:caps w:val="0"/>
                      <w:color w:val="auto"/>
                      <w:spacing w:val="0"/>
                      <w:sz w:val="21"/>
                      <w:szCs w:val="21"/>
                      <w:shd w:val="clear" w:fill="FFFFFF"/>
                    </w:rPr>
                    <w:t>应建立健全安全生产责任制和安全生产规章制度</w:t>
                  </w:r>
                  <w:r>
                    <w:rPr>
                      <w:rFonts w:hint="eastAsia"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设置专业人员管理</w:t>
                  </w:r>
                  <w:r>
                    <w:rPr>
                      <w:rFonts w:hint="default" w:ascii="Times New Roman" w:hAnsi="Times New Roman" w:eastAsia="宋体" w:cs="Times New Roman"/>
                      <w:i w:val="0"/>
                      <w:iCs w:val="0"/>
                      <w:caps w:val="0"/>
                      <w:color w:val="auto"/>
                      <w:spacing w:val="0"/>
                      <w:sz w:val="21"/>
                      <w:szCs w:val="21"/>
                      <w:shd w:val="clear" w:fill="FFFFFF"/>
                    </w:rPr>
                    <w:t>安全生产</w:t>
                  </w:r>
                  <w:r>
                    <w:rPr>
                      <w:rFonts w:hint="eastAsia" w:cs="Times New Roman"/>
                      <w:i w:val="0"/>
                      <w:iCs w:val="0"/>
                      <w:caps w:val="0"/>
                      <w:color w:val="auto"/>
                      <w:spacing w:val="0"/>
                      <w:sz w:val="21"/>
                      <w:szCs w:val="21"/>
                      <w:shd w:val="clear" w:fill="FFFFFF"/>
                      <w:lang w:val="en-US" w:eastAsia="zh-CN"/>
                    </w:rPr>
                    <w:t>工作，建设安全信息化系统，</w:t>
                  </w:r>
                  <w:r>
                    <w:rPr>
                      <w:rFonts w:hint="default" w:ascii="Times New Roman" w:hAnsi="Times New Roman" w:eastAsia="宋体" w:cs="Times New Roman"/>
                      <w:i w:val="0"/>
                      <w:iCs w:val="0"/>
                      <w:caps w:val="0"/>
                      <w:color w:val="auto"/>
                      <w:spacing w:val="0"/>
                      <w:sz w:val="21"/>
                      <w:szCs w:val="21"/>
                      <w:shd w:val="clear" w:fill="FFFFFF"/>
                    </w:rPr>
                    <w:t>设立产品制造安全质量追溯手段</w:t>
                  </w:r>
                  <w:r>
                    <w:rPr>
                      <w:rFonts w:hint="eastAsia"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定期组织员工安全教育培训，建设JHA和SCL体系进行</w:t>
                  </w:r>
                  <w:r>
                    <w:rPr>
                      <w:rFonts w:hint="default" w:ascii="Times New Roman" w:hAnsi="Times New Roman" w:eastAsia="宋体" w:cs="Times New Roman"/>
                      <w:i w:val="0"/>
                      <w:iCs w:val="0"/>
                      <w:caps w:val="0"/>
                      <w:color w:val="auto"/>
                      <w:spacing w:val="0"/>
                      <w:sz w:val="21"/>
                      <w:szCs w:val="21"/>
                      <w:shd w:val="clear" w:fill="FFFFFF"/>
                    </w:rPr>
                    <w:t>风险</w:t>
                  </w:r>
                  <w:r>
                    <w:rPr>
                      <w:rFonts w:hint="eastAsia" w:cs="Times New Roman"/>
                      <w:i w:val="0"/>
                      <w:iCs w:val="0"/>
                      <w:caps w:val="0"/>
                      <w:color w:val="auto"/>
                      <w:spacing w:val="0"/>
                      <w:sz w:val="21"/>
                      <w:szCs w:val="21"/>
                      <w:shd w:val="clear" w:fill="FFFFFF"/>
                      <w:lang w:val="en-US" w:eastAsia="zh-CN"/>
                    </w:rPr>
                    <w:t>预防，</w:t>
                  </w:r>
                  <w:r>
                    <w:rPr>
                      <w:rFonts w:hint="default" w:ascii="Times New Roman" w:hAnsi="Times New Roman" w:eastAsia="宋体" w:cs="Times New Roman"/>
                      <w:i w:val="0"/>
                      <w:iCs w:val="0"/>
                      <w:caps w:val="0"/>
                      <w:color w:val="auto"/>
                      <w:spacing w:val="0"/>
                      <w:sz w:val="21"/>
                      <w:szCs w:val="21"/>
                      <w:shd w:val="clear" w:fill="FFFFFF"/>
                    </w:rPr>
                    <w:t>开展安全生产标准化建设并达到三级及以上水平</w:t>
                  </w:r>
                  <w:r>
                    <w:rPr>
                      <w:rFonts w:hint="eastAsia" w:cs="Times New Roman"/>
                      <w:i w:val="0"/>
                      <w:iCs w:val="0"/>
                      <w:caps w:val="0"/>
                      <w:color w:val="auto"/>
                      <w:spacing w:val="0"/>
                      <w:sz w:val="21"/>
                      <w:szCs w:val="21"/>
                      <w:shd w:val="clear" w:fill="FFFFFF"/>
                      <w:lang w:eastAsia="zh-CN"/>
                    </w:rPr>
                    <w:t>。</w:t>
                  </w:r>
                </w:p>
                <w:p w14:paraId="354D7F84">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color w:val="auto"/>
                      <w:sz w:val="21"/>
                      <w:szCs w:val="21"/>
                      <w:lang w:val="en-US" w:eastAsia="zh-CN"/>
                    </w:rPr>
                  </w:pPr>
                  <w:r>
                    <w:rPr>
                      <w:rFonts w:hint="eastAsia" w:cs="Times New Roman"/>
                      <w:i w:val="0"/>
                      <w:iCs w:val="0"/>
                      <w:caps w:val="0"/>
                      <w:color w:val="auto"/>
                      <w:spacing w:val="0"/>
                      <w:sz w:val="21"/>
                      <w:szCs w:val="21"/>
                      <w:shd w:val="clear" w:fill="FFFFFF"/>
                      <w:lang w:val="en-US" w:eastAsia="zh-CN"/>
                    </w:rPr>
                    <w:t>3、</w:t>
                  </w:r>
                  <w:r>
                    <w:rPr>
                      <w:rFonts w:hint="eastAsia"/>
                      <w:color w:val="auto"/>
                      <w:sz w:val="21"/>
                      <w:szCs w:val="21"/>
                    </w:rPr>
                    <w:t>本</w:t>
                  </w:r>
                  <w:r>
                    <w:rPr>
                      <w:rFonts w:hint="eastAsia"/>
                      <w:color w:val="auto"/>
                      <w:sz w:val="21"/>
                      <w:szCs w:val="21"/>
                      <w:lang w:val="en-US" w:eastAsia="zh-CN"/>
                    </w:rPr>
                    <w:t>次评价</w:t>
                  </w:r>
                  <w:r>
                    <w:rPr>
                      <w:rFonts w:hint="eastAsia"/>
                      <w:color w:val="auto"/>
                      <w:sz w:val="21"/>
                      <w:szCs w:val="21"/>
                    </w:rPr>
                    <w:t>要求项目建成后及时编制突发环境事件应急预案</w:t>
                  </w:r>
                  <w:r>
                    <w:rPr>
                      <w:rFonts w:hint="eastAsia"/>
                      <w:color w:val="auto"/>
                      <w:sz w:val="21"/>
                      <w:szCs w:val="21"/>
                      <w:lang w:eastAsia="zh-CN"/>
                    </w:rPr>
                    <w:t>，</w:t>
                  </w:r>
                  <w:r>
                    <w:rPr>
                      <w:rFonts w:hint="eastAsia"/>
                      <w:color w:val="auto"/>
                      <w:sz w:val="21"/>
                      <w:szCs w:val="21"/>
                      <w:lang w:val="en-US" w:eastAsia="zh-CN"/>
                    </w:rPr>
                    <w:t>并定期展开应急演练。</w:t>
                  </w:r>
                </w:p>
                <w:p w14:paraId="552DDEBA">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eastAsia="宋体" w:cs="Times New Roman"/>
                      <w:i w:val="0"/>
                      <w:iCs w:val="0"/>
                      <w:caps w:val="0"/>
                      <w:color w:val="auto"/>
                      <w:spacing w:val="0"/>
                      <w:sz w:val="21"/>
                      <w:szCs w:val="21"/>
                      <w:shd w:val="clear" w:fill="FFFFFF"/>
                      <w:lang w:val="en-US" w:eastAsia="zh-CN"/>
                    </w:rPr>
                  </w:pPr>
                  <w:r>
                    <w:rPr>
                      <w:rFonts w:hint="eastAsia"/>
                      <w:color w:val="auto"/>
                      <w:sz w:val="21"/>
                      <w:szCs w:val="21"/>
                      <w:lang w:val="en-US" w:eastAsia="zh-CN"/>
                    </w:rPr>
                    <w:t>4、本项目</w:t>
                  </w:r>
                  <w:r>
                    <w:rPr>
                      <w:rFonts w:hint="default" w:ascii="Times New Roman" w:hAnsi="Times New Roman" w:eastAsia="宋体" w:cs="Times New Roman"/>
                      <w:i w:val="0"/>
                      <w:iCs w:val="0"/>
                      <w:caps w:val="0"/>
                      <w:color w:val="auto"/>
                      <w:spacing w:val="0"/>
                      <w:sz w:val="21"/>
                      <w:szCs w:val="21"/>
                      <w:shd w:val="clear" w:fill="FFFFFF"/>
                    </w:rPr>
                    <w:t>锂离子电池产品的安全应符合有关强制性标准和强制性认证要求</w:t>
                  </w:r>
                  <w:r>
                    <w:rPr>
                      <w:rFonts w:hint="eastAsia" w:cs="Times New Roman"/>
                      <w:i w:val="0"/>
                      <w:iCs w:val="0"/>
                      <w:caps w:val="0"/>
                      <w:color w:val="auto"/>
                      <w:spacing w:val="0"/>
                      <w:sz w:val="21"/>
                      <w:szCs w:val="21"/>
                      <w:shd w:val="clear" w:fill="FFFFFF"/>
                      <w:lang w:eastAsia="zh-CN"/>
                    </w:rPr>
                    <w:t>。</w:t>
                  </w:r>
                </w:p>
              </w:tc>
              <w:tc>
                <w:tcPr>
                  <w:tcW w:w="856" w:type="dxa"/>
                  <w:vAlign w:val="center"/>
                </w:tcPr>
                <w:p w14:paraId="2F30DF2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CBD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1FF6A91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3779" w:type="dxa"/>
                  <w:vAlign w:val="center"/>
                </w:tcPr>
                <w:p w14:paraId="1022448E">
                  <w:pPr>
                    <w:pStyle w:val="10"/>
                    <w:keepNext w:val="0"/>
                    <w:keepLines w:val="0"/>
                    <w:pageBreakBefore w:val="0"/>
                    <w:numPr>
                      <w:ilvl w:val="0"/>
                      <w:numId w:val="0"/>
                    </w:numPr>
                    <w:kinsoku/>
                    <w:wordWrap/>
                    <w:overflowPunct/>
                    <w:topLinePunct w:val="0"/>
                    <w:bidi w:val="0"/>
                    <w:snapToGrid w:val="0"/>
                    <w:spacing w:before="0" w:after="0" w:line="240" w:lineRule="auto"/>
                    <w:ind w:right="0" w:rightChars="0" w:firstLine="422" w:firstLineChars="200"/>
                    <w:textAlignment w:val="auto"/>
                    <w:rPr>
                      <w:rFonts w:hint="default"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b/>
                      <w:bCs/>
                      <w:i w:val="0"/>
                      <w:iCs w:val="0"/>
                      <w:caps w:val="0"/>
                      <w:color w:val="auto"/>
                      <w:spacing w:val="0"/>
                      <w:kern w:val="0"/>
                      <w:sz w:val="21"/>
                      <w:szCs w:val="21"/>
                      <w:shd w:val="clear" w:fill="FFFFFF"/>
                      <w:lang w:val="en-US" w:eastAsia="zh-CN" w:bidi="ar-SA"/>
                    </w:rPr>
                    <w:t>五、</w:t>
                  </w:r>
                  <w:r>
                    <w:rPr>
                      <w:rFonts w:hint="default" w:ascii="Times New Roman" w:hAnsi="Times New Roman" w:eastAsia="宋体" w:cs="Times New Roman"/>
                      <w:b/>
                      <w:bCs/>
                      <w:i w:val="0"/>
                      <w:iCs w:val="0"/>
                      <w:caps w:val="0"/>
                      <w:color w:val="auto"/>
                      <w:spacing w:val="0"/>
                      <w:sz w:val="21"/>
                      <w:szCs w:val="21"/>
                      <w:shd w:val="clear" w:fill="FFFFFF"/>
                    </w:rPr>
                    <w:t>资源综合利用和生态环境保护</w:t>
                  </w:r>
                </w:p>
                <w:p w14:paraId="03A22C7B">
                  <w:pPr>
                    <w:numPr>
                      <w:ilvl w:val="0"/>
                      <w:numId w:val="0"/>
                    </w:numPr>
                    <w:ind w:firstLine="420" w:firstLineChars="200"/>
                    <w:rPr>
                      <w:rFonts w:hint="default"/>
                      <w:sz w:val="21"/>
                      <w:szCs w:val="21"/>
                    </w:rPr>
                  </w:pPr>
                  <w:r>
                    <w:rPr>
                      <w:rFonts w:hint="default"/>
                      <w:sz w:val="21"/>
                      <w:szCs w:val="21"/>
                    </w:rPr>
                    <w:t>（一）企业及项目应符合国家出台的土地使用标准，严格保护耕地，节约集约用地。企业应依法开展建设项目环境影响评价，严格执行环境保护设施“三同时”制度，并按规定开展环境保护设施竣工验收。</w:t>
                  </w:r>
                </w:p>
                <w:p w14:paraId="518A48A2">
                  <w:pPr>
                    <w:numPr>
                      <w:ilvl w:val="0"/>
                      <w:numId w:val="0"/>
                    </w:numPr>
                    <w:ind w:firstLine="420" w:firstLineChars="200"/>
                    <w:rPr>
                      <w:rFonts w:hint="default"/>
                      <w:sz w:val="21"/>
                      <w:szCs w:val="21"/>
                    </w:rPr>
                  </w:pPr>
                  <w:r>
                    <w:rPr>
                      <w:rFonts w:hint="default"/>
                      <w:sz w:val="21"/>
                      <w:szCs w:val="21"/>
                    </w:rPr>
                    <w:t>（二）企业应依法申领排污许可证，按照排污许可证排放污染物并落实各项环境管理要求，采取有效措施防止污染土壤和地下水，锂离子电池生产过程中产生的固体废物应依证分类收集、贮存、运输、综合利用或无害化处理，工业污染物达标排放，溶剂回收率≥90%。</w:t>
                  </w:r>
                </w:p>
                <w:p w14:paraId="0B378157">
                  <w:pPr>
                    <w:numPr>
                      <w:ilvl w:val="0"/>
                      <w:numId w:val="0"/>
                    </w:numPr>
                    <w:ind w:firstLine="420" w:firstLineChars="200"/>
                    <w:rPr>
                      <w:rFonts w:hint="default"/>
                      <w:sz w:val="21"/>
                      <w:szCs w:val="21"/>
                    </w:rPr>
                  </w:pPr>
                  <w:r>
                    <w:rPr>
                      <w:rFonts w:hint="default"/>
                      <w:sz w:val="21"/>
                      <w:szCs w:val="21"/>
                    </w:rPr>
                    <w:t>（三）企业应制定包含产品单耗指标和能耗台帐，不得使用国家明令淘汰的、严重污染环境的落后用能设备和生产工艺。鼓励企业调整用能结构，使用光伏等清洁能源，建设应用工业绿色微电网，开展节能技术应用研究，制定节能规章制度，开发节能共性和关键技术，促进节能技术创新与成果转化。</w:t>
                  </w:r>
                </w:p>
                <w:p w14:paraId="5874DF32">
                  <w:pPr>
                    <w:numPr>
                      <w:ilvl w:val="0"/>
                      <w:numId w:val="0"/>
                    </w:numPr>
                    <w:ind w:firstLine="420" w:firstLineChars="200"/>
                    <w:rPr>
                      <w:rFonts w:hint="eastAsia"/>
                      <w:sz w:val="21"/>
                      <w:szCs w:val="21"/>
                      <w:lang w:eastAsia="zh-CN"/>
                    </w:rPr>
                  </w:pPr>
                  <w:r>
                    <w:rPr>
                      <w:rFonts w:hint="eastAsia"/>
                      <w:sz w:val="21"/>
                      <w:szCs w:val="21"/>
                      <w:lang w:eastAsia="zh-CN"/>
                    </w:rPr>
                    <w:t>（</w:t>
                  </w:r>
                  <w:r>
                    <w:rPr>
                      <w:rFonts w:hint="eastAsia"/>
                      <w:sz w:val="21"/>
                      <w:szCs w:val="21"/>
                      <w:lang w:val="en-US" w:eastAsia="zh-CN"/>
                    </w:rPr>
                    <w:t>四</w:t>
                  </w:r>
                  <w:r>
                    <w:rPr>
                      <w:rFonts w:hint="eastAsia"/>
                      <w:sz w:val="21"/>
                      <w:szCs w:val="21"/>
                      <w:lang w:eastAsia="zh-CN"/>
                    </w:rPr>
                    <w:t>）企业应按照国家有关规定制定突发环境事件应急预案，妥善处理突发环境事件。企业应按照《企业环境信息依法披露管理办法》有关要求，依法披露环境信息。当年及上一年度未发生重大及以上环境污染事件和生态破坏事件。</w:t>
                  </w:r>
                </w:p>
                <w:p w14:paraId="1C135A5E">
                  <w:pPr>
                    <w:numPr>
                      <w:ilvl w:val="0"/>
                      <w:numId w:val="0"/>
                    </w:numPr>
                    <w:ind w:firstLine="420" w:firstLineChars="200"/>
                    <w:rPr>
                      <w:rFonts w:hint="eastAsia"/>
                      <w:sz w:val="21"/>
                      <w:szCs w:val="21"/>
                      <w:lang w:eastAsia="zh-CN"/>
                    </w:rPr>
                  </w:pPr>
                  <w:r>
                    <w:rPr>
                      <w:rFonts w:hint="eastAsia"/>
                      <w:sz w:val="21"/>
                      <w:szCs w:val="21"/>
                      <w:lang w:eastAsia="zh-CN"/>
                    </w:rPr>
                    <w:t>（</w:t>
                  </w:r>
                  <w:r>
                    <w:rPr>
                      <w:rFonts w:hint="eastAsia"/>
                      <w:sz w:val="21"/>
                      <w:szCs w:val="21"/>
                      <w:lang w:val="en-US" w:eastAsia="zh-CN"/>
                    </w:rPr>
                    <w:t>五</w:t>
                  </w:r>
                  <w:r>
                    <w:rPr>
                      <w:rFonts w:hint="eastAsia"/>
                      <w:sz w:val="21"/>
                      <w:szCs w:val="21"/>
                      <w:lang w:eastAsia="zh-CN"/>
                    </w:rPr>
                    <w:t>）企业应建立环境管理体系，鼓励通过第三方环境管理体系认证。</w:t>
                  </w:r>
                </w:p>
                <w:p w14:paraId="23D0BDEC">
                  <w:pPr>
                    <w:numPr>
                      <w:ilvl w:val="0"/>
                      <w:numId w:val="0"/>
                    </w:numPr>
                    <w:ind w:firstLine="420" w:firstLineChars="200"/>
                    <w:rPr>
                      <w:rFonts w:hint="eastAsia" w:eastAsia="宋体"/>
                      <w:sz w:val="21"/>
                      <w:szCs w:val="21"/>
                      <w:lang w:eastAsia="zh-CN"/>
                    </w:rPr>
                  </w:pPr>
                  <w:r>
                    <w:rPr>
                      <w:rFonts w:hint="eastAsia" w:eastAsia="宋体"/>
                      <w:sz w:val="21"/>
                      <w:szCs w:val="21"/>
                      <w:lang w:eastAsia="zh-CN"/>
                    </w:rPr>
                    <w:t>（</w:t>
                  </w:r>
                  <w:r>
                    <w:rPr>
                      <w:rFonts w:hint="eastAsia"/>
                      <w:sz w:val="21"/>
                      <w:szCs w:val="21"/>
                      <w:lang w:val="en-US" w:eastAsia="zh-CN"/>
                    </w:rPr>
                    <w:t>六</w:t>
                  </w:r>
                  <w:r>
                    <w:rPr>
                      <w:rFonts w:hint="eastAsia" w:eastAsia="宋体"/>
                      <w:sz w:val="21"/>
                      <w:szCs w:val="21"/>
                      <w:lang w:eastAsia="zh-CN"/>
                    </w:rPr>
                    <w:t>）企业应依据有关政策及标准，开展锂离子电池碳足迹核算</w:t>
                  </w:r>
                  <w:r>
                    <w:rPr>
                      <w:rFonts w:hint="eastAsia"/>
                      <w:sz w:val="21"/>
                      <w:szCs w:val="21"/>
                      <w:lang w:eastAsia="zh-CN"/>
                    </w:rPr>
                    <w:t>。</w:t>
                  </w:r>
                </w:p>
              </w:tc>
              <w:tc>
                <w:tcPr>
                  <w:tcW w:w="3705" w:type="dxa"/>
                  <w:vAlign w:val="center"/>
                </w:tcPr>
                <w:p w14:paraId="5463B8CE">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sz w:val="21"/>
                      <w:szCs w:val="21"/>
                      <w:lang w:val="en-US" w:eastAsia="zh-CN"/>
                    </w:rPr>
                  </w:pPr>
                  <w:r>
                    <w:rPr>
                      <w:rFonts w:hint="eastAsia"/>
                      <w:color w:val="auto"/>
                      <w:sz w:val="21"/>
                      <w:szCs w:val="21"/>
                      <w:lang w:val="en-US" w:eastAsia="zh-CN"/>
                    </w:rPr>
                    <w:t>1、本项目</w:t>
                  </w:r>
                  <w:r>
                    <w:rPr>
                      <w:rFonts w:hint="eastAsia" w:cs="Times New Roman"/>
                      <w:color w:val="auto"/>
                      <w:sz w:val="21"/>
                      <w:szCs w:val="21"/>
                      <w:lang w:val="en-US" w:eastAsia="zh-CN"/>
                    </w:rPr>
                    <w:t>通过国有建设用地使用权出让的方式取得了玉溪市玉溪高新技术产业开发区龙泉片区的工业用地，不破坏区域内耕地，采用集中设计</w:t>
                  </w:r>
                  <w:r>
                    <w:rPr>
                      <w:rFonts w:hint="eastAsia"/>
                      <w:color w:val="auto"/>
                      <w:sz w:val="21"/>
                      <w:szCs w:val="21"/>
                      <w:lang w:val="en-US" w:eastAsia="zh-CN"/>
                    </w:rPr>
                    <w:t>。企业目前依据《中华人民共和国环境影响评价法》（2018版）正在履行</w:t>
                  </w:r>
                  <w:r>
                    <w:rPr>
                      <w:rFonts w:hint="default"/>
                      <w:sz w:val="21"/>
                      <w:szCs w:val="21"/>
                    </w:rPr>
                    <w:t>环境保护设施“三同时”制度</w:t>
                  </w:r>
                  <w:r>
                    <w:rPr>
                      <w:rFonts w:hint="eastAsia"/>
                      <w:sz w:val="21"/>
                      <w:szCs w:val="21"/>
                      <w:lang w:val="en-US" w:eastAsia="zh-CN"/>
                    </w:rPr>
                    <w:t>中的环境影响评价手续；后续需根据《建设项目竣工环境保护验收暂行办法》进行项目竣工环境保护验收。</w:t>
                  </w:r>
                </w:p>
                <w:p w14:paraId="176F005F">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sz w:val="21"/>
                      <w:szCs w:val="21"/>
                      <w:lang w:val="en-US" w:eastAsia="zh-CN"/>
                    </w:rPr>
                  </w:pPr>
                  <w:r>
                    <w:rPr>
                      <w:rFonts w:hint="eastAsia"/>
                      <w:sz w:val="21"/>
                      <w:szCs w:val="21"/>
                      <w:lang w:val="en-US" w:eastAsia="zh-CN"/>
                    </w:rPr>
                    <w:t>2、项目取得环境影响评价报告批复后，企业应根据《排污许可管理条例》（国令第736号）问依法向玉溪市生态环境局首次申领《全国排污许可证》，并依法依规落实</w:t>
                  </w:r>
                  <w:r>
                    <w:rPr>
                      <w:rFonts w:hint="default"/>
                      <w:sz w:val="21"/>
                      <w:szCs w:val="21"/>
                    </w:rPr>
                    <w:t>各项环境管理要求，采取</w:t>
                  </w:r>
                  <w:r>
                    <w:rPr>
                      <w:rFonts w:hint="eastAsia"/>
                      <w:sz w:val="21"/>
                      <w:szCs w:val="21"/>
                      <w:lang w:val="en-US" w:eastAsia="zh-CN"/>
                    </w:rPr>
                    <w:t>防渗等</w:t>
                  </w:r>
                  <w:r>
                    <w:rPr>
                      <w:rFonts w:hint="default"/>
                      <w:sz w:val="21"/>
                      <w:szCs w:val="21"/>
                    </w:rPr>
                    <w:t>措施防止污染土壤和地下水</w:t>
                  </w:r>
                  <w:r>
                    <w:rPr>
                      <w:rFonts w:hint="eastAsia"/>
                      <w:sz w:val="21"/>
                      <w:szCs w:val="21"/>
                      <w:lang w:eastAsia="zh-CN"/>
                    </w:rPr>
                    <w:t>；</w:t>
                  </w:r>
                  <w:r>
                    <w:rPr>
                      <w:rFonts w:hint="eastAsia"/>
                      <w:sz w:val="21"/>
                      <w:szCs w:val="21"/>
                      <w:lang w:val="en-US" w:eastAsia="zh-CN"/>
                    </w:rPr>
                    <w:t>固体废弃物处置利用率100%；NMP回收效率＞90%。</w:t>
                  </w:r>
                </w:p>
                <w:p w14:paraId="2AEAFF95">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sz w:val="21"/>
                      <w:szCs w:val="21"/>
                      <w:lang w:val="en-US" w:eastAsia="zh-CN"/>
                    </w:rPr>
                  </w:pPr>
                  <w:r>
                    <w:rPr>
                      <w:rFonts w:hint="eastAsia"/>
                      <w:sz w:val="21"/>
                      <w:szCs w:val="21"/>
                      <w:lang w:val="en-US" w:eastAsia="zh-CN"/>
                    </w:rPr>
                    <w:t>3、项目</w:t>
                  </w:r>
                  <w:r>
                    <w:rPr>
                      <w:rFonts w:hint="default"/>
                      <w:sz w:val="21"/>
                      <w:szCs w:val="21"/>
                    </w:rPr>
                    <w:t>制定产品单耗指标和能耗台帐</w:t>
                  </w:r>
                  <w:r>
                    <w:rPr>
                      <w:rFonts w:hint="eastAsia"/>
                      <w:sz w:val="21"/>
                      <w:szCs w:val="21"/>
                      <w:lang w:eastAsia="zh-CN"/>
                    </w:rPr>
                    <w:t>，</w:t>
                  </w:r>
                  <w:r>
                    <w:rPr>
                      <w:rFonts w:hint="eastAsia"/>
                      <w:sz w:val="21"/>
                      <w:szCs w:val="21"/>
                      <w:lang w:val="en-US" w:eastAsia="zh-CN"/>
                    </w:rPr>
                    <w:t>不使用</w:t>
                  </w:r>
                  <w:r>
                    <w:rPr>
                      <w:rFonts w:hint="default"/>
                      <w:sz w:val="21"/>
                      <w:szCs w:val="21"/>
                    </w:rPr>
                    <w:t>国家明令淘汰的、严重污染环境的落后用能设备和生产工艺</w:t>
                  </w:r>
                  <w:r>
                    <w:rPr>
                      <w:rFonts w:hint="eastAsia"/>
                      <w:sz w:val="21"/>
                      <w:szCs w:val="21"/>
                      <w:lang w:eastAsia="zh-CN"/>
                    </w:rPr>
                    <w:t>；</w:t>
                  </w:r>
                  <w:r>
                    <w:rPr>
                      <w:rFonts w:hint="eastAsia"/>
                      <w:sz w:val="21"/>
                      <w:szCs w:val="21"/>
                      <w:lang w:val="en-US" w:eastAsia="zh-CN"/>
                    </w:rPr>
                    <w:t>企业拟后期再屋顶铺设光伏板，将光伏发电用于照明和办公。</w:t>
                  </w:r>
                </w:p>
                <w:p w14:paraId="2C9F2D02">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color w:val="auto"/>
                      <w:sz w:val="21"/>
                      <w:szCs w:val="21"/>
                      <w:lang w:val="en-US" w:eastAsia="zh-CN"/>
                    </w:rPr>
                  </w:pPr>
                  <w:r>
                    <w:rPr>
                      <w:rFonts w:hint="eastAsia"/>
                      <w:sz w:val="21"/>
                      <w:szCs w:val="21"/>
                      <w:lang w:val="en-US" w:eastAsia="zh-CN"/>
                    </w:rPr>
                    <w:t>4、</w:t>
                  </w:r>
                  <w:r>
                    <w:rPr>
                      <w:rFonts w:hint="eastAsia"/>
                      <w:color w:val="auto"/>
                      <w:sz w:val="21"/>
                      <w:szCs w:val="21"/>
                    </w:rPr>
                    <w:t>本</w:t>
                  </w:r>
                  <w:r>
                    <w:rPr>
                      <w:rFonts w:hint="eastAsia"/>
                      <w:color w:val="auto"/>
                      <w:sz w:val="21"/>
                      <w:szCs w:val="21"/>
                      <w:lang w:val="en-US" w:eastAsia="zh-CN"/>
                    </w:rPr>
                    <w:t>次评价</w:t>
                  </w:r>
                  <w:r>
                    <w:rPr>
                      <w:rFonts w:hint="eastAsia"/>
                      <w:color w:val="auto"/>
                      <w:sz w:val="21"/>
                      <w:szCs w:val="21"/>
                    </w:rPr>
                    <w:t>要求项目建成后及时编制突发环境事件应急预案</w:t>
                  </w:r>
                  <w:r>
                    <w:rPr>
                      <w:rFonts w:hint="eastAsia"/>
                      <w:color w:val="auto"/>
                      <w:sz w:val="21"/>
                      <w:szCs w:val="21"/>
                      <w:lang w:eastAsia="zh-CN"/>
                    </w:rPr>
                    <w:t>，</w:t>
                  </w:r>
                  <w:r>
                    <w:rPr>
                      <w:rFonts w:hint="eastAsia"/>
                      <w:color w:val="auto"/>
                      <w:sz w:val="21"/>
                      <w:szCs w:val="21"/>
                      <w:lang w:val="en-US" w:eastAsia="zh-CN"/>
                    </w:rPr>
                    <w:t>并定期展开应急演练，若运营期发生</w:t>
                  </w:r>
                  <w:r>
                    <w:rPr>
                      <w:rFonts w:hint="eastAsia"/>
                      <w:sz w:val="21"/>
                      <w:szCs w:val="21"/>
                      <w:lang w:eastAsia="zh-CN"/>
                    </w:rPr>
                    <w:t>突发环境事件，</w:t>
                  </w:r>
                  <w:r>
                    <w:rPr>
                      <w:rFonts w:hint="eastAsia"/>
                      <w:sz w:val="21"/>
                      <w:szCs w:val="21"/>
                      <w:lang w:val="en-US" w:eastAsia="zh-CN"/>
                    </w:rPr>
                    <w:t>应</w:t>
                  </w:r>
                  <w:r>
                    <w:rPr>
                      <w:rFonts w:hint="eastAsia"/>
                      <w:sz w:val="21"/>
                      <w:szCs w:val="21"/>
                      <w:lang w:eastAsia="zh-CN"/>
                    </w:rPr>
                    <w:t>妥善处理。</w:t>
                  </w:r>
                  <w:r>
                    <w:rPr>
                      <w:rFonts w:hint="eastAsia"/>
                      <w:sz w:val="21"/>
                      <w:szCs w:val="21"/>
                      <w:lang w:val="en-US" w:eastAsia="zh-CN"/>
                    </w:rPr>
                    <w:t>根据</w:t>
                  </w:r>
                  <w:r>
                    <w:rPr>
                      <w:rFonts w:hint="eastAsia"/>
                      <w:sz w:val="21"/>
                      <w:szCs w:val="21"/>
                      <w:lang w:eastAsia="zh-CN"/>
                    </w:rPr>
                    <w:t>《企业环境信息依法披露管理办法》有关要求</w:t>
                  </w:r>
                  <w:r>
                    <w:rPr>
                      <w:color w:val="auto"/>
                      <w:sz w:val="21"/>
                      <w:szCs w:val="21"/>
                    </w:rPr>
                    <w:t>建立区域环境监测制度，</w:t>
                  </w:r>
                  <w:r>
                    <w:rPr>
                      <w:rFonts w:hint="eastAsia"/>
                      <w:color w:val="auto"/>
                      <w:sz w:val="21"/>
                      <w:szCs w:val="21"/>
                      <w:lang w:val="en-US" w:eastAsia="zh-CN"/>
                    </w:rPr>
                    <w:t>编制自行监测方案，委托具有资质的第三方开展监测；依法申请全国排污许可证，</w:t>
                  </w:r>
                  <w:r>
                    <w:rPr>
                      <w:color w:val="auto"/>
                      <w:sz w:val="21"/>
                      <w:szCs w:val="21"/>
                    </w:rPr>
                    <w:t>加强规划实施的跟踪监测与管理</w:t>
                  </w:r>
                  <w:r>
                    <w:rPr>
                      <w:rFonts w:hint="eastAsia"/>
                      <w:color w:val="auto"/>
                      <w:sz w:val="21"/>
                      <w:szCs w:val="21"/>
                      <w:lang w:eastAsia="zh-CN"/>
                    </w:rPr>
                    <w:t>，</w:t>
                  </w:r>
                  <w:r>
                    <w:rPr>
                      <w:rFonts w:hint="eastAsia"/>
                      <w:color w:val="auto"/>
                      <w:sz w:val="21"/>
                      <w:szCs w:val="21"/>
                      <w:lang w:val="en-US" w:eastAsia="zh-CN"/>
                    </w:rPr>
                    <w:t>实时上传执行报告公示。</w:t>
                  </w:r>
                </w:p>
                <w:p w14:paraId="01DF5A6F">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eastAsia"/>
                      <w:sz w:val="21"/>
                      <w:szCs w:val="21"/>
                      <w:lang w:val="en-US" w:eastAsia="zh-CN"/>
                    </w:rPr>
                  </w:pPr>
                  <w:r>
                    <w:rPr>
                      <w:rFonts w:hint="eastAsia"/>
                      <w:color w:val="auto"/>
                      <w:sz w:val="21"/>
                      <w:szCs w:val="21"/>
                      <w:lang w:val="en-US" w:eastAsia="zh-CN"/>
                    </w:rPr>
                    <w:t>5、</w:t>
                  </w:r>
                  <w:r>
                    <w:rPr>
                      <w:rFonts w:hint="eastAsia"/>
                      <w:sz w:val="21"/>
                      <w:szCs w:val="21"/>
                      <w:lang w:eastAsia="zh-CN"/>
                    </w:rPr>
                    <w:t>建立环境管理体系，</w:t>
                  </w:r>
                  <w:r>
                    <w:rPr>
                      <w:rFonts w:hint="eastAsia"/>
                      <w:sz w:val="21"/>
                      <w:szCs w:val="21"/>
                      <w:lang w:val="en-US" w:eastAsia="zh-CN"/>
                    </w:rPr>
                    <w:t>详见第四章节；</w:t>
                  </w:r>
                </w:p>
                <w:p w14:paraId="228490DD">
                  <w:pPr>
                    <w:pStyle w:val="10"/>
                    <w:keepNext w:val="0"/>
                    <w:keepLines w:val="0"/>
                    <w:pageBreakBefore w:val="0"/>
                    <w:kinsoku/>
                    <w:wordWrap/>
                    <w:overflowPunct/>
                    <w:topLinePunct w:val="0"/>
                    <w:bidi w:val="0"/>
                    <w:snapToGrid w:val="0"/>
                    <w:spacing w:before="0" w:after="0" w:line="240" w:lineRule="auto"/>
                    <w:ind w:firstLine="420" w:firstLineChars="200"/>
                    <w:textAlignment w:val="auto"/>
                    <w:rPr>
                      <w:rFonts w:hint="default" w:eastAsia="宋体" w:cs="Times New Roman"/>
                      <w:i w:val="0"/>
                      <w:iCs w:val="0"/>
                      <w:caps w:val="0"/>
                      <w:color w:val="auto"/>
                      <w:spacing w:val="0"/>
                      <w:sz w:val="21"/>
                      <w:szCs w:val="21"/>
                      <w:shd w:val="clear" w:fill="FFFFFF"/>
                      <w:lang w:val="en-US" w:eastAsia="zh-CN"/>
                    </w:rPr>
                  </w:pPr>
                  <w:r>
                    <w:rPr>
                      <w:rFonts w:hint="eastAsia"/>
                      <w:sz w:val="21"/>
                      <w:szCs w:val="21"/>
                      <w:lang w:val="en-US" w:eastAsia="zh-CN"/>
                    </w:rPr>
                    <w:t>6、目前暂未</w:t>
                  </w:r>
                  <w:r>
                    <w:rPr>
                      <w:rFonts w:hint="eastAsia" w:eastAsia="宋体"/>
                      <w:sz w:val="21"/>
                      <w:szCs w:val="21"/>
                      <w:lang w:eastAsia="zh-CN"/>
                    </w:rPr>
                    <w:t>锂离子电池碳足迹核算</w:t>
                  </w:r>
                  <w:r>
                    <w:rPr>
                      <w:rFonts w:hint="eastAsia"/>
                      <w:sz w:val="21"/>
                      <w:szCs w:val="21"/>
                      <w:lang w:val="en-US" w:eastAsia="zh-CN"/>
                    </w:rPr>
                    <w:t>技术规范，若相关政策下发，企业应根据相关法律法规进行</w:t>
                  </w:r>
                  <w:r>
                    <w:rPr>
                      <w:rFonts w:hint="eastAsia" w:eastAsia="宋体"/>
                      <w:sz w:val="21"/>
                      <w:szCs w:val="21"/>
                      <w:lang w:eastAsia="zh-CN"/>
                    </w:rPr>
                    <w:t>锂离子电池碳足迹核算</w:t>
                  </w:r>
                  <w:r>
                    <w:rPr>
                      <w:rFonts w:hint="eastAsia"/>
                      <w:sz w:val="21"/>
                      <w:szCs w:val="21"/>
                      <w:lang w:eastAsia="zh-CN"/>
                    </w:rPr>
                    <w:t>。</w:t>
                  </w:r>
                </w:p>
              </w:tc>
              <w:tc>
                <w:tcPr>
                  <w:tcW w:w="856" w:type="dxa"/>
                  <w:vAlign w:val="center"/>
                </w:tcPr>
                <w:p w14:paraId="036A0B4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2A872471">
            <w:pPr>
              <w:autoSpaceDE w:val="0"/>
              <w:autoSpaceDN w:val="0"/>
              <w:adjustRightInd w:val="0"/>
              <w:snapToGrid w:val="0"/>
              <w:spacing w:line="360" w:lineRule="auto"/>
              <w:ind w:firstLine="422" w:firstLineChars="200"/>
              <w:rPr>
                <w:b/>
                <w:bCs/>
                <w:color w:val="auto"/>
              </w:rPr>
            </w:pPr>
            <w:r>
              <w:rPr>
                <w:rFonts w:hint="eastAsia"/>
                <w:b/>
                <w:color w:val="auto"/>
                <w:szCs w:val="21"/>
                <w:lang w:val="en-US" w:eastAsia="zh-CN"/>
              </w:rPr>
              <w:t>8</w:t>
            </w:r>
            <w:r>
              <w:rPr>
                <w:rFonts w:hint="eastAsia"/>
                <w:b/>
                <w:color w:val="auto"/>
                <w:szCs w:val="21"/>
              </w:rPr>
              <w:t>、</w:t>
            </w:r>
            <w:r>
              <w:rPr>
                <w:rFonts w:hint="eastAsia"/>
                <w:b/>
                <w:bCs/>
                <w:color w:val="auto"/>
              </w:rPr>
              <w:t>与《挥发性有机物无组织排放控制标准》（GB37822</w:t>
            </w:r>
            <w:r>
              <w:rPr>
                <w:rFonts w:hint="eastAsia"/>
                <w:color w:val="auto"/>
              </w:rPr>
              <w:t>—</w:t>
            </w:r>
            <w:r>
              <w:rPr>
                <w:rFonts w:hint="eastAsia"/>
                <w:b/>
                <w:bCs/>
                <w:color w:val="auto"/>
              </w:rPr>
              <w:t>2019）符合性分析</w:t>
            </w:r>
          </w:p>
          <w:p w14:paraId="1D8DCE22">
            <w:pPr>
              <w:pStyle w:val="36"/>
              <w:ind w:firstLine="420"/>
              <w:rPr>
                <w:b/>
                <w:bCs/>
                <w:color w:val="auto"/>
              </w:rPr>
            </w:pPr>
            <w:r>
              <w:rPr>
                <w:rFonts w:hint="eastAsia"/>
                <w:bCs/>
                <w:color w:val="auto"/>
              </w:rPr>
              <w:t>根据《</w:t>
            </w:r>
            <w:r>
              <w:rPr>
                <w:rFonts w:hint="eastAsia"/>
                <w:color w:val="auto"/>
              </w:rPr>
              <w:t>挥发性有机物无组织排放控制标准》（GB37822—2019）相关内容，本项目与其符合性分析见下表所示：</w:t>
            </w:r>
          </w:p>
          <w:p w14:paraId="6429A1FA">
            <w:pPr>
              <w:pStyle w:val="37"/>
              <w:spacing w:before="60" w:after="60"/>
              <w:rPr>
                <w:rFonts w:hint="default"/>
                <w:b/>
                <w:bCs/>
                <w:color w:val="auto"/>
              </w:rPr>
            </w:pPr>
            <w:r>
              <w:rPr>
                <w:b/>
                <w:bCs/>
                <w:color w:val="auto"/>
              </w:rPr>
              <w:t>表1-</w:t>
            </w:r>
            <w:r>
              <w:rPr>
                <w:rFonts w:hint="eastAsia"/>
                <w:b/>
                <w:bCs/>
                <w:color w:val="auto"/>
                <w:lang w:val="en-US" w:eastAsia="zh-CN"/>
              </w:rPr>
              <w:t>9</w:t>
            </w:r>
            <w:r>
              <w:rPr>
                <w:b/>
                <w:bCs/>
                <w:color w:val="auto"/>
              </w:rPr>
              <w:t>本项目与《挥发性有机物无组织排放控制标准》符合性分析</w:t>
            </w:r>
          </w:p>
          <w:tbl>
            <w:tblPr>
              <w:tblStyle w:val="26"/>
              <w:tblW w:w="8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86"/>
              <w:gridCol w:w="3723"/>
              <w:gridCol w:w="2823"/>
              <w:gridCol w:w="746"/>
            </w:tblGrid>
            <w:tr w14:paraId="0DA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2C37D36E">
                  <w:pPr>
                    <w:pStyle w:val="37"/>
                    <w:snapToGrid w:val="0"/>
                    <w:spacing w:before="72" w:beforeLines="30" w:after="72" w:afterLines="30"/>
                    <w:rPr>
                      <w:rFonts w:hint="default"/>
                      <w:b/>
                      <w:bCs/>
                      <w:color w:val="auto"/>
                    </w:rPr>
                  </w:pPr>
                  <w:r>
                    <w:rPr>
                      <w:b/>
                      <w:bCs/>
                      <w:color w:val="auto"/>
                    </w:rPr>
                    <w:t>序号</w:t>
                  </w:r>
                </w:p>
              </w:tc>
              <w:tc>
                <w:tcPr>
                  <w:tcW w:w="4609" w:type="dxa"/>
                  <w:gridSpan w:val="2"/>
                  <w:vAlign w:val="center"/>
                </w:tcPr>
                <w:p w14:paraId="74B6F41B">
                  <w:pPr>
                    <w:pStyle w:val="37"/>
                    <w:snapToGrid w:val="0"/>
                    <w:spacing w:before="72" w:beforeLines="30" w:after="72" w:afterLines="30"/>
                    <w:rPr>
                      <w:rFonts w:hint="default"/>
                      <w:b/>
                      <w:bCs/>
                      <w:color w:val="auto"/>
                    </w:rPr>
                  </w:pPr>
                  <w:r>
                    <w:rPr>
                      <w:b/>
                      <w:bCs/>
                      <w:color w:val="auto"/>
                    </w:rPr>
                    <w:t>《挥发性有机物无组织排放控制标准》相关标准</w:t>
                  </w:r>
                </w:p>
              </w:tc>
              <w:tc>
                <w:tcPr>
                  <w:tcW w:w="2823" w:type="dxa"/>
                  <w:vAlign w:val="center"/>
                </w:tcPr>
                <w:p w14:paraId="29BFA526">
                  <w:pPr>
                    <w:pStyle w:val="37"/>
                    <w:snapToGrid w:val="0"/>
                    <w:spacing w:before="72" w:beforeLines="30" w:after="72" w:afterLines="30"/>
                    <w:rPr>
                      <w:rFonts w:hint="default"/>
                      <w:b/>
                      <w:bCs/>
                      <w:color w:val="auto"/>
                    </w:rPr>
                  </w:pPr>
                  <w:r>
                    <w:rPr>
                      <w:b/>
                      <w:bCs/>
                      <w:color w:val="auto"/>
                    </w:rPr>
                    <w:t>本项目情况</w:t>
                  </w:r>
                </w:p>
              </w:tc>
              <w:tc>
                <w:tcPr>
                  <w:tcW w:w="746" w:type="dxa"/>
                  <w:vAlign w:val="center"/>
                </w:tcPr>
                <w:p w14:paraId="382F67AA">
                  <w:pPr>
                    <w:pStyle w:val="37"/>
                    <w:snapToGrid w:val="0"/>
                    <w:spacing w:before="72" w:beforeLines="30" w:after="72" w:afterLines="30"/>
                    <w:rPr>
                      <w:rFonts w:hint="default"/>
                      <w:b/>
                      <w:bCs/>
                      <w:color w:val="auto"/>
                    </w:rPr>
                  </w:pPr>
                  <w:r>
                    <w:rPr>
                      <w:b/>
                      <w:bCs/>
                      <w:color w:val="auto"/>
                    </w:rPr>
                    <w:t>符合性</w:t>
                  </w:r>
                </w:p>
              </w:tc>
            </w:tr>
            <w:tr w14:paraId="43A7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1D3A6A0B">
                  <w:pPr>
                    <w:pStyle w:val="37"/>
                    <w:snapToGrid w:val="0"/>
                    <w:spacing w:before="72" w:beforeLines="30" w:after="72" w:afterLines="30"/>
                    <w:rPr>
                      <w:rFonts w:hint="default"/>
                      <w:color w:val="auto"/>
                    </w:rPr>
                  </w:pPr>
                  <w:r>
                    <w:rPr>
                      <w:color w:val="auto"/>
                    </w:rPr>
                    <w:t>1</w:t>
                  </w:r>
                </w:p>
              </w:tc>
              <w:tc>
                <w:tcPr>
                  <w:tcW w:w="886" w:type="dxa"/>
                  <w:vMerge w:val="restart"/>
                  <w:vAlign w:val="center"/>
                </w:tcPr>
                <w:p w14:paraId="6502DA0C">
                  <w:pPr>
                    <w:pStyle w:val="37"/>
                    <w:snapToGrid w:val="0"/>
                    <w:spacing w:before="72" w:beforeLines="30" w:after="72" w:afterLines="30"/>
                    <w:rPr>
                      <w:rFonts w:hint="default"/>
                      <w:color w:val="auto"/>
                    </w:rPr>
                  </w:pPr>
                  <w:r>
                    <w:rPr>
                      <w:rFonts w:hint="default"/>
                      <w:color w:val="auto"/>
                    </w:rPr>
                    <w:t>VOCs物料储存无组织排放控制要</w:t>
                  </w:r>
                  <w:r>
                    <w:rPr>
                      <w:color w:val="auto"/>
                    </w:rPr>
                    <w:t>求</w:t>
                  </w:r>
                </w:p>
              </w:tc>
              <w:tc>
                <w:tcPr>
                  <w:tcW w:w="3723" w:type="dxa"/>
                  <w:vAlign w:val="center"/>
                </w:tcPr>
                <w:p w14:paraId="3973E516">
                  <w:pPr>
                    <w:pStyle w:val="37"/>
                    <w:snapToGrid w:val="0"/>
                    <w:spacing w:before="72" w:beforeLines="30" w:after="72" w:afterLines="30"/>
                    <w:rPr>
                      <w:rFonts w:hint="default"/>
                      <w:color w:val="auto"/>
                    </w:rPr>
                  </w:pPr>
                  <w:r>
                    <w:rPr>
                      <w:rFonts w:hint="default"/>
                      <w:color w:val="auto"/>
                    </w:rPr>
                    <w:t>VOCs物料应储存于密闭的容器、包装袋、储罐、储库、料仓中。</w:t>
                  </w:r>
                </w:p>
              </w:tc>
              <w:tc>
                <w:tcPr>
                  <w:tcW w:w="2823" w:type="dxa"/>
                  <w:vAlign w:val="center"/>
                </w:tcPr>
                <w:p w14:paraId="2E2857F5">
                  <w:pPr>
                    <w:pStyle w:val="37"/>
                    <w:snapToGrid w:val="0"/>
                    <w:spacing w:before="72" w:beforeLines="30" w:after="72" w:afterLines="30"/>
                    <w:rPr>
                      <w:rFonts w:hint="default"/>
                      <w:color w:val="auto"/>
                    </w:rPr>
                  </w:pPr>
                  <w:r>
                    <w:rPr>
                      <w:rFonts w:hint="default"/>
                      <w:color w:val="auto"/>
                    </w:rPr>
                    <w:t>本项目涉及的</w:t>
                  </w:r>
                  <w:r>
                    <w:rPr>
                      <w:color w:val="auto"/>
                    </w:rPr>
                    <w:t>含</w:t>
                  </w:r>
                  <w:r>
                    <w:rPr>
                      <w:rFonts w:hint="default"/>
                      <w:color w:val="auto"/>
                    </w:rPr>
                    <w:t>VOCs物料</w:t>
                  </w:r>
                  <w:r>
                    <w:rPr>
                      <w:rFonts w:hint="eastAsia"/>
                      <w:color w:val="auto"/>
                      <w:lang w:val="en-US" w:eastAsia="zh-CN"/>
                    </w:rPr>
                    <w:t>主要为NMP</w:t>
                  </w:r>
                  <w:r>
                    <w:rPr>
                      <w:color w:val="auto"/>
                    </w:rPr>
                    <w:t>、</w:t>
                  </w:r>
                  <w:r>
                    <w:rPr>
                      <w:rFonts w:hint="eastAsia"/>
                      <w:color w:val="auto"/>
                      <w:lang w:val="en-US" w:eastAsia="zh-CN"/>
                    </w:rPr>
                    <w:t>电解液</w:t>
                  </w:r>
                  <w:r>
                    <w:rPr>
                      <w:rFonts w:hint="default"/>
                      <w:color w:val="auto"/>
                    </w:rPr>
                    <w:t>，均储存于密闭的</w:t>
                  </w:r>
                  <w:r>
                    <w:rPr>
                      <w:rFonts w:hint="eastAsia"/>
                      <w:color w:val="auto"/>
                      <w:lang w:val="en-US" w:eastAsia="zh-CN"/>
                    </w:rPr>
                    <w:t>桶</w:t>
                  </w:r>
                  <w:r>
                    <w:rPr>
                      <w:rFonts w:hint="default"/>
                      <w:color w:val="auto"/>
                    </w:rPr>
                    <w:t>内，</w:t>
                  </w:r>
                  <w:r>
                    <w:rPr>
                      <w:color w:val="auto"/>
                    </w:rPr>
                    <w:t>暂存于</w:t>
                  </w:r>
                  <w:r>
                    <w:rPr>
                      <w:rFonts w:hint="eastAsia"/>
                      <w:color w:val="auto"/>
                      <w:lang w:val="en-US" w:eastAsia="zh-CN"/>
                    </w:rPr>
                    <w:t>电解液车间</w:t>
                  </w:r>
                  <w:r>
                    <w:rPr>
                      <w:color w:val="auto"/>
                    </w:rPr>
                    <w:t>。</w:t>
                  </w:r>
                </w:p>
              </w:tc>
              <w:tc>
                <w:tcPr>
                  <w:tcW w:w="746" w:type="dxa"/>
                  <w:vAlign w:val="center"/>
                </w:tcPr>
                <w:p w14:paraId="5CC3191C">
                  <w:pPr>
                    <w:pStyle w:val="37"/>
                    <w:snapToGrid w:val="0"/>
                    <w:spacing w:before="72" w:beforeLines="30" w:after="72" w:afterLines="30"/>
                    <w:rPr>
                      <w:rFonts w:hint="default"/>
                      <w:color w:val="auto"/>
                    </w:rPr>
                  </w:pPr>
                  <w:r>
                    <w:rPr>
                      <w:rFonts w:hint="default"/>
                      <w:color w:val="auto"/>
                    </w:rPr>
                    <w:t>符合</w:t>
                  </w:r>
                </w:p>
              </w:tc>
            </w:tr>
            <w:tr w14:paraId="6DC4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7FD508CC">
                  <w:pPr>
                    <w:pStyle w:val="37"/>
                    <w:snapToGrid w:val="0"/>
                    <w:spacing w:before="72" w:beforeLines="30" w:after="72" w:afterLines="30"/>
                    <w:rPr>
                      <w:rFonts w:hint="default"/>
                      <w:color w:val="auto"/>
                    </w:rPr>
                  </w:pPr>
                  <w:r>
                    <w:rPr>
                      <w:color w:val="auto"/>
                    </w:rPr>
                    <w:t>2</w:t>
                  </w:r>
                </w:p>
              </w:tc>
              <w:tc>
                <w:tcPr>
                  <w:tcW w:w="886" w:type="dxa"/>
                  <w:vMerge w:val="continue"/>
                  <w:vAlign w:val="center"/>
                </w:tcPr>
                <w:p w14:paraId="2ABF8421">
                  <w:pPr>
                    <w:pStyle w:val="37"/>
                    <w:snapToGrid w:val="0"/>
                    <w:spacing w:before="72" w:beforeLines="30" w:after="72" w:afterLines="30"/>
                    <w:rPr>
                      <w:rFonts w:hint="default"/>
                      <w:color w:val="auto"/>
                    </w:rPr>
                  </w:pPr>
                </w:p>
              </w:tc>
              <w:tc>
                <w:tcPr>
                  <w:tcW w:w="3723" w:type="dxa"/>
                  <w:vAlign w:val="center"/>
                </w:tcPr>
                <w:p w14:paraId="103CAFF2">
                  <w:pPr>
                    <w:pStyle w:val="37"/>
                    <w:snapToGrid w:val="0"/>
                    <w:spacing w:before="72" w:beforeLines="30" w:after="72" w:afterLines="30"/>
                    <w:rPr>
                      <w:rFonts w:hint="default"/>
                      <w:color w:val="auto"/>
                    </w:rPr>
                  </w:pPr>
                  <w:r>
                    <w:rPr>
                      <w:rFonts w:hint="default"/>
                      <w:color w:val="auto"/>
                    </w:rPr>
                    <w:t>盛装VOCs物料的容器或包装袋应存放于室内，或存放于设置有雨棚、遮阳和防渗设施的专用场地。盛装VOCs物料的容器或包装袋在非取用状态时应加盖、封口，保持密闭</w:t>
                  </w:r>
                </w:p>
              </w:tc>
              <w:tc>
                <w:tcPr>
                  <w:tcW w:w="2823" w:type="dxa"/>
                  <w:vAlign w:val="center"/>
                </w:tcPr>
                <w:p w14:paraId="0336951C">
                  <w:pPr>
                    <w:pStyle w:val="37"/>
                    <w:snapToGrid w:val="0"/>
                    <w:spacing w:before="72" w:beforeLines="30" w:after="72" w:afterLines="30"/>
                    <w:rPr>
                      <w:rFonts w:hint="default"/>
                      <w:color w:val="auto"/>
                    </w:rPr>
                  </w:pPr>
                  <w:r>
                    <w:rPr>
                      <w:rFonts w:hint="default"/>
                      <w:color w:val="auto"/>
                    </w:rPr>
                    <w:t>盛装</w:t>
                  </w:r>
                  <w:r>
                    <w:rPr>
                      <w:rFonts w:hint="eastAsia"/>
                      <w:color w:val="auto"/>
                      <w:lang w:val="en-US" w:eastAsia="zh-CN"/>
                    </w:rPr>
                    <w:t>NMP</w:t>
                  </w:r>
                  <w:r>
                    <w:rPr>
                      <w:color w:val="auto"/>
                    </w:rPr>
                    <w:t>、</w:t>
                  </w:r>
                  <w:r>
                    <w:rPr>
                      <w:rFonts w:hint="eastAsia"/>
                      <w:color w:val="auto"/>
                      <w:lang w:val="en-US" w:eastAsia="zh-CN"/>
                    </w:rPr>
                    <w:t>电解液</w:t>
                  </w:r>
                  <w:r>
                    <w:rPr>
                      <w:rFonts w:hint="default"/>
                      <w:color w:val="auto"/>
                    </w:rPr>
                    <w:t>，均储存于密闭的</w:t>
                  </w:r>
                  <w:r>
                    <w:rPr>
                      <w:rFonts w:hint="eastAsia"/>
                      <w:color w:val="auto"/>
                      <w:lang w:val="en-US" w:eastAsia="zh-CN"/>
                    </w:rPr>
                    <w:t>桶</w:t>
                  </w:r>
                  <w:r>
                    <w:rPr>
                      <w:rFonts w:hint="default"/>
                      <w:color w:val="auto"/>
                    </w:rPr>
                    <w:t>内，</w:t>
                  </w:r>
                  <w:r>
                    <w:rPr>
                      <w:color w:val="auto"/>
                    </w:rPr>
                    <w:t>暂存于</w:t>
                  </w:r>
                  <w:r>
                    <w:rPr>
                      <w:rFonts w:hint="eastAsia"/>
                      <w:color w:val="auto"/>
                      <w:lang w:val="en-US" w:eastAsia="zh-CN"/>
                    </w:rPr>
                    <w:t>电解液车间</w:t>
                  </w:r>
                  <w:r>
                    <w:rPr>
                      <w:rFonts w:hint="default"/>
                      <w:color w:val="auto"/>
                    </w:rPr>
                    <w:t>，</w:t>
                  </w:r>
                  <w:r>
                    <w:rPr>
                      <w:rFonts w:hint="eastAsia"/>
                      <w:color w:val="auto"/>
                      <w:lang w:val="en-US" w:eastAsia="zh-CN"/>
                    </w:rPr>
                    <w:t>电解液车间</w:t>
                  </w:r>
                  <w:r>
                    <w:rPr>
                      <w:rFonts w:hint="default"/>
                      <w:color w:val="auto"/>
                    </w:rPr>
                    <w:t>进行重点防渗</w:t>
                  </w:r>
                  <w:r>
                    <w:rPr>
                      <w:color w:val="auto"/>
                    </w:rPr>
                    <w:t>，</w:t>
                  </w:r>
                  <w:r>
                    <w:rPr>
                      <w:rFonts w:hint="default"/>
                      <w:color w:val="auto"/>
                    </w:rPr>
                    <w:t>非取用时包装桶处于加盖、密闭状态。</w:t>
                  </w:r>
                </w:p>
              </w:tc>
              <w:tc>
                <w:tcPr>
                  <w:tcW w:w="746" w:type="dxa"/>
                  <w:vAlign w:val="center"/>
                </w:tcPr>
                <w:p w14:paraId="6002FD81">
                  <w:pPr>
                    <w:snapToGrid w:val="0"/>
                    <w:spacing w:before="72" w:beforeLines="30" w:after="72" w:afterLines="30"/>
                    <w:jc w:val="center"/>
                    <w:rPr>
                      <w:color w:val="auto"/>
                      <w:szCs w:val="21"/>
                    </w:rPr>
                  </w:pPr>
                  <w:r>
                    <w:rPr>
                      <w:color w:val="auto"/>
                      <w:szCs w:val="21"/>
                    </w:rPr>
                    <w:t>符合</w:t>
                  </w:r>
                </w:p>
              </w:tc>
            </w:tr>
            <w:tr w14:paraId="2CA8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1A68F38E">
                  <w:pPr>
                    <w:pStyle w:val="37"/>
                    <w:snapToGrid w:val="0"/>
                    <w:spacing w:before="72" w:beforeLines="30" w:after="72" w:afterLines="30"/>
                    <w:rPr>
                      <w:rFonts w:hint="default"/>
                      <w:color w:val="auto"/>
                    </w:rPr>
                  </w:pPr>
                  <w:r>
                    <w:rPr>
                      <w:color w:val="auto"/>
                    </w:rPr>
                    <w:t>3</w:t>
                  </w:r>
                </w:p>
              </w:tc>
              <w:tc>
                <w:tcPr>
                  <w:tcW w:w="886" w:type="dxa"/>
                  <w:vMerge w:val="continue"/>
                  <w:vAlign w:val="center"/>
                </w:tcPr>
                <w:p w14:paraId="47544C8D">
                  <w:pPr>
                    <w:pStyle w:val="37"/>
                    <w:snapToGrid w:val="0"/>
                    <w:spacing w:before="72" w:beforeLines="30" w:after="72" w:afterLines="30"/>
                    <w:rPr>
                      <w:rFonts w:hint="default"/>
                      <w:color w:val="auto"/>
                    </w:rPr>
                  </w:pPr>
                </w:p>
              </w:tc>
              <w:tc>
                <w:tcPr>
                  <w:tcW w:w="3723" w:type="dxa"/>
                  <w:vAlign w:val="center"/>
                </w:tcPr>
                <w:p w14:paraId="08099F62">
                  <w:pPr>
                    <w:pStyle w:val="37"/>
                    <w:snapToGrid w:val="0"/>
                    <w:spacing w:before="72" w:beforeLines="30" w:after="72" w:afterLines="30"/>
                    <w:rPr>
                      <w:rFonts w:hint="default"/>
                      <w:color w:val="auto"/>
                    </w:rPr>
                  </w:pPr>
                  <w:r>
                    <w:rPr>
                      <w:rFonts w:hint="default"/>
                      <w:color w:val="auto"/>
                    </w:rPr>
                    <w:t>VOCs物料储库、料仓应满足3.6条对密闭空间的要求，3.6条要求如下：利用完整的围护结构将污染物质、作业场所等与周围空间阻隔所形成的封闭区域或封闭式建筑物。该封闭区域或封闭式建筑物除人员、车辆、设备、物料进出时，以及依法设立的排气筒、通风口外，门窗及其他开口（孔）部位应随时保持关闭状态。</w:t>
                  </w:r>
                </w:p>
              </w:tc>
              <w:tc>
                <w:tcPr>
                  <w:tcW w:w="2823" w:type="dxa"/>
                  <w:vAlign w:val="center"/>
                </w:tcPr>
                <w:p w14:paraId="74342420">
                  <w:pPr>
                    <w:pStyle w:val="37"/>
                    <w:snapToGrid w:val="0"/>
                    <w:spacing w:before="72" w:beforeLines="30" w:after="72" w:afterLines="30"/>
                    <w:rPr>
                      <w:rFonts w:hint="default"/>
                      <w:color w:val="auto"/>
                    </w:rPr>
                  </w:pPr>
                  <w:r>
                    <w:rPr>
                      <w:rFonts w:hint="eastAsia"/>
                      <w:color w:val="auto"/>
                      <w:lang w:val="en-US" w:eastAsia="zh-CN"/>
                    </w:rPr>
                    <w:t>电解液车间</w:t>
                  </w:r>
                  <w:r>
                    <w:rPr>
                      <w:rFonts w:hint="default"/>
                      <w:color w:val="auto"/>
                    </w:rPr>
                    <w:t>除</w:t>
                  </w:r>
                  <w:r>
                    <w:rPr>
                      <w:rFonts w:hint="eastAsia"/>
                      <w:color w:val="auto"/>
                      <w:lang w:val="en-US" w:eastAsia="zh-CN"/>
                    </w:rPr>
                    <w:t>卸</w:t>
                  </w:r>
                  <w:r>
                    <w:rPr>
                      <w:rFonts w:hint="default"/>
                      <w:color w:val="auto"/>
                    </w:rPr>
                    <w:t>料外其余时间均保持密闭状态。</w:t>
                  </w:r>
                </w:p>
              </w:tc>
              <w:tc>
                <w:tcPr>
                  <w:tcW w:w="746" w:type="dxa"/>
                  <w:vAlign w:val="center"/>
                </w:tcPr>
                <w:p w14:paraId="0F5AE24E">
                  <w:pPr>
                    <w:snapToGrid w:val="0"/>
                    <w:spacing w:before="72" w:beforeLines="30" w:after="72" w:afterLines="30"/>
                    <w:jc w:val="center"/>
                    <w:rPr>
                      <w:color w:val="auto"/>
                      <w:szCs w:val="21"/>
                    </w:rPr>
                  </w:pPr>
                  <w:r>
                    <w:rPr>
                      <w:color w:val="auto"/>
                      <w:szCs w:val="21"/>
                    </w:rPr>
                    <w:t>符合</w:t>
                  </w:r>
                </w:p>
              </w:tc>
            </w:tr>
            <w:tr w14:paraId="327C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55AD74B8">
                  <w:pPr>
                    <w:pStyle w:val="37"/>
                    <w:snapToGrid w:val="0"/>
                    <w:spacing w:before="72" w:beforeLines="30" w:after="72" w:afterLines="30"/>
                    <w:rPr>
                      <w:rFonts w:hint="default"/>
                      <w:color w:val="auto"/>
                    </w:rPr>
                  </w:pPr>
                  <w:r>
                    <w:rPr>
                      <w:color w:val="auto"/>
                    </w:rPr>
                    <w:t>4</w:t>
                  </w:r>
                </w:p>
              </w:tc>
              <w:tc>
                <w:tcPr>
                  <w:tcW w:w="886" w:type="dxa"/>
                  <w:vAlign w:val="center"/>
                </w:tcPr>
                <w:p w14:paraId="7A63916E">
                  <w:pPr>
                    <w:pStyle w:val="37"/>
                    <w:snapToGrid w:val="0"/>
                    <w:spacing w:before="72" w:beforeLines="30" w:after="72" w:afterLines="30"/>
                    <w:rPr>
                      <w:rFonts w:hint="default"/>
                      <w:color w:val="auto"/>
                    </w:rPr>
                  </w:pPr>
                  <w:r>
                    <w:rPr>
                      <w:rFonts w:hint="default"/>
                      <w:color w:val="auto"/>
                    </w:rPr>
                    <w:t>VOCs物料转移和输送无组织排放控制要求</w:t>
                  </w:r>
                </w:p>
              </w:tc>
              <w:tc>
                <w:tcPr>
                  <w:tcW w:w="3723" w:type="dxa"/>
                  <w:vAlign w:val="center"/>
                </w:tcPr>
                <w:p w14:paraId="58CF19F4">
                  <w:pPr>
                    <w:pStyle w:val="37"/>
                    <w:snapToGrid w:val="0"/>
                    <w:spacing w:before="72" w:beforeLines="30" w:after="72" w:afterLines="30"/>
                    <w:rPr>
                      <w:rFonts w:hint="default"/>
                      <w:color w:val="auto"/>
                    </w:rPr>
                  </w:pPr>
                  <w:r>
                    <w:rPr>
                      <w:rFonts w:hint="default"/>
                      <w:color w:val="auto"/>
                    </w:rPr>
                    <w:t>液态VOCs物料应采用密闭管道输送。采用非管道输送方式转移液态VOCs物料时，应采用密闭容器、罐车。</w:t>
                  </w:r>
                </w:p>
              </w:tc>
              <w:tc>
                <w:tcPr>
                  <w:tcW w:w="2823" w:type="dxa"/>
                  <w:vAlign w:val="center"/>
                </w:tcPr>
                <w:p w14:paraId="1C237C2F">
                  <w:pPr>
                    <w:pStyle w:val="37"/>
                    <w:snapToGrid w:val="0"/>
                    <w:spacing w:before="72" w:beforeLines="30" w:after="72" w:afterLines="30"/>
                    <w:rPr>
                      <w:rFonts w:hint="default"/>
                      <w:color w:val="auto"/>
                    </w:rPr>
                  </w:pPr>
                  <w:r>
                    <w:rPr>
                      <w:rFonts w:hint="eastAsia"/>
                      <w:color w:val="auto"/>
                      <w:lang w:val="en-US" w:eastAsia="zh-CN"/>
                    </w:rPr>
                    <w:t>本项目采用非管道的方式输送，NMP</w:t>
                  </w:r>
                  <w:r>
                    <w:rPr>
                      <w:color w:val="auto"/>
                    </w:rPr>
                    <w:t>、</w:t>
                  </w:r>
                  <w:r>
                    <w:rPr>
                      <w:rFonts w:hint="eastAsia"/>
                      <w:color w:val="auto"/>
                      <w:lang w:val="en-US" w:eastAsia="zh-CN"/>
                    </w:rPr>
                    <w:t>电解液</w:t>
                  </w:r>
                  <w:r>
                    <w:rPr>
                      <w:rFonts w:hint="default"/>
                      <w:color w:val="auto"/>
                    </w:rPr>
                    <w:t>均由密闭的</w:t>
                  </w:r>
                  <w:r>
                    <w:rPr>
                      <w:rFonts w:hint="eastAsia"/>
                      <w:color w:val="auto"/>
                      <w:lang w:val="en-US" w:eastAsia="zh-CN"/>
                    </w:rPr>
                    <w:t>桶储存，通过叉车将</w:t>
                  </w:r>
                  <w:r>
                    <w:rPr>
                      <w:rFonts w:hint="default"/>
                      <w:color w:val="auto"/>
                    </w:rPr>
                    <w:t>物料</w:t>
                  </w:r>
                  <w:r>
                    <w:rPr>
                      <w:rFonts w:hint="eastAsia"/>
                      <w:color w:val="auto"/>
                      <w:lang w:val="en-US" w:eastAsia="zh-CN"/>
                    </w:rPr>
                    <w:t>输送</w:t>
                  </w:r>
                  <w:r>
                    <w:rPr>
                      <w:rFonts w:hint="default"/>
                      <w:color w:val="auto"/>
                    </w:rPr>
                    <w:t>至</w:t>
                  </w:r>
                  <w:r>
                    <w:rPr>
                      <w:color w:val="auto"/>
                    </w:rPr>
                    <w:t>生产线</w:t>
                  </w:r>
                  <w:r>
                    <w:rPr>
                      <w:rFonts w:hint="eastAsia"/>
                      <w:color w:val="auto"/>
                      <w:lang w:val="en-US" w:eastAsia="zh-CN"/>
                    </w:rPr>
                    <w:t>的辅房加注车间</w:t>
                  </w:r>
                  <w:r>
                    <w:rPr>
                      <w:rFonts w:hint="default"/>
                      <w:color w:val="auto"/>
                    </w:rPr>
                    <w:t>。</w:t>
                  </w:r>
                </w:p>
              </w:tc>
              <w:tc>
                <w:tcPr>
                  <w:tcW w:w="746" w:type="dxa"/>
                  <w:vAlign w:val="center"/>
                </w:tcPr>
                <w:p w14:paraId="185FE90C">
                  <w:pPr>
                    <w:snapToGrid w:val="0"/>
                    <w:spacing w:before="72" w:beforeLines="30" w:after="72" w:afterLines="30"/>
                    <w:jc w:val="center"/>
                    <w:rPr>
                      <w:color w:val="auto"/>
                      <w:szCs w:val="21"/>
                    </w:rPr>
                  </w:pPr>
                  <w:r>
                    <w:rPr>
                      <w:color w:val="auto"/>
                      <w:szCs w:val="21"/>
                    </w:rPr>
                    <w:t>符合</w:t>
                  </w:r>
                </w:p>
              </w:tc>
            </w:tr>
            <w:tr w14:paraId="7748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63BA0814">
                  <w:pPr>
                    <w:pStyle w:val="37"/>
                    <w:snapToGrid w:val="0"/>
                    <w:spacing w:before="72" w:beforeLines="30" w:after="72" w:afterLines="30"/>
                    <w:rPr>
                      <w:rFonts w:hint="default"/>
                      <w:color w:val="auto"/>
                    </w:rPr>
                  </w:pPr>
                  <w:r>
                    <w:rPr>
                      <w:color w:val="auto"/>
                    </w:rPr>
                    <w:t>5</w:t>
                  </w:r>
                </w:p>
              </w:tc>
              <w:tc>
                <w:tcPr>
                  <w:tcW w:w="886" w:type="dxa"/>
                  <w:vAlign w:val="center"/>
                </w:tcPr>
                <w:p w14:paraId="72D4DAE1">
                  <w:pPr>
                    <w:pStyle w:val="37"/>
                    <w:snapToGrid w:val="0"/>
                    <w:spacing w:before="72" w:beforeLines="30" w:after="72" w:afterLines="30"/>
                    <w:rPr>
                      <w:rFonts w:hint="default"/>
                      <w:color w:val="auto"/>
                    </w:rPr>
                  </w:pPr>
                  <w:r>
                    <w:rPr>
                      <w:rFonts w:hint="default"/>
                      <w:color w:val="auto"/>
                    </w:rPr>
                    <w:t>含VOCs产品的使用过程</w:t>
                  </w:r>
                </w:p>
              </w:tc>
              <w:tc>
                <w:tcPr>
                  <w:tcW w:w="3723" w:type="dxa"/>
                  <w:vAlign w:val="center"/>
                </w:tcPr>
                <w:p w14:paraId="6ADDCDFD">
                  <w:pPr>
                    <w:pStyle w:val="37"/>
                    <w:snapToGrid w:val="0"/>
                    <w:spacing w:before="72" w:beforeLines="30" w:after="72" w:afterLines="30"/>
                    <w:rPr>
                      <w:rFonts w:hint="default"/>
                      <w:color w:val="auto"/>
                    </w:rPr>
                  </w:pPr>
                  <w:r>
                    <w:rPr>
                      <w:rFonts w:hint="default"/>
                      <w:color w:val="auto"/>
                    </w:rPr>
                    <w:t>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a）调配（混合、搅拌等）；b）</w:t>
                  </w:r>
                  <w:r>
                    <w:rPr>
                      <w:color w:val="auto"/>
                    </w:rPr>
                    <w:t>印刷</w:t>
                  </w:r>
                  <w:r>
                    <w:rPr>
                      <w:rFonts w:hint="default"/>
                      <w:color w:val="auto"/>
                    </w:rPr>
                    <w:t>（</w:t>
                  </w:r>
                  <w:r>
                    <w:rPr>
                      <w:color w:val="auto"/>
                    </w:rPr>
                    <w:t>平版、凸版、凹版、孔版</w:t>
                  </w:r>
                  <w:r>
                    <w:rPr>
                      <w:rFonts w:hint="default"/>
                      <w:color w:val="auto"/>
                    </w:rPr>
                    <w:t>等）</w:t>
                  </w:r>
                  <w:r>
                    <w:rPr>
                      <w:color w:val="auto"/>
                    </w:rPr>
                    <w:t>。</w:t>
                  </w:r>
                </w:p>
              </w:tc>
              <w:tc>
                <w:tcPr>
                  <w:tcW w:w="2823" w:type="dxa"/>
                  <w:vAlign w:val="center"/>
                </w:tcPr>
                <w:p w14:paraId="5A34649C">
                  <w:pPr>
                    <w:pStyle w:val="37"/>
                    <w:snapToGrid w:val="0"/>
                    <w:spacing w:before="72" w:beforeLines="30" w:after="72" w:afterLines="30"/>
                    <w:rPr>
                      <w:rFonts w:hint="default" w:ascii="Times New Roman" w:hAnsi="Times New Roman" w:eastAsia="宋体" w:cs="Times New Roman"/>
                      <w:color w:val="auto"/>
                    </w:rPr>
                  </w:pPr>
                  <w:r>
                    <w:rPr>
                      <w:rFonts w:hint="eastAsia"/>
                      <w:color w:val="auto"/>
                      <w:lang w:val="en-US" w:eastAsia="zh-CN"/>
                    </w:rPr>
                    <w:t>涂布、烘干装置为</w:t>
                  </w:r>
                  <w:r>
                    <w:rPr>
                      <w:rFonts w:hint="eastAsia" w:ascii="Times New Roman" w:hAnsi="Times New Roman" w:eastAsia="宋体" w:cs="Times New Roman"/>
                      <w:b w:val="0"/>
                      <w:bCs/>
                      <w:color w:val="auto"/>
                      <w:sz w:val="21"/>
                      <w:szCs w:val="21"/>
                      <w:lang w:val="en-US" w:eastAsia="zh-CN"/>
                    </w:rPr>
                    <w:t>封闭</w:t>
                  </w:r>
                  <w:r>
                    <w:rPr>
                      <w:rFonts w:hint="default" w:ascii="Times New Roman" w:hAnsi="Times New Roman" w:eastAsia="宋体" w:cs="Times New Roman"/>
                      <w:b w:val="0"/>
                      <w:bCs/>
                      <w:color w:val="auto"/>
                      <w:sz w:val="21"/>
                      <w:szCs w:val="21"/>
                      <w:lang w:val="en-US" w:eastAsia="zh-CN"/>
                    </w:rPr>
                    <w:t>系统</w:t>
                  </w:r>
                  <w:r>
                    <w:rPr>
                      <w:rFonts w:hint="eastAsia" w:ascii="Times New Roman" w:hAnsi="Times New Roman" w:eastAsia="宋体" w:cs="Times New Roman"/>
                      <w:b w:val="0"/>
                      <w:bCs/>
                      <w:color w:val="auto"/>
                      <w:sz w:val="21"/>
                      <w:szCs w:val="21"/>
                      <w:lang w:val="en-US" w:eastAsia="zh-CN"/>
                    </w:rPr>
                    <w:t>，产生的</w:t>
                  </w:r>
                  <w:r>
                    <w:rPr>
                      <w:rFonts w:hint="eastAsia"/>
                      <w:color w:val="auto"/>
                    </w:rPr>
                    <w:t>废气经</w:t>
                  </w:r>
                  <w:r>
                    <w:rPr>
                      <w:rFonts w:hint="eastAsia"/>
                      <w:color w:val="auto"/>
                      <w:lang w:val="en-US" w:eastAsia="zh-CN"/>
                    </w:rPr>
                    <w:t>NMP回收装置</w:t>
                  </w:r>
                  <w:r>
                    <w:rPr>
                      <w:rFonts w:hint="eastAsia"/>
                      <w:color w:val="auto"/>
                    </w:rPr>
                    <w:t>“</w:t>
                  </w:r>
                  <w:r>
                    <w:rPr>
                      <w:rFonts w:hint="eastAsia"/>
                      <w:color w:val="auto"/>
                      <w:lang w:eastAsia="zh-CN"/>
                    </w:rPr>
                    <w:t>二级冷凝+转轮活性炭吸附再生</w:t>
                  </w:r>
                  <w:r>
                    <w:rPr>
                      <w:rFonts w:hint="eastAsia"/>
                      <w:color w:val="auto"/>
                    </w:rPr>
                    <w:t>”（TA001）处理后由25m高排气筒（DA001）排放；</w:t>
                  </w:r>
                  <w:r>
                    <w:rPr>
                      <w:rFonts w:hint="eastAsia" w:cs="Times New Roman"/>
                      <w:b w:val="0"/>
                      <w:bCs/>
                      <w:color w:val="auto"/>
                      <w:sz w:val="21"/>
                      <w:szCs w:val="21"/>
                      <w:lang w:val="en-US"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default" w:ascii="Times New Roman" w:hAnsi="Times New Roman" w:eastAsia="宋体" w:cs="Times New Roman"/>
                      <w:color w:val="auto"/>
                    </w:rPr>
                    <w:t>。</w:t>
                  </w:r>
                </w:p>
              </w:tc>
              <w:tc>
                <w:tcPr>
                  <w:tcW w:w="746" w:type="dxa"/>
                  <w:vAlign w:val="center"/>
                </w:tcPr>
                <w:p w14:paraId="27049EB2">
                  <w:pPr>
                    <w:snapToGrid w:val="0"/>
                    <w:spacing w:before="72" w:beforeLines="30" w:after="72" w:afterLines="3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0DA5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43C5811D">
                  <w:pPr>
                    <w:pStyle w:val="37"/>
                    <w:snapToGrid w:val="0"/>
                    <w:spacing w:before="72" w:beforeLines="30" w:after="72" w:afterLines="30"/>
                    <w:rPr>
                      <w:rFonts w:hint="default"/>
                      <w:color w:val="auto"/>
                    </w:rPr>
                  </w:pPr>
                  <w:r>
                    <w:rPr>
                      <w:color w:val="auto"/>
                    </w:rPr>
                    <w:t>6</w:t>
                  </w:r>
                </w:p>
              </w:tc>
              <w:tc>
                <w:tcPr>
                  <w:tcW w:w="886" w:type="dxa"/>
                  <w:vMerge w:val="restart"/>
                  <w:vAlign w:val="center"/>
                </w:tcPr>
                <w:p w14:paraId="0AF70809">
                  <w:pPr>
                    <w:pStyle w:val="37"/>
                    <w:snapToGrid w:val="0"/>
                    <w:spacing w:before="72" w:beforeLines="30" w:after="72" w:afterLines="30"/>
                    <w:rPr>
                      <w:rFonts w:hint="default"/>
                      <w:color w:val="auto"/>
                    </w:rPr>
                  </w:pPr>
                  <w:r>
                    <w:rPr>
                      <w:rFonts w:hint="default"/>
                      <w:color w:val="auto"/>
                    </w:rPr>
                    <w:t>VOCs无组织排放废气收集处理系统要求</w:t>
                  </w:r>
                </w:p>
              </w:tc>
              <w:tc>
                <w:tcPr>
                  <w:tcW w:w="3723" w:type="dxa"/>
                  <w:vAlign w:val="center"/>
                </w:tcPr>
                <w:p w14:paraId="41FBF439">
                  <w:pPr>
                    <w:pStyle w:val="37"/>
                    <w:snapToGrid w:val="0"/>
                    <w:spacing w:before="72" w:beforeLines="30" w:after="72" w:afterLines="30"/>
                    <w:rPr>
                      <w:rFonts w:hint="default"/>
                      <w:color w:val="auto"/>
                    </w:rPr>
                  </w:pPr>
                  <w:r>
                    <w:rPr>
                      <w:rFonts w:hint="default"/>
                      <w:color w:val="auto"/>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823" w:type="dxa"/>
                  <w:vAlign w:val="center"/>
                </w:tcPr>
                <w:p w14:paraId="79D4F5F6">
                  <w:pPr>
                    <w:pStyle w:val="37"/>
                    <w:snapToGrid w:val="0"/>
                    <w:spacing w:before="72" w:beforeLines="30" w:after="72" w:afterLines="30"/>
                    <w:rPr>
                      <w:rFonts w:hint="default"/>
                      <w:color w:val="auto"/>
                    </w:rPr>
                  </w:pPr>
                  <w:r>
                    <w:rPr>
                      <w:rFonts w:hint="default"/>
                      <w:color w:val="auto"/>
                    </w:rPr>
                    <w:t>本次环评要求项目方在</w:t>
                  </w:r>
                  <w:r>
                    <w:rPr>
                      <w:rFonts w:hint="eastAsia" w:cs="Times New Roman"/>
                      <w:color w:val="auto"/>
                      <w:kern w:val="0"/>
                      <w:sz w:val="21"/>
                      <w:szCs w:val="21"/>
                      <w:lang w:val="en-US" w:eastAsia="zh-CN"/>
                    </w:rPr>
                    <w:t>涂布、烘干</w:t>
                  </w:r>
                  <w:r>
                    <w:rPr>
                      <w:rFonts w:hint="default"/>
                      <w:color w:val="auto"/>
                    </w:rPr>
                    <w:t>过程废气处理系统同步开启，废气处理系统发生故障或检修时，上述工序均停止。</w:t>
                  </w:r>
                </w:p>
              </w:tc>
              <w:tc>
                <w:tcPr>
                  <w:tcW w:w="746" w:type="dxa"/>
                  <w:vAlign w:val="center"/>
                </w:tcPr>
                <w:p w14:paraId="79ECD49A">
                  <w:pPr>
                    <w:snapToGrid w:val="0"/>
                    <w:spacing w:before="72" w:beforeLines="30" w:after="72" w:afterLines="30"/>
                    <w:jc w:val="center"/>
                    <w:rPr>
                      <w:color w:val="auto"/>
                      <w:szCs w:val="21"/>
                    </w:rPr>
                  </w:pPr>
                  <w:r>
                    <w:rPr>
                      <w:color w:val="auto"/>
                      <w:szCs w:val="21"/>
                    </w:rPr>
                    <w:t>符合</w:t>
                  </w:r>
                </w:p>
              </w:tc>
            </w:tr>
            <w:tr w14:paraId="5D78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dxa"/>
                  <w:vAlign w:val="center"/>
                </w:tcPr>
                <w:p w14:paraId="0F7FD3DE">
                  <w:pPr>
                    <w:pStyle w:val="37"/>
                    <w:snapToGrid w:val="0"/>
                    <w:spacing w:before="72" w:beforeLines="30" w:after="72" w:afterLines="30"/>
                    <w:rPr>
                      <w:rFonts w:hint="default"/>
                      <w:color w:val="auto"/>
                    </w:rPr>
                  </w:pPr>
                  <w:r>
                    <w:rPr>
                      <w:color w:val="auto"/>
                    </w:rPr>
                    <w:t>7</w:t>
                  </w:r>
                </w:p>
              </w:tc>
              <w:tc>
                <w:tcPr>
                  <w:tcW w:w="886" w:type="dxa"/>
                  <w:vMerge w:val="continue"/>
                  <w:vAlign w:val="center"/>
                </w:tcPr>
                <w:p w14:paraId="35EFAD23">
                  <w:pPr>
                    <w:pStyle w:val="37"/>
                    <w:snapToGrid w:val="0"/>
                    <w:spacing w:before="72" w:beforeLines="30" w:after="72" w:afterLines="30"/>
                    <w:rPr>
                      <w:rFonts w:hint="default"/>
                      <w:color w:val="auto"/>
                    </w:rPr>
                  </w:pPr>
                </w:p>
              </w:tc>
              <w:tc>
                <w:tcPr>
                  <w:tcW w:w="3723" w:type="dxa"/>
                  <w:vAlign w:val="center"/>
                </w:tcPr>
                <w:p w14:paraId="46D1E81D">
                  <w:pPr>
                    <w:pStyle w:val="37"/>
                    <w:snapToGrid w:val="0"/>
                    <w:spacing w:before="72" w:beforeLines="30" w:after="72" w:afterLines="30"/>
                    <w:rPr>
                      <w:rFonts w:hint="default"/>
                      <w:color w:val="auto"/>
                    </w:rPr>
                  </w:pPr>
                  <w:r>
                    <w:rPr>
                      <w:rFonts w:hint="default"/>
                      <w:color w:val="auto"/>
                    </w:rPr>
                    <w:t>排气筒高度不低于</w:t>
                  </w:r>
                  <w:r>
                    <w:rPr>
                      <w:color w:val="auto"/>
                    </w:rPr>
                    <w:t>25m</w:t>
                  </w:r>
                  <w:r>
                    <w:rPr>
                      <w:rFonts w:hint="default"/>
                      <w:color w:val="auto"/>
                    </w:rPr>
                    <w:t>（因安全考虑或有特殊工艺要求的除外），具体高度以及与周围建筑物的相对高度关系应根据环境影响评价文件确定</w:t>
                  </w:r>
                </w:p>
              </w:tc>
              <w:tc>
                <w:tcPr>
                  <w:tcW w:w="2823" w:type="dxa"/>
                  <w:vAlign w:val="center"/>
                </w:tcPr>
                <w:p w14:paraId="7DC2768D">
                  <w:pPr>
                    <w:pStyle w:val="37"/>
                    <w:snapToGrid w:val="0"/>
                    <w:spacing w:before="72" w:beforeLines="30" w:after="72" w:afterLines="30"/>
                    <w:rPr>
                      <w:rFonts w:hint="default"/>
                      <w:color w:val="auto"/>
                    </w:rPr>
                  </w:pPr>
                  <w:r>
                    <w:rPr>
                      <w:rFonts w:hint="default"/>
                      <w:color w:val="auto"/>
                    </w:rPr>
                    <w:t>本项目</w:t>
                  </w:r>
                  <w:r>
                    <w:rPr>
                      <w:color w:val="auto"/>
                    </w:rPr>
                    <w:t>厂房为5层，楼房总高</w:t>
                  </w:r>
                  <w:r>
                    <w:rPr>
                      <w:rFonts w:hint="eastAsia"/>
                      <w:color w:val="auto"/>
                      <w:lang w:val="en-US" w:eastAsia="zh-CN"/>
                    </w:rPr>
                    <w:t>约</w:t>
                  </w:r>
                  <w:r>
                    <w:rPr>
                      <w:color w:val="auto"/>
                    </w:rPr>
                    <w:t>为</w:t>
                  </w:r>
                  <w:r>
                    <w:rPr>
                      <w:rFonts w:hint="eastAsia"/>
                      <w:color w:val="auto"/>
                      <w:lang w:val="en-US" w:eastAsia="zh-CN"/>
                    </w:rPr>
                    <w:t>20</w:t>
                  </w:r>
                  <w:r>
                    <w:rPr>
                      <w:color w:val="auto"/>
                    </w:rPr>
                    <w:t>m，</w:t>
                  </w:r>
                  <w:r>
                    <w:rPr>
                      <w:rFonts w:hint="default"/>
                      <w:color w:val="auto"/>
                    </w:rPr>
                    <w:t>排气筒高度</w:t>
                  </w:r>
                  <w:r>
                    <w:rPr>
                      <w:color w:val="auto"/>
                    </w:rPr>
                    <w:t>设计</w:t>
                  </w:r>
                  <w:r>
                    <w:rPr>
                      <w:rFonts w:hint="default"/>
                      <w:color w:val="auto"/>
                    </w:rPr>
                    <w:t>为</w:t>
                  </w:r>
                  <w:r>
                    <w:rPr>
                      <w:color w:val="auto"/>
                    </w:rPr>
                    <w:t>25</w:t>
                  </w:r>
                  <w:r>
                    <w:rPr>
                      <w:rFonts w:hint="default"/>
                      <w:color w:val="auto"/>
                    </w:rPr>
                    <w:t>m。</w:t>
                  </w:r>
                </w:p>
              </w:tc>
              <w:tc>
                <w:tcPr>
                  <w:tcW w:w="746" w:type="dxa"/>
                  <w:vAlign w:val="center"/>
                </w:tcPr>
                <w:p w14:paraId="284AED25">
                  <w:pPr>
                    <w:snapToGrid w:val="0"/>
                    <w:spacing w:before="72" w:beforeLines="30" w:after="72" w:afterLines="30"/>
                    <w:jc w:val="center"/>
                    <w:rPr>
                      <w:color w:val="auto"/>
                      <w:szCs w:val="21"/>
                    </w:rPr>
                  </w:pPr>
                  <w:r>
                    <w:rPr>
                      <w:color w:val="auto"/>
                      <w:szCs w:val="21"/>
                    </w:rPr>
                    <w:t>符合</w:t>
                  </w:r>
                </w:p>
              </w:tc>
            </w:tr>
          </w:tbl>
          <w:p w14:paraId="6F838501">
            <w:pPr>
              <w:pStyle w:val="68"/>
              <w:ind w:firstLine="422" w:firstLineChars="200"/>
              <w:rPr>
                <w:rFonts w:hint="default"/>
                <w:color w:val="auto"/>
              </w:rPr>
            </w:pPr>
            <w:r>
              <w:rPr>
                <w:rFonts w:hint="eastAsia"/>
                <w:color w:val="auto"/>
                <w:lang w:val="en-US" w:eastAsia="zh-CN"/>
              </w:rPr>
              <w:t>9</w:t>
            </w:r>
            <w:r>
              <w:rPr>
                <w:color w:val="auto"/>
              </w:rPr>
              <w:t>、与《云南省重点行业挥发性有机物综合治理方案》（环大气〔2019〕53号）符合性分析和《</w:t>
            </w:r>
            <w:r>
              <w:rPr>
                <w:rFonts w:hint="default"/>
                <w:color w:val="auto"/>
              </w:rPr>
              <w:t>云南省生态环境厅关于印发</w:t>
            </w:r>
            <w:r>
              <w:rPr>
                <w:color w:val="auto"/>
              </w:rPr>
              <w:t>云南省重点行业挥发性有机物综合治理实施方案</w:t>
            </w:r>
            <w:r>
              <w:rPr>
                <w:rFonts w:hint="default"/>
                <w:color w:val="auto"/>
              </w:rPr>
              <w:t>的通知</w:t>
            </w:r>
            <w:r>
              <w:rPr>
                <w:color w:val="auto"/>
              </w:rPr>
              <w:t>》（云环通〔2019〕125号）相符性分析</w:t>
            </w:r>
          </w:p>
          <w:p w14:paraId="23925926">
            <w:pPr>
              <w:pStyle w:val="36"/>
              <w:ind w:firstLine="420"/>
              <w:rPr>
                <w:color w:val="auto"/>
              </w:rPr>
            </w:pPr>
            <w:r>
              <w:rPr>
                <w:rFonts w:hint="eastAsia"/>
                <w:color w:val="auto"/>
              </w:rPr>
              <w:t>2019年6月26日</w:t>
            </w:r>
            <w:r>
              <w:rPr>
                <w:color w:val="auto"/>
              </w:rPr>
              <w:t>生态环境部发布了《关于印发〈重点行业挥发性有机物综合治理方案〉的通知》（环大气〔2019〕53号）</w:t>
            </w:r>
            <w:r>
              <w:rPr>
                <w:rFonts w:hint="eastAsia"/>
                <w:color w:val="auto"/>
              </w:rPr>
              <w:t>，</w:t>
            </w:r>
            <w:r>
              <w:rPr>
                <w:color w:val="auto"/>
              </w:rPr>
              <w:t>2019年10月10号云南省生态环境厅发布了《云南省生态环境厅关于印发云南省重点行业挥发性有机物综合治理实施方案的通知》（云环通〔2019〕125号），</w:t>
            </w:r>
            <w:r>
              <w:rPr>
                <w:rFonts w:hint="eastAsia"/>
                <w:color w:val="auto"/>
              </w:rPr>
              <w:t>本项目与二者符合性分析见下表所示：</w:t>
            </w:r>
          </w:p>
          <w:p w14:paraId="4072BBEE">
            <w:pPr>
              <w:pStyle w:val="37"/>
              <w:spacing w:before="60" w:after="60"/>
              <w:rPr>
                <w:rFonts w:hint="default"/>
                <w:color w:val="auto"/>
              </w:rPr>
            </w:pPr>
            <w:r>
              <w:rPr>
                <w:b/>
                <w:bCs/>
                <w:color w:val="auto"/>
              </w:rPr>
              <w:t>表1-</w:t>
            </w:r>
            <w:r>
              <w:rPr>
                <w:rFonts w:hint="eastAsia"/>
                <w:b/>
                <w:bCs/>
                <w:color w:val="auto"/>
                <w:lang w:val="en-US" w:eastAsia="zh-CN"/>
              </w:rPr>
              <w:t>10</w:t>
            </w:r>
            <w:r>
              <w:rPr>
                <w:b/>
                <w:bCs/>
                <w:color w:val="auto"/>
              </w:rPr>
              <w:t>项目与《重点行业挥发性有机物综合治理方案》和《云南省生态环境厅关于印发云南省重点行业挥发性有机物综合治理实施方案的通知》符合性分析一览表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9"/>
              <w:gridCol w:w="2755"/>
              <w:gridCol w:w="494"/>
            </w:tblGrid>
            <w:tr w14:paraId="25C3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pct"/>
                  <w:vAlign w:val="center"/>
                </w:tcPr>
                <w:p w14:paraId="0CA06AFD">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方案要求</w:t>
                  </w:r>
                </w:p>
              </w:tc>
              <w:tc>
                <w:tcPr>
                  <w:tcW w:w="1559" w:type="pct"/>
                  <w:vAlign w:val="center"/>
                </w:tcPr>
                <w:p w14:paraId="01351101">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项目情况</w:t>
                  </w:r>
                </w:p>
              </w:tc>
              <w:tc>
                <w:tcPr>
                  <w:tcW w:w="279" w:type="pct"/>
                  <w:vAlign w:val="center"/>
                </w:tcPr>
                <w:p w14:paraId="6BDA0377">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符合性</w:t>
                  </w:r>
                </w:p>
              </w:tc>
            </w:tr>
            <w:tr w14:paraId="1C1E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pct"/>
                  <w:vAlign w:val="center"/>
                </w:tcPr>
                <w:p w14:paraId="66191537">
                  <w:pPr>
                    <w:adjustRightInd w:val="0"/>
                    <w:snapToGrid w:val="0"/>
                    <w:spacing w:before="72" w:beforeLines="30" w:after="72" w:afterLines="30"/>
                    <w:rPr>
                      <w:color w:val="auto"/>
                      <w:szCs w:val="21"/>
                    </w:rPr>
                  </w:pPr>
                  <w:r>
                    <w:rPr>
                      <w:color w:val="auto"/>
                      <w:szCs w:val="21"/>
                    </w:rPr>
                    <w:t>（一）大力推进源头替代。</w:t>
                  </w:r>
                </w:p>
                <w:p w14:paraId="6B4FC8A1">
                  <w:pPr>
                    <w:adjustRightInd w:val="0"/>
                    <w:snapToGrid w:val="0"/>
                    <w:spacing w:before="72" w:beforeLines="30" w:after="72" w:afterLines="30"/>
                    <w:rPr>
                      <w:rFonts w:eastAsia="楷体"/>
                      <w:color w:val="auto"/>
                      <w:szCs w:val="21"/>
                    </w:rPr>
                  </w:pPr>
                  <w:r>
                    <w:rPr>
                      <w:color w:val="auto"/>
                      <w:szCs w:val="21"/>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1559" w:type="pct"/>
                  <w:vAlign w:val="center"/>
                </w:tcPr>
                <w:p w14:paraId="6ED0A6AC">
                  <w:pPr>
                    <w:pStyle w:val="58"/>
                    <w:snapToGrid w:val="0"/>
                    <w:spacing w:before="72" w:beforeLines="30" w:after="72" w:afterLines="30" w:line="240" w:lineRule="auto"/>
                    <w:ind w:firstLine="420" w:firstLineChars="200"/>
                    <w:jc w:val="both"/>
                    <w:rPr>
                      <w:rFonts w:eastAsia="宋体"/>
                      <w:color w:val="auto"/>
                      <w:sz w:val="21"/>
                      <w:szCs w:val="21"/>
                    </w:rPr>
                  </w:pPr>
                  <w:r>
                    <w:rPr>
                      <w:rFonts w:hint="default" w:ascii="Times New Roman" w:hAnsi="Times New Roman" w:eastAsia="宋体" w:cs="Times New Roman"/>
                      <w:color w:val="auto"/>
                      <w:sz w:val="21"/>
                      <w:szCs w:val="21"/>
                    </w:rPr>
                    <w:t>本项目涉及的含VOCs物料</w:t>
                  </w:r>
                  <w:r>
                    <w:rPr>
                      <w:rFonts w:hint="default" w:ascii="Times New Roman" w:hAnsi="Times New Roman" w:eastAsia="宋体" w:cs="Times New Roman"/>
                      <w:color w:val="auto"/>
                      <w:sz w:val="21"/>
                      <w:szCs w:val="21"/>
                      <w:lang w:val="en-US" w:eastAsia="zh-CN"/>
                    </w:rPr>
                    <w:t>主要为NMP</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电解液</w:t>
                  </w:r>
                  <w:r>
                    <w:rPr>
                      <w:rFonts w:hint="default" w:ascii="Times New Roman" w:hAnsi="Times New Roman" w:eastAsia="宋体" w:cs="Times New Roman"/>
                      <w:color w:val="auto"/>
                      <w:sz w:val="21"/>
                      <w:szCs w:val="21"/>
                    </w:rPr>
                    <w:t>，均储存于密闭的</w:t>
                  </w:r>
                  <w:r>
                    <w:rPr>
                      <w:rFonts w:hint="eastAsia" w:eastAsia="宋体" w:cs="Times New Roman"/>
                      <w:color w:val="auto"/>
                      <w:sz w:val="21"/>
                      <w:szCs w:val="21"/>
                      <w:lang w:val="en-US" w:eastAsia="zh-CN"/>
                    </w:rPr>
                    <w:t>桶</w:t>
                  </w:r>
                  <w:r>
                    <w:rPr>
                      <w:rFonts w:hint="default" w:ascii="Times New Roman" w:hAnsi="Times New Roman" w:eastAsia="宋体" w:cs="Times New Roman"/>
                      <w:color w:val="auto"/>
                      <w:sz w:val="21"/>
                      <w:szCs w:val="21"/>
                    </w:rPr>
                    <w:t>内，暂存于</w:t>
                  </w:r>
                  <w:r>
                    <w:rPr>
                      <w:rFonts w:hint="eastAsia" w:eastAsia="宋体" w:cs="Times New Roman"/>
                      <w:color w:val="auto"/>
                      <w:sz w:val="21"/>
                      <w:szCs w:val="21"/>
                      <w:lang w:val="en-US" w:eastAsia="zh-CN"/>
                    </w:rPr>
                    <w:t>电解液车间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本项目不使用</w:t>
                  </w:r>
                  <w:r>
                    <w:rPr>
                      <w:rFonts w:hint="default" w:ascii="Times New Roman" w:hAnsi="Times New Roman" w:eastAsia="宋体" w:cs="Times New Roman"/>
                      <w:color w:val="auto"/>
                      <w:sz w:val="21"/>
                      <w:szCs w:val="21"/>
                    </w:rPr>
                    <w:t>溶剂型涂料、油墨、胶粘剂、清洗剂等。</w:t>
                  </w:r>
                </w:p>
              </w:tc>
              <w:tc>
                <w:tcPr>
                  <w:tcW w:w="279" w:type="pct"/>
                  <w:vAlign w:val="center"/>
                </w:tcPr>
                <w:p w14:paraId="5596FAC3">
                  <w:pPr>
                    <w:pStyle w:val="58"/>
                    <w:snapToGrid w:val="0"/>
                    <w:spacing w:before="72" w:beforeLines="30" w:after="72" w:afterLines="30" w:line="240" w:lineRule="auto"/>
                    <w:ind w:firstLine="0" w:firstLineChars="0"/>
                    <w:rPr>
                      <w:rFonts w:eastAsia="宋体"/>
                      <w:color w:val="auto"/>
                      <w:sz w:val="21"/>
                      <w:szCs w:val="21"/>
                    </w:rPr>
                  </w:pPr>
                  <w:r>
                    <w:rPr>
                      <w:rFonts w:eastAsia="宋体"/>
                      <w:color w:val="auto"/>
                      <w:sz w:val="21"/>
                      <w:szCs w:val="21"/>
                    </w:rPr>
                    <w:t>符合</w:t>
                  </w:r>
                </w:p>
              </w:tc>
            </w:tr>
            <w:tr w14:paraId="2133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pct"/>
                  <w:vAlign w:val="center"/>
                </w:tcPr>
                <w:p w14:paraId="67E17CC3">
                  <w:pPr>
                    <w:adjustRightInd w:val="0"/>
                    <w:snapToGrid w:val="0"/>
                    <w:spacing w:before="72" w:beforeLines="30" w:after="72" w:afterLines="30"/>
                    <w:rPr>
                      <w:color w:val="auto"/>
                      <w:szCs w:val="21"/>
                    </w:rPr>
                  </w:pPr>
                  <w:r>
                    <w:rPr>
                      <w:color w:val="auto"/>
                      <w:szCs w:val="21"/>
                    </w:rPr>
                    <w:t>（二）全面加强无组织排放控制。</w:t>
                  </w:r>
                </w:p>
                <w:p w14:paraId="507C26C5">
                  <w:pPr>
                    <w:adjustRightInd w:val="0"/>
                    <w:snapToGrid w:val="0"/>
                    <w:spacing w:before="72" w:beforeLines="30" w:after="72" w:afterLines="30"/>
                    <w:rPr>
                      <w:color w:val="auto"/>
                      <w:szCs w:val="21"/>
                    </w:rPr>
                  </w:pPr>
                  <w:r>
                    <w:rPr>
                      <w:color w:val="auto"/>
                      <w:szCs w:val="21"/>
                    </w:rPr>
                    <w:t>加强设备与场所密闭管理。含VOCs物料应储存于密闭容器、包装袋，高效密封储罐，封闭式储库、料仓等。含VOCs物料转移和输送，应采用密闭管道或密闭容器、罐车等。</w:t>
                  </w:r>
                </w:p>
                <w:p w14:paraId="45E83CEA">
                  <w:pPr>
                    <w:adjustRightInd w:val="0"/>
                    <w:snapToGrid w:val="0"/>
                    <w:spacing w:before="72" w:beforeLines="30" w:after="72" w:afterLines="30"/>
                    <w:rPr>
                      <w:color w:val="auto"/>
                      <w:szCs w:val="21"/>
                    </w:rPr>
                  </w:pPr>
                  <w:r>
                    <w:rPr>
                      <w:color w:val="auto"/>
                      <w:szCs w:val="21"/>
                    </w:rPr>
                    <w:t>推进使用先进生产工艺。通过采用全密闭、连续化、自动化等生产技术，以及高效工艺与设备等，减少工艺过程无组织排放。包装印刷行业大力推广使用无溶剂复合、挤出复合、共挤出复合技术，鼓励采用水性凹印、醇水凹印、辐射固化凹印、柔版印刷、无水胶印等印刷工艺。</w:t>
                  </w:r>
                </w:p>
                <w:p w14:paraId="7975C5AE">
                  <w:pPr>
                    <w:adjustRightInd w:val="0"/>
                    <w:snapToGrid w:val="0"/>
                    <w:spacing w:before="72" w:beforeLines="30" w:after="72" w:afterLines="30"/>
                    <w:rPr>
                      <w:rFonts w:eastAsia="楷体"/>
                      <w:color w:val="auto"/>
                      <w:szCs w:val="21"/>
                    </w:rPr>
                  </w:pPr>
                  <w:r>
                    <w:rPr>
                      <w:color w:val="auto"/>
                      <w:szCs w:val="21"/>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59" w:type="pct"/>
                  <w:vAlign w:val="center"/>
                </w:tcPr>
                <w:p w14:paraId="362D9AE6">
                  <w:pPr>
                    <w:pStyle w:val="58"/>
                    <w:snapToGrid w:val="0"/>
                    <w:spacing w:before="72" w:beforeLines="30" w:after="72" w:afterLines="30" w:line="240" w:lineRule="auto"/>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①项目生产车间为封闭的标准厂房</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NMP</w:t>
                  </w:r>
                  <w:r>
                    <w:rPr>
                      <w:rFonts w:hint="eastAsia" w:ascii="Times New Roman" w:hAnsi="Times New Roman" w:eastAsia="宋体" w:cs="Times New Roman"/>
                      <w:color w:val="auto"/>
                      <w:sz w:val="21"/>
                      <w:szCs w:val="21"/>
                      <w:lang w:val="en-US" w:eastAsia="zh-CN"/>
                    </w:rPr>
                    <w:t>和电解液采用桶装，储存于全封闭的电解液暂存间，并设置废气收集措施；生产车间辅房设置全封闭的NMP和电解液暂存间，并设置废气收集措施</w:t>
                  </w:r>
                  <w:r>
                    <w:rPr>
                      <w:rFonts w:hint="default" w:ascii="Times New Roman" w:hAnsi="Times New Roman" w:eastAsia="宋体" w:cs="Times New Roman"/>
                      <w:color w:val="auto"/>
                      <w:sz w:val="21"/>
                      <w:szCs w:val="21"/>
                    </w:rPr>
                    <w:t>；</w:t>
                  </w:r>
                </w:p>
                <w:p w14:paraId="0E9C389B">
                  <w:pPr>
                    <w:pStyle w:val="58"/>
                    <w:snapToGrid w:val="0"/>
                    <w:spacing w:before="72" w:beforeLines="30" w:after="72" w:afterLines="30" w:line="240" w:lineRule="auto"/>
                    <w:ind w:firstLine="420" w:firstLineChars="200"/>
                    <w:jc w:val="both"/>
                    <w:rPr>
                      <w:rFonts w:ascii="宋体" w:hAnsi="宋体" w:eastAsia="宋体"/>
                      <w:color w:val="auto"/>
                      <w:sz w:val="21"/>
                      <w:szCs w:val="21"/>
                    </w:rPr>
                  </w:pPr>
                  <w:r>
                    <w:rPr>
                      <w:rFonts w:hint="eastAsia" w:ascii="宋体" w:hAnsi="宋体" w:eastAsia="宋体"/>
                      <w:color w:val="auto"/>
                      <w:sz w:val="21"/>
                      <w:szCs w:val="21"/>
                    </w:rPr>
                    <w:t>②项目生产车间为密闭</w:t>
                  </w:r>
                  <w:r>
                    <w:rPr>
                      <w:rFonts w:hint="eastAsia" w:ascii="宋体" w:hAnsi="宋体" w:eastAsia="宋体"/>
                      <w:color w:val="auto"/>
                      <w:sz w:val="21"/>
                      <w:szCs w:val="21"/>
                      <w:lang w:eastAsia="zh-CN"/>
                    </w:rPr>
                    <w:t>的</w:t>
                  </w:r>
                  <w:r>
                    <w:rPr>
                      <w:rFonts w:hint="eastAsia" w:ascii="宋体" w:hAnsi="宋体" w:eastAsia="宋体"/>
                      <w:color w:val="auto"/>
                      <w:sz w:val="21"/>
                      <w:szCs w:val="21"/>
                      <w:lang w:val="en-US" w:eastAsia="zh-CN"/>
                    </w:rPr>
                    <w:t>洁净车间</w:t>
                  </w:r>
                  <w:r>
                    <w:rPr>
                      <w:rFonts w:hint="eastAsia" w:ascii="宋体" w:hAnsi="宋体" w:eastAsia="宋体"/>
                      <w:color w:val="auto"/>
                      <w:sz w:val="21"/>
                      <w:szCs w:val="21"/>
                    </w:rPr>
                    <w:t>，使用先进</w:t>
                  </w:r>
                  <w:r>
                    <w:rPr>
                      <w:rFonts w:hint="eastAsia" w:ascii="宋体" w:hAnsi="宋体" w:eastAsia="宋体"/>
                      <w:color w:val="auto"/>
                      <w:sz w:val="21"/>
                      <w:szCs w:val="21"/>
                      <w:lang w:val="en-US" w:eastAsia="zh-CN"/>
                    </w:rPr>
                    <w:t>全自动</w:t>
                  </w:r>
                  <w:r>
                    <w:rPr>
                      <w:rFonts w:hint="eastAsia" w:ascii="宋体" w:hAnsi="宋体" w:eastAsia="宋体"/>
                      <w:color w:val="auto"/>
                      <w:sz w:val="21"/>
                      <w:szCs w:val="21"/>
                    </w:rPr>
                    <w:t>生产</w:t>
                  </w:r>
                  <w:r>
                    <w:rPr>
                      <w:rFonts w:hint="eastAsia" w:ascii="宋体" w:hAnsi="宋体" w:eastAsia="宋体"/>
                      <w:color w:val="auto"/>
                      <w:sz w:val="21"/>
                      <w:szCs w:val="21"/>
                      <w:lang w:val="en-US" w:eastAsia="zh-CN"/>
                    </w:rPr>
                    <w:t>线生产锂电池，无组织VOCs产污节点较少</w:t>
                  </w:r>
                  <w:r>
                    <w:rPr>
                      <w:rFonts w:hint="eastAsia" w:ascii="宋体" w:hAnsi="宋体" w:eastAsia="宋体"/>
                      <w:color w:val="auto"/>
                      <w:sz w:val="21"/>
                      <w:szCs w:val="21"/>
                    </w:rPr>
                    <w:t>；</w:t>
                  </w:r>
                </w:p>
                <w:p w14:paraId="1A345DFD">
                  <w:pPr>
                    <w:pStyle w:val="60"/>
                    <w:spacing w:before="72" w:beforeLines="30" w:after="72" w:afterLines="30" w:line="240" w:lineRule="auto"/>
                    <w:ind w:firstLine="436" w:firstLineChars="200"/>
                    <w:jc w:val="both"/>
                    <w:rPr>
                      <w:color w:val="auto"/>
                      <w:lang w:val="en-US"/>
                    </w:rPr>
                  </w:pPr>
                  <w:r>
                    <w:rPr>
                      <w:rFonts w:hint="default" w:ascii="Times New Roman" w:hAnsi="Times New Roman" w:eastAsia="宋体" w:cs="Times New Roman"/>
                      <w:color w:val="auto"/>
                      <w:szCs w:val="21"/>
                    </w:rPr>
                    <w:t>③</w:t>
                  </w:r>
                  <w:r>
                    <w:rPr>
                      <w:rFonts w:hint="default" w:ascii="Times New Roman" w:hAnsi="Times New Roman" w:eastAsia="宋体" w:cs="Times New Roman"/>
                      <w:color w:val="auto"/>
                      <w:szCs w:val="21"/>
                      <w:lang w:val="en-US" w:eastAsia="zh-CN"/>
                    </w:rPr>
                    <w:t>项目为提高无组织废气收集效率，</w:t>
                  </w:r>
                  <w:r>
                    <w:rPr>
                      <w:rFonts w:hint="default" w:ascii="Times New Roman" w:hAnsi="Times New Roman" w:eastAsia="宋体" w:cs="Times New Roman"/>
                      <w:color w:val="auto"/>
                    </w:rPr>
                    <w:t>配料、制浆、涂布和NMP回收装置均为密闭结构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注液、化成废气</w:t>
                  </w:r>
                  <w:r>
                    <w:rPr>
                      <w:rFonts w:hint="eastAsia" w:cs="Times New Roman"/>
                      <w:color w:val="auto"/>
                      <w:lang w:val="en-US" w:eastAsia="zh-CN"/>
                    </w:rPr>
                    <w:t>在手套箱内真空状态下</w:t>
                  </w:r>
                  <w:r>
                    <w:rPr>
                      <w:rFonts w:hint="default" w:ascii="Times New Roman" w:hAnsi="Times New Roman" w:eastAsia="宋体" w:cs="Times New Roman"/>
                      <w:color w:val="auto"/>
                      <w:lang w:val="en-US" w:eastAsia="zh-CN"/>
                    </w:rPr>
                    <w:t>收集，</w:t>
                  </w:r>
                  <w:r>
                    <w:rPr>
                      <w:rFonts w:hint="eastAsia" w:cs="Times New Roman"/>
                      <w:color w:val="auto"/>
                      <w:lang w:val="en-US" w:eastAsia="zh-CN"/>
                    </w:rPr>
                    <w:t>暂存废气经</w:t>
                  </w:r>
                  <w:r>
                    <w:rPr>
                      <w:rFonts w:hint="default" w:ascii="Times New Roman" w:hAnsi="Times New Roman" w:eastAsia="宋体" w:cs="Times New Roman"/>
                      <w:color w:val="auto"/>
                      <w:lang w:val="en-US" w:eastAsia="zh-CN"/>
                    </w:rPr>
                    <w:t>集气</w:t>
                  </w:r>
                  <w:r>
                    <w:rPr>
                      <w:rFonts w:hint="eastAsia" w:cs="Times New Roman"/>
                      <w:color w:val="auto"/>
                      <w:lang w:val="en-US" w:eastAsia="zh-CN"/>
                    </w:rPr>
                    <w:t>管</w:t>
                  </w:r>
                  <w:r>
                    <w:rPr>
                      <w:rFonts w:hint="default" w:ascii="Times New Roman" w:hAnsi="Times New Roman" w:eastAsia="宋体" w:cs="Times New Roman"/>
                      <w:color w:val="auto"/>
                      <w:lang w:val="en-US" w:eastAsia="zh-CN"/>
                    </w:rPr>
                    <w:t>收集</w:t>
                  </w:r>
                  <w:r>
                    <w:rPr>
                      <w:rFonts w:hint="eastAsia" w:cs="Times New Roman"/>
                      <w:color w:val="auto"/>
                      <w:lang w:val="en-US" w:eastAsia="zh-CN"/>
                    </w:rPr>
                    <w:t>，车间内通风出</w:t>
                  </w:r>
                  <w:r>
                    <w:rPr>
                      <w:rFonts w:hint="default" w:ascii="Times New Roman" w:hAnsi="Times New Roman" w:eastAsia="宋体" w:cs="Times New Roman"/>
                      <w:color w:val="auto"/>
                      <w:lang w:val="en-US" w:eastAsia="zh-CN"/>
                    </w:rPr>
                    <w:t>风速大于0.3m/s；电解液车间</w:t>
                  </w:r>
                  <w:r>
                    <w:rPr>
                      <w:rFonts w:hint="eastAsia" w:cs="Times New Roman"/>
                      <w:color w:val="auto"/>
                      <w:lang w:val="en-US" w:eastAsia="zh-CN"/>
                    </w:rPr>
                    <w:t>和危废暂存间</w:t>
                  </w:r>
                  <w:r>
                    <w:rPr>
                      <w:rFonts w:hint="default" w:ascii="Times New Roman" w:hAnsi="Times New Roman" w:eastAsia="宋体" w:cs="Times New Roman"/>
                      <w:color w:val="auto"/>
                      <w:lang w:val="en-US" w:eastAsia="zh-CN"/>
                    </w:rPr>
                    <w:t>为封闭空间，采用</w:t>
                  </w:r>
                  <w:r>
                    <w:rPr>
                      <w:rFonts w:hint="eastAsia" w:ascii="Times New Roman" w:hAnsi="Times New Roman" w:eastAsia="宋体" w:cs="Times New Roman"/>
                      <w:color w:val="auto"/>
                      <w:lang w:val="en-US" w:eastAsia="zh-CN"/>
                    </w:rPr>
                    <w:t>集气系统</w:t>
                  </w:r>
                  <w:r>
                    <w:rPr>
                      <w:rFonts w:hint="default" w:ascii="Times New Roman" w:hAnsi="Times New Roman" w:eastAsia="宋体" w:cs="Times New Roman"/>
                      <w:color w:val="auto"/>
                      <w:lang w:val="en-US" w:eastAsia="zh-CN"/>
                    </w:rPr>
                    <w:t>将储存车间的废气收集；NMP暂存间有机废气</w:t>
                  </w:r>
                  <w:r>
                    <w:rPr>
                      <w:rFonts w:hint="eastAsia" w:cs="Times New Roman"/>
                      <w:color w:val="auto"/>
                      <w:lang w:val="en-US" w:eastAsia="zh-CN"/>
                    </w:rPr>
                    <w:t>采用集气管道收集，进风口的风速大于0.3m/s；</w:t>
                  </w:r>
                  <w:r>
                    <w:rPr>
                      <w:rFonts w:hint="default" w:ascii="Times New Roman" w:hAnsi="Times New Roman" w:eastAsia="宋体" w:cs="Times New Roman"/>
                      <w:color w:val="auto"/>
                      <w:lang w:val="en-US" w:eastAsia="zh-CN"/>
                    </w:rPr>
                    <w:t>NMP冷凝回收罐有机废气采用</w:t>
                  </w:r>
                  <w:r>
                    <w:rPr>
                      <w:rFonts w:hint="eastAsia" w:ascii="Times New Roman" w:hAnsi="Times New Roman" w:eastAsia="宋体" w:cs="Times New Roman"/>
                      <w:color w:val="auto"/>
                      <w:lang w:val="en-US" w:eastAsia="zh-CN"/>
                    </w:rPr>
                    <w:t>集气</w:t>
                  </w:r>
                  <w:r>
                    <w:rPr>
                      <w:rFonts w:hint="eastAsia" w:cs="Times New Roman"/>
                      <w:color w:val="auto"/>
                      <w:lang w:val="en-US" w:eastAsia="zh-CN"/>
                    </w:rPr>
                    <w:t>罩</w:t>
                  </w:r>
                  <w:r>
                    <w:rPr>
                      <w:rFonts w:hint="default" w:ascii="Times New Roman" w:hAnsi="Times New Roman" w:eastAsia="宋体" w:cs="Times New Roman"/>
                      <w:color w:val="auto"/>
                      <w:lang w:val="en-US" w:eastAsia="zh-CN"/>
                    </w:rPr>
                    <w:t>将储存车间的废气收集</w:t>
                  </w:r>
                  <w:r>
                    <w:rPr>
                      <w:rFonts w:hint="eastAsia" w:cs="Times New Roman"/>
                      <w:color w:val="auto"/>
                      <w:lang w:val="en-US" w:eastAsia="zh-CN"/>
                    </w:rPr>
                    <w:t>，</w:t>
                  </w:r>
                  <w:r>
                    <w:rPr>
                      <w:color w:val="auto"/>
                      <w:szCs w:val="21"/>
                    </w:rPr>
                    <w:t>距集气罩开口面最远处的</w:t>
                  </w:r>
                  <w:r>
                    <w:rPr>
                      <w:rFonts w:hint="eastAsia"/>
                      <w:color w:val="auto"/>
                      <w:szCs w:val="21"/>
                      <w:lang w:val="en-US" w:eastAsia="zh-CN"/>
                    </w:rPr>
                    <w:t>风速不低于0.3m/s</w:t>
                  </w:r>
                  <w:r>
                    <w:rPr>
                      <w:rFonts w:hint="default" w:ascii="Times New Roman" w:hAnsi="Times New Roman" w:eastAsia="宋体" w:cs="Times New Roman"/>
                      <w:color w:val="auto"/>
                      <w:szCs w:val="21"/>
                      <w:lang w:val="en-US"/>
                    </w:rPr>
                    <w:t>。</w:t>
                  </w:r>
                </w:p>
              </w:tc>
              <w:tc>
                <w:tcPr>
                  <w:tcW w:w="279" w:type="pct"/>
                  <w:vAlign w:val="center"/>
                </w:tcPr>
                <w:p w14:paraId="660677EB">
                  <w:pPr>
                    <w:pStyle w:val="58"/>
                    <w:snapToGrid w:val="0"/>
                    <w:spacing w:before="72" w:beforeLines="30" w:after="72" w:afterLines="30" w:line="240" w:lineRule="auto"/>
                    <w:ind w:firstLine="0" w:firstLineChars="0"/>
                    <w:rPr>
                      <w:rFonts w:eastAsia="宋体"/>
                      <w:color w:val="auto"/>
                      <w:sz w:val="21"/>
                      <w:szCs w:val="21"/>
                    </w:rPr>
                  </w:pPr>
                  <w:r>
                    <w:rPr>
                      <w:rFonts w:eastAsia="宋体"/>
                      <w:color w:val="auto"/>
                      <w:sz w:val="21"/>
                      <w:szCs w:val="21"/>
                    </w:rPr>
                    <w:t>符合</w:t>
                  </w:r>
                </w:p>
              </w:tc>
            </w:tr>
            <w:tr w14:paraId="6C3C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pct"/>
                  <w:vAlign w:val="center"/>
                </w:tcPr>
                <w:p w14:paraId="49ABD205">
                  <w:pPr>
                    <w:adjustRightInd w:val="0"/>
                    <w:snapToGrid w:val="0"/>
                    <w:spacing w:before="72" w:beforeLines="30" w:after="72" w:afterLines="30"/>
                    <w:rPr>
                      <w:rFonts w:eastAsia="楷体"/>
                      <w:color w:val="auto"/>
                      <w:szCs w:val="21"/>
                    </w:rPr>
                  </w:pPr>
                  <w:r>
                    <w:rPr>
                      <w:rFonts w:hint="eastAsia"/>
                      <w:color w:val="auto"/>
                      <w:szCs w:val="21"/>
                    </w:rPr>
                    <w:t>（三）</w:t>
                  </w:r>
                  <w:r>
                    <w:rPr>
                      <w:color w:val="auto"/>
                      <w:szCs w:val="21"/>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w:t>
                  </w:r>
                  <w:r>
                    <w:rPr>
                      <w:rFonts w:hint="eastAsia"/>
                      <w:color w:val="auto"/>
                      <w:szCs w:val="21"/>
                    </w:rPr>
                    <w:t>燃烧</w:t>
                  </w:r>
                  <w:r>
                    <w:rPr>
                      <w:color w:val="auto"/>
                      <w:szCs w:val="21"/>
                    </w:rPr>
                    <w:t>、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559" w:type="pct"/>
                  <w:vAlign w:val="center"/>
                </w:tcPr>
                <w:p w14:paraId="5FA4E2FB">
                  <w:pPr>
                    <w:pStyle w:val="62"/>
                    <w:snapToGrid w:val="0"/>
                    <w:spacing w:before="72" w:beforeLines="30" w:after="72" w:afterLines="30"/>
                    <w:rPr>
                      <w:rFonts w:hint="default" w:eastAsia="宋体"/>
                      <w:color w:val="auto"/>
                      <w:lang w:val="en-US" w:eastAsia="zh-CN"/>
                    </w:rPr>
                  </w:pPr>
                  <w:r>
                    <w:rPr>
                      <w:rFonts w:hint="eastAsia"/>
                      <w:color w:val="auto"/>
                      <w:lang w:val="en-US" w:eastAsia="zh-CN"/>
                    </w:rPr>
                    <w:t>根</w:t>
                  </w:r>
                  <w:r>
                    <w:rPr>
                      <w:rFonts w:hint="eastAsia"/>
                      <w:color w:val="auto"/>
                    </w:rPr>
                    <w:t>据《排污许可证申请与核发技术规范电池工业》（HJ967-2018）中表19电池工业废气污染防治可行技术</w:t>
                  </w:r>
                  <w:r>
                    <w:rPr>
                      <w:rFonts w:hint="eastAsia"/>
                      <w:color w:val="auto"/>
                      <w:lang w:eastAsia="zh-CN"/>
                    </w:rPr>
                    <w:t>：</w:t>
                  </w:r>
                  <w:r>
                    <w:rPr>
                      <w:rFonts w:hint="eastAsia"/>
                      <w:color w:val="auto"/>
                      <w:lang w:val="en-US" w:eastAsia="zh-CN"/>
                    </w:rPr>
                    <w:t>本项目采用</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二级冷凝+转轮活性炭吸附再生</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工艺回收NMP为可行性工艺。</w:t>
                  </w:r>
                  <w:r>
                    <w:rPr>
                      <w:rFonts w:hint="default" w:ascii="Times New Roman" w:hAnsi="Times New Roman" w:eastAsia="宋体" w:cs="Times New Roman"/>
                      <w:color w:val="auto"/>
                      <w:sz w:val="21"/>
                      <w:szCs w:val="21"/>
                    </w:rPr>
                    <w:t>电解液注液、化成、暂存有机废气、NMP和电解液储存有机废气、危废暂存间有机废气、NMP暂存间有机废气、NMP冷凝回收罐有机废气</w:t>
                  </w:r>
                  <w:r>
                    <w:rPr>
                      <w:rFonts w:hint="eastAsia" w:cs="Times New Roman"/>
                      <w:color w:val="auto"/>
                      <w:sz w:val="21"/>
                      <w:szCs w:val="21"/>
                      <w:lang w:val="en-US" w:eastAsia="zh-CN"/>
                    </w:rPr>
                    <w:t>采用活性炭吸附为可行性工艺；定区更换的活性炭作为危险废物，委托具有资质的单位清运处置。</w:t>
                  </w:r>
                </w:p>
              </w:tc>
              <w:tc>
                <w:tcPr>
                  <w:tcW w:w="279" w:type="pct"/>
                  <w:vAlign w:val="center"/>
                </w:tcPr>
                <w:p w14:paraId="53A496DE">
                  <w:pPr>
                    <w:pStyle w:val="58"/>
                    <w:snapToGrid w:val="0"/>
                    <w:spacing w:before="72" w:beforeLines="30" w:after="72" w:afterLines="30" w:line="240" w:lineRule="auto"/>
                    <w:ind w:firstLine="0" w:firstLineChars="0"/>
                    <w:rPr>
                      <w:rFonts w:eastAsia="宋体"/>
                      <w:color w:val="auto"/>
                      <w:sz w:val="21"/>
                      <w:szCs w:val="21"/>
                    </w:rPr>
                  </w:pPr>
                  <w:r>
                    <w:rPr>
                      <w:rFonts w:eastAsia="宋体"/>
                      <w:color w:val="auto"/>
                      <w:sz w:val="21"/>
                      <w:szCs w:val="21"/>
                    </w:rPr>
                    <w:t>符合</w:t>
                  </w:r>
                </w:p>
              </w:tc>
            </w:tr>
            <w:tr w14:paraId="1EBD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2" w:type="pct"/>
                  <w:vAlign w:val="center"/>
                </w:tcPr>
                <w:p w14:paraId="6C0A1C0E">
                  <w:pPr>
                    <w:adjustRightInd w:val="0"/>
                    <w:snapToGrid w:val="0"/>
                    <w:spacing w:before="72" w:beforeLines="30" w:after="72" w:afterLines="30"/>
                    <w:rPr>
                      <w:color w:val="auto"/>
                      <w:szCs w:val="21"/>
                    </w:rPr>
                  </w:pPr>
                  <w:r>
                    <w:rPr>
                      <w:rFonts w:hint="eastAsia"/>
                      <w:color w:val="auto"/>
                      <w:szCs w:val="21"/>
                    </w:rPr>
                    <w:t>（四）</w:t>
                  </w:r>
                  <w:r>
                    <w:rPr>
                      <w:color w:val="auto"/>
                      <w:szCs w:val="21"/>
                    </w:rPr>
                    <w:t>加强制药、农药、涂料、油墨、胶粘剂、橡胶和塑料制品等行业VOCs治理力度。重点提高涉VOCs排放主要工序密闭化水平，加强无组织排放收集，加大含VOCs物料储存和装卸治理力度。</w:t>
                  </w:r>
                </w:p>
                <w:p w14:paraId="5AE3309B">
                  <w:pPr>
                    <w:adjustRightInd w:val="0"/>
                    <w:snapToGrid w:val="0"/>
                    <w:spacing w:before="72" w:beforeLines="30" w:after="72" w:afterLines="30"/>
                    <w:rPr>
                      <w:color w:val="auto"/>
                      <w:szCs w:val="21"/>
                    </w:rPr>
                  </w:pPr>
                  <w:r>
                    <w:rPr>
                      <w:color w:val="auto"/>
                      <w:szCs w:val="21"/>
                    </w:rPr>
                    <w:t>加强非正常工况废气排放控制。退料、吹扫、清洗等过程应加强含VOCs物料回收工作，产生的VOCs废气要加大收集处理力度。开车阶段产生的易挥发性不合格产品应收集至中间储罐等装置。重点区域化工企业应制定开停车、检维修等非正常工况VOCs治理操作规程。</w:t>
                  </w:r>
                </w:p>
              </w:tc>
              <w:tc>
                <w:tcPr>
                  <w:tcW w:w="1559" w:type="pct"/>
                  <w:vAlign w:val="center"/>
                </w:tcPr>
                <w:p w14:paraId="351E8BEE">
                  <w:pPr>
                    <w:pStyle w:val="58"/>
                    <w:snapToGrid w:val="0"/>
                    <w:spacing w:before="72" w:beforeLines="30" w:after="72" w:afterLines="30" w:line="240" w:lineRule="auto"/>
                    <w:ind w:firstLine="420" w:firstLineChars="200"/>
                    <w:jc w:val="both"/>
                    <w:rPr>
                      <w:rFonts w:eastAsia="宋体"/>
                      <w:color w:val="auto"/>
                      <w:sz w:val="21"/>
                      <w:szCs w:val="21"/>
                    </w:rPr>
                  </w:pPr>
                  <w:r>
                    <w:rPr>
                      <w:rFonts w:hint="eastAsia" w:eastAsia="宋体" w:cs="Times New Roman"/>
                      <w:color w:val="auto"/>
                      <w:sz w:val="21"/>
                      <w:szCs w:val="21"/>
                      <w:lang w:val="en-US" w:eastAsia="zh-CN"/>
                    </w:rPr>
                    <w:t>①本项目属于电池加工项目，主要的VOCs物料NMP和电解液暂存于全封闭的电解液车间；产生车间</w:t>
                  </w:r>
                  <w:r>
                    <w:rPr>
                      <w:rFonts w:hint="eastAsia" w:ascii="Times New Roman" w:hAnsi="Times New Roman" w:eastAsia="宋体" w:cs="Times New Roman"/>
                      <w:color w:val="auto"/>
                      <w:sz w:val="21"/>
                      <w:szCs w:val="21"/>
                      <w:lang w:val="en-US" w:eastAsia="zh-CN"/>
                    </w:rPr>
                    <w:t>设置全封闭的NMP和电解液暂存间</w:t>
                  </w:r>
                  <w:r>
                    <w:rPr>
                      <w:rFonts w:hint="eastAsia" w:eastAsia="宋体" w:cs="Times New Roman"/>
                      <w:color w:val="auto"/>
                      <w:sz w:val="21"/>
                      <w:szCs w:val="21"/>
                      <w:lang w:val="en-US" w:eastAsia="zh-CN"/>
                    </w:rPr>
                    <w:t>；根据工艺流程图各VOCs产污环节均采用集气+活性炭吸附的方式治理无组织废气，做到“应收尽收”</w:t>
                  </w:r>
                  <w:r>
                    <w:rPr>
                      <w:rFonts w:eastAsia="宋体"/>
                      <w:color w:val="auto"/>
                      <w:sz w:val="21"/>
                      <w:szCs w:val="21"/>
                    </w:rPr>
                    <w:t>。</w:t>
                  </w:r>
                </w:p>
                <w:p w14:paraId="58CC9D53">
                  <w:pPr>
                    <w:pStyle w:val="58"/>
                    <w:snapToGrid w:val="0"/>
                    <w:spacing w:before="72" w:beforeLines="30" w:after="72" w:afterLines="30" w:line="240" w:lineRule="auto"/>
                    <w:ind w:firstLine="420" w:firstLineChars="200"/>
                    <w:jc w:val="both"/>
                    <w:rPr>
                      <w:rFonts w:hint="eastAsia" w:eastAsia="宋体"/>
                      <w:color w:val="auto"/>
                      <w:sz w:val="21"/>
                      <w:szCs w:val="21"/>
                      <w:lang w:eastAsia="zh-CN"/>
                    </w:rPr>
                  </w:pPr>
                  <w:r>
                    <w:rPr>
                      <w:rFonts w:hint="eastAsia" w:eastAsia="宋体"/>
                      <w:color w:val="auto"/>
                      <w:sz w:val="21"/>
                      <w:szCs w:val="21"/>
                      <w:lang w:val="en-US" w:eastAsia="zh-CN"/>
                    </w:rPr>
                    <w:t>②企业应严格执行生产计划，严禁生产线超负荷运行和无序生产；关键VOCs治理设施在非正常工况下应该制</w:t>
                  </w:r>
                  <w:r>
                    <w:rPr>
                      <w:rFonts w:hint="default" w:ascii="Times New Roman" w:hAnsi="Times New Roman" w:eastAsia="宋体" w:cs="Times New Roman"/>
                      <w:color w:val="auto"/>
                      <w:sz w:val="21"/>
                      <w:szCs w:val="21"/>
                      <w:lang w:val="en-US" w:eastAsia="zh-CN"/>
                    </w:rPr>
                    <w:t>定</w:t>
                  </w:r>
                  <w:r>
                    <w:rPr>
                      <w:rFonts w:hint="default" w:ascii="Times New Roman" w:hAnsi="Times New Roman" w:eastAsia="宋体" w:cs="Times New Roman"/>
                      <w:color w:val="auto"/>
                      <w:sz w:val="21"/>
                      <w:szCs w:val="21"/>
                    </w:rPr>
                    <w:t>非正常工况VOCs治理操作规程</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加大收集和治理力度，因此建议企业在VOCs设备选型时，应</w:t>
                  </w:r>
                  <w:r>
                    <w:rPr>
                      <w:rFonts w:hint="eastAsia" w:eastAsia="宋体" w:cs="Times New Roman"/>
                      <w:color w:val="auto"/>
                      <w:sz w:val="21"/>
                      <w:szCs w:val="21"/>
                      <w:lang w:val="en-US" w:eastAsia="zh-CN"/>
                    </w:rPr>
                    <w:t>选择具有资质的单位进行环保设施的设计、生产及安装</w:t>
                  </w:r>
                  <w:r>
                    <w:rPr>
                      <w:rFonts w:hint="default" w:ascii="Times New Roman" w:hAnsi="Times New Roman" w:eastAsia="宋体" w:cs="Times New Roman"/>
                      <w:color w:val="auto"/>
                      <w:sz w:val="21"/>
                      <w:szCs w:val="21"/>
                      <w:lang w:eastAsia="zh-CN"/>
                    </w:rPr>
                    <w:t>。</w:t>
                  </w:r>
                </w:p>
              </w:tc>
              <w:tc>
                <w:tcPr>
                  <w:tcW w:w="279" w:type="pct"/>
                  <w:vAlign w:val="center"/>
                </w:tcPr>
                <w:p w14:paraId="3CBC4C06">
                  <w:pPr>
                    <w:pStyle w:val="58"/>
                    <w:snapToGrid w:val="0"/>
                    <w:spacing w:before="72" w:beforeLines="30" w:after="72" w:afterLines="30" w:line="240" w:lineRule="auto"/>
                    <w:ind w:firstLine="0" w:firstLineChars="0"/>
                    <w:rPr>
                      <w:rFonts w:eastAsia="宋体"/>
                      <w:color w:val="auto"/>
                      <w:sz w:val="21"/>
                      <w:szCs w:val="21"/>
                    </w:rPr>
                  </w:pPr>
                  <w:r>
                    <w:rPr>
                      <w:rFonts w:eastAsia="宋体"/>
                      <w:color w:val="auto"/>
                      <w:sz w:val="21"/>
                      <w:szCs w:val="21"/>
                    </w:rPr>
                    <w:t>符合</w:t>
                  </w:r>
                </w:p>
              </w:tc>
            </w:tr>
          </w:tbl>
          <w:p w14:paraId="60E4C478">
            <w:pPr>
              <w:pStyle w:val="36"/>
              <w:ind w:firstLine="422"/>
              <w:rPr>
                <w:b/>
                <w:bCs/>
                <w:color w:val="auto"/>
              </w:rPr>
            </w:pPr>
            <w:r>
              <w:rPr>
                <w:rFonts w:hint="eastAsia"/>
                <w:b/>
                <w:bCs/>
                <w:color w:val="auto"/>
                <w:lang w:val="en-US" w:eastAsia="zh-CN"/>
              </w:rPr>
              <w:t>10</w:t>
            </w:r>
            <w:r>
              <w:rPr>
                <w:rFonts w:hint="eastAsia"/>
                <w:b/>
                <w:bCs/>
                <w:color w:val="auto"/>
              </w:rPr>
              <w:t>、与《关于印发〈2020年挥发性有机物治理攻坚方案〉的通知》（环大气〔2020〕33号）符合性分析</w:t>
            </w:r>
          </w:p>
          <w:p w14:paraId="435227B4">
            <w:pPr>
              <w:pStyle w:val="36"/>
              <w:ind w:firstLine="420"/>
              <w:rPr>
                <w:color w:val="auto"/>
              </w:rPr>
            </w:pPr>
            <w:r>
              <w:rPr>
                <w:rFonts w:hint="eastAsia"/>
                <w:color w:val="auto"/>
              </w:rPr>
              <w:t>2020年6月生态环境部发布了《关于印发〈2020年挥发性有机物治理攻坚方案〉的通知》（环大气〔2020〕33号），本项目与二者符合性分析见下表所示：</w:t>
            </w:r>
          </w:p>
          <w:p w14:paraId="41CA04C0">
            <w:pPr>
              <w:pStyle w:val="39"/>
              <w:ind w:firstLine="422"/>
              <w:rPr>
                <w:color w:val="auto"/>
              </w:rPr>
            </w:pPr>
            <w:r>
              <w:rPr>
                <w:color w:val="auto"/>
              </w:rPr>
              <w:t>表1-</w:t>
            </w:r>
            <w:r>
              <w:rPr>
                <w:rFonts w:hint="eastAsia"/>
                <w:color w:val="auto"/>
                <w:lang w:val="en-US" w:eastAsia="zh-CN"/>
              </w:rPr>
              <w:t>11</w:t>
            </w:r>
            <w:r>
              <w:rPr>
                <w:color w:val="auto"/>
              </w:rPr>
              <w:t>项目与《2020年挥发性有机物治理攻坚方案》符合性分析表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3"/>
              <w:gridCol w:w="3235"/>
              <w:gridCol w:w="710"/>
            </w:tblGrid>
            <w:tr w14:paraId="490F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7" w:type="pct"/>
                  <w:vAlign w:val="center"/>
                </w:tcPr>
                <w:p w14:paraId="7E2503DA">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方案要求</w:t>
                  </w:r>
                </w:p>
              </w:tc>
              <w:tc>
                <w:tcPr>
                  <w:tcW w:w="1830" w:type="pct"/>
                  <w:vAlign w:val="center"/>
                </w:tcPr>
                <w:p w14:paraId="6D11B4AF">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项目情况</w:t>
                  </w:r>
                </w:p>
              </w:tc>
              <w:tc>
                <w:tcPr>
                  <w:tcW w:w="402" w:type="pct"/>
                  <w:vAlign w:val="center"/>
                </w:tcPr>
                <w:p w14:paraId="5B4D8C64">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符合性</w:t>
                  </w:r>
                </w:p>
              </w:tc>
            </w:tr>
            <w:tr w14:paraId="124E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7" w:type="pct"/>
                  <w:vAlign w:val="center"/>
                </w:tcPr>
                <w:p w14:paraId="7DED425A">
                  <w:pPr>
                    <w:adjustRightInd w:val="0"/>
                    <w:snapToGrid w:val="0"/>
                    <w:spacing w:before="72" w:beforeLines="30" w:after="72" w:afterLines="30"/>
                    <w:jc w:val="center"/>
                    <w:rPr>
                      <w:color w:val="auto"/>
                      <w:szCs w:val="21"/>
                    </w:rPr>
                  </w:pPr>
                  <w:r>
                    <w:rPr>
                      <w:color w:val="auto"/>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w:t>
                  </w:r>
                  <w:r>
                    <w:rPr>
                      <w:color w:val="auto"/>
                      <w:szCs w:val="21"/>
                    </w:rPr>
                    <w:cr/>
                  </w:r>
                  <w:r>
                    <w:rPr>
                      <w:color w:val="auto"/>
                      <w:szCs w:val="21"/>
                    </w:rPr>
                    <w:t>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1830" w:type="pct"/>
                  <w:vAlign w:val="center"/>
                </w:tcPr>
                <w:p w14:paraId="12178357">
                  <w:pPr>
                    <w:pStyle w:val="21"/>
                    <w:adjustRightInd w:val="0"/>
                    <w:snapToGrid w:val="0"/>
                    <w:spacing w:before="72" w:beforeLines="30" w:beforeAutospacing="0" w:after="72" w:afterLines="30" w:afterAutospacing="0"/>
                    <w:ind w:firstLine="420" w:firstLineChars="200"/>
                    <w:jc w:val="both"/>
                    <w:rPr>
                      <w:rFonts w:ascii="Times New Roman" w:hAnsi="Times New Roman"/>
                      <w:color w:val="auto"/>
                      <w:kern w:val="2"/>
                      <w:sz w:val="21"/>
                      <w:szCs w:val="21"/>
                    </w:rPr>
                  </w:pPr>
                  <w:r>
                    <w:rPr>
                      <w:rFonts w:ascii="Times New Roman" w:hAnsi="Times New Roman"/>
                      <w:color w:val="auto"/>
                      <w:kern w:val="2"/>
                      <w:sz w:val="21"/>
                      <w:szCs w:val="21"/>
                    </w:rPr>
                    <w:t>本项目产生有机废气</w:t>
                  </w:r>
                  <w:r>
                    <w:rPr>
                      <w:rFonts w:hint="eastAsia" w:ascii="Times New Roman" w:hAnsi="Times New Roman"/>
                      <w:color w:val="auto"/>
                      <w:sz w:val="21"/>
                      <w:szCs w:val="21"/>
                    </w:rPr>
                    <w:t>主要为</w:t>
                  </w:r>
                  <w:r>
                    <w:rPr>
                      <w:rFonts w:hint="eastAsia" w:ascii="Times New Roman" w:hAnsi="Times New Roman" w:cs="Times New Roman"/>
                      <w:color w:val="auto"/>
                      <w:sz w:val="21"/>
                      <w:szCs w:val="21"/>
                      <w:lang w:val="en-US" w:eastAsia="zh-CN"/>
                    </w:rPr>
                    <w:t>NMP回收、注液、化成、电解液车间NMP和电解液储存废气、生产车间NMP和电解液暂存废气、危废暂存间工序生产VOCs废气</w:t>
                  </w:r>
                  <w:r>
                    <w:rPr>
                      <w:rFonts w:ascii="Times New Roman" w:hAnsi="Times New Roman"/>
                      <w:color w:val="auto"/>
                      <w:kern w:val="2"/>
                      <w:sz w:val="21"/>
                      <w:szCs w:val="21"/>
                    </w:rPr>
                    <w:t>，</w:t>
                  </w:r>
                  <w:r>
                    <w:rPr>
                      <w:rFonts w:hint="eastAsia" w:ascii="Times New Roman" w:hAnsi="Times New Roman"/>
                      <w:color w:val="auto"/>
                      <w:kern w:val="2"/>
                      <w:sz w:val="21"/>
                      <w:szCs w:val="21"/>
                    </w:rPr>
                    <w:t>项目使用的原辅料为：</w:t>
                  </w:r>
                  <w:r>
                    <w:rPr>
                      <w:rFonts w:hint="eastAsia" w:ascii="Times New Roman" w:hAnsi="Times New Roman"/>
                      <w:color w:val="auto"/>
                      <w:kern w:val="2"/>
                      <w:sz w:val="21"/>
                      <w:szCs w:val="21"/>
                      <w:lang w:val="en-US" w:eastAsia="zh-CN"/>
                    </w:rPr>
                    <w:t>NMP</w:t>
                  </w:r>
                  <w:r>
                    <w:rPr>
                      <w:rFonts w:hint="eastAsia" w:ascii="Times New Roman" w:hAnsi="Times New Roman"/>
                      <w:color w:val="auto"/>
                      <w:kern w:val="2"/>
                      <w:sz w:val="21"/>
                      <w:szCs w:val="21"/>
                    </w:rPr>
                    <w:t>、</w:t>
                  </w:r>
                  <w:r>
                    <w:rPr>
                      <w:rFonts w:hint="eastAsia" w:ascii="Times New Roman" w:hAnsi="Times New Roman"/>
                      <w:color w:val="auto"/>
                      <w:kern w:val="2"/>
                      <w:sz w:val="21"/>
                      <w:szCs w:val="21"/>
                      <w:lang w:val="en-US" w:eastAsia="zh-CN"/>
                    </w:rPr>
                    <w:t>电解液</w:t>
                  </w:r>
                  <w:r>
                    <w:rPr>
                      <w:rFonts w:hint="eastAsia" w:ascii="Times New Roman" w:hAnsi="Times New Roman"/>
                      <w:color w:val="auto"/>
                      <w:kern w:val="2"/>
                      <w:sz w:val="21"/>
                      <w:szCs w:val="21"/>
                    </w:rPr>
                    <w:t>，</w:t>
                  </w:r>
                  <w:r>
                    <w:rPr>
                      <w:rFonts w:ascii="Times New Roman" w:hAnsi="Times New Roman"/>
                      <w:color w:val="auto"/>
                      <w:kern w:val="2"/>
                      <w:sz w:val="21"/>
                      <w:szCs w:val="21"/>
                    </w:rPr>
                    <w:t>企业建成后建立原辅材料台账，记录VOCs原辅材料名称、成分、VOCs含量、采购量、使用量、库存量、回收方式、回收量等信息，并保存相关证明材料。</w:t>
                  </w:r>
                </w:p>
              </w:tc>
              <w:tc>
                <w:tcPr>
                  <w:tcW w:w="402" w:type="pct"/>
                  <w:vAlign w:val="center"/>
                </w:tcPr>
                <w:p w14:paraId="2B1651D6">
                  <w:pPr>
                    <w:pStyle w:val="58"/>
                    <w:snapToGrid w:val="0"/>
                    <w:spacing w:before="72" w:beforeLines="30" w:after="72" w:afterLines="30" w:line="240" w:lineRule="auto"/>
                    <w:ind w:firstLine="0" w:firstLineChars="0"/>
                    <w:rPr>
                      <w:rFonts w:eastAsia="宋体"/>
                      <w:color w:val="auto"/>
                      <w:sz w:val="21"/>
                      <w:szCs w:val="21"/>
                    </w:rPr>
                  </w:pPr>
                  <w:r>
                    <w:rPr>
                      <w:rFonts w:eastAsia="宋体"/>
                      <w:color w:val="auto"/>
                      <w:sz w:val="21"/>
                      <w:szCs w:val="21"/>
                    </w:rPr>
                    <w:t>符合</w:t>
                  </w:r>
                </w:p>
              </w:tc>
            </w:tr>
            <w:tr w14:paraId="4971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7" w:type="pct"/>
                  <w:vAlign w:val="center"/>
                </w:tcPr>
                <w:p w14:paraId="5EDAA9A4">
                  <w:pPr>
                    <w:adjustRightInd w:val="0"/>
                    <w:snapToGrid w:val="0"/>
                    <w:spacing w:before="72" w:beforeLines="30" w:after="72" w:afterLines="30"/>
                    <w:jc w:val="center"/>
                    <w:rPr>
                      <w:color w:val="auto"/>
                      <w:szCs w:val="21"/>
                    </w:rPr>
                  </w:pPr>
                  <w:r>
                    <w:rPr>
                      <w:color w:val="auto"/>
                      <w:szCs w:val="21"/>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w:t>
                  </w:r>
                  <w:r>
                    <w:rPr>
                      <w:color w:val="auto"/>
                      <w:szCs w:val="21"/>
                    </w:rPr>
                    <w:cr/>
                  </w:r>
                  <w:r>
                    <w:rPr>
                      <w:color w:val="auto"/>
                      <w:szCs w:val="21"/>
                    </w:rPr>
                    <w:t>化工、合成树脂企业严格按照排放标准要求开展LDAR工作，加强备用泵、在用泵、调节阀、搅拌器、开口管线等检测工作，强化质量控制；要将VOCs治理设施和储罐的密封点纳入检测计划中。</w:t>
                  </w:r>
                </w:p>
              </w:tc>
              <w:tc>
                <w:tcPr>
                  <w:tcW w:w="1830" w:type="pct"/>
                  <w:vAlign w:val="center"/>
                </w:tcPr>
                <w:p w14:paraId="05AAE1EE">
                  <w:pPr>
                    <w:pStyle w:val="21"/>
                    <w:adjustRightInd w:val="0"/>
                    <w:snapToGrid w:val="0"/>
                    <w:spacing w:before="72" w:beforeLines="30" w:beforeAutospacing="0" w:after="72" w:afterLines="30" w:afterAutospacing="0"/>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①项目生产车间为封闭的标准厂房</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NMP</w:t>
                  </w:r>
                  <w:r>
                    <w:rPr>
                      <w:rFonts w:hint="eastAsia" w:ascii="Times New Roman" w:hAnsi="Times New Roman" w:eastAsia="宋体" w:cs="Times New Roman"/>
                      <w:color w:val="auto"/>
                      <w:sz w:val="21"/>
                      <w:szCs w:val="21"/>
                      <w:lang w:val="en-US" w:eastAsia="zh-CN"/>
                    </w:rPr>
                    <w:t>和电解液采用桶装，储存于全封闭的电解液暂存间，并设置废气收集措施；生产车间辅房设置全封闭的NMP和电解液暂存间，并设置废气收集措施</w:t>
                  </w:r>
                  <w:r>
                    <w:rPr>
                      <w:rFonts w:hint="default" w:ascii="Times New Roman" w:hAnsi="Times New Roman" w:eastAsia="宋体" w:cs="Times New Roman"/>
                      <w:color w:val="auto"/>
                      <w:sz w:val="21"/>
                      <w:szCs w:val="21"/>
                    </w:rPr>
                    <w:t>；</w:t>
                  </w:r>
                  <w:r>
                    <w:rPr>
                      <w:rFonts w:hint="eastAsia" w:ascii="宋体" w:hAnsi="宋体" w:eastAsia="宋体"/>
                      <w:color w:val="auto"/>
                      <w:sz w:val="21"/>
                      <w:szCs w:val="21"/>
                    </w:rPr>
                    <w:t>项目</w:t>
                  </w:r>
                  <w:r>
                    <w:rPr>
                      <w:rFonts w:hint="default" w:ascii="Times New Roman" w:hAnsi="Times New Roman" w:eastAsia="宋体" w:cs="Times New Roman"/>
                      <w:b w:val="0"/>
                      <w:bCs/>
                      <w:color w:val="auto"/>
                      <w:sz w:val="21"/>
                      <w:szCs w:val="21"/>
                      <w:lang w:val="en-US" w:eastAsia="zh-CN"/>
                    </w:rPr>
                    <w:t>配料、制浆、涂布和NMP回收装置均为密闭结构</w:t>
                  </w:r>
                  <w:r>
                    <w:rPr>
                      <w:rFonts w:hint="eastAsia" w:ascii="Times New Roman" w:hAnsi="Times New Roman" w:cs="Times New Roman"/>
                      <w:b w:val="0"/>
                      <w:bCs/>
                      <w:color w:val="auto"/>
                      <w:sz w:val="21"/>
                      <w:szCs w:val="21"/>
                      <w:lang w:val="en-US" w:eastAsia="zh-CN"/>
                    </w:rPr>
                    <w:t>；</w:t>
                  </w:r>
                  <w:r>
                    <w:rPr>
                      <w:rFonts w:hint="eastAsia" w:ascii="宋体" w:hAnsi="宋体" w:eastAsia="宋体"/>
                      <w:color w:val="auto"/>
                      <w:sz w:val="21"/>
                      <w:szCs w:val="21"/>
                    </w:rPr>
                    <w:t>生产车间为密闭</w:t>
                  </w:r>
                  <w:r>
                    <w:rPr>
                      <w:rFonts w:hint="eastAsia" w:ascii="宋体" w:hAnsi="宋体" w:eastAsia="宋体"/>
                      <w:color w:val="auto"/>
                      <w:sz w:val="21"/>
                      <w:szCs w:val="21"/>
                      <w:lang w:eastAsia="zh-CN"/>
                    </w:rPr>
                    <w:t>的</w:t>
                  </w:r>
                  <w:r>
                    <w:rPr>
                      <w:rFonts w:hint="eastAsia" w:ascii="宋体" w:hAnsi="宋体" w:eastAsia="宋体"/>
                      <w:color w:val="auto"/>
                      <w:sz w:val="21"/>
                      <w:szCs w:val="21"/>
                      <w:lang w:val="en-US" w:eastAsia="zh-CN"/>
                    </w:rPr>
                    <w:t>洁净车间</w:t>
                  </w:r>
                  <w:r>
                    <w:rPr>
                      <w:rFonts w:hint="eastAsia" w:ascii="宋体" w:hAnsi="宋体" w:eastAsia="宋体"/>
                      <w:color w:val="auto"/>
                      <w:sz w:val="21"/>
                      <w:szCs w:val="21"/>
                    </w:rPr>
                    <w:t>，使用先进</w:t>
                  </w:r>
                  <w:r>
                    <w:rPr>
                      <w:rFonts w:hint="eastAsia" w:ascii="宋体" w:hAnsi="宋体" w:eastAsia="宋体"/>
                      <w:color w:val="auto"/>
                      <w:sz w:val="21"/>
                      <w:szCs w:val="21"/>
                      <w:lang w:val="en-US" w:eastAsia="zh-CN"/>
                    </w:rPr>
                    <w:t>全自动</w:t>
                  </w:r>
                  <w:r>
                    <w:rPr>
                      <w:rFonts w:hint="eastAsia" w:ascii="宋体" w:hAnsi="宋体" w:eastAsia="宋体"/>
                      <w:color w:val="auto"/>
                      <w:sz w:val="21"/>
                      <w:szCs w:val="21"/>
                    </w:rPr>
                    <w:t>生产</w:t>
                  </w:r>
                  <w:r>
                    <w:rPr>
                      <w:rFonts w:hint="eastAsia" w:ascii="宋体" w:hAnsi="宋体" w:eastAsia="宋体"/>
                      <w:color w:val="auto"/>
                      <w:sz w:val="21"/>
                      <w:szCs w:val="21"/>
                      <w:lang w:val="en-US" w:eastAsia="zh-CN"/>
                    </w:rPr>
                    <w:t>线生产锂电池，无组织VOCs产污节点较少，无组织VOCs做到“应收尽收。”</w:t>
                  </w:r>
                </w:p>
                <w:p w14:paraId="07AA29C7">
                  <w:pPr>
                    <w:pStyle w:val="62"/>
                    <w:snapToGrid w:val="0"/>
                    <w:spacing w:before="72" w:beforeLines="30" w:after="72" w:afterLines="30"/>
                    <w:rPr>
                      <w:rFonts w:hint="default" w:ascii="Times New Roman" w:hAnsi="Times New Roman" w:eastAsia="宋体" w:cs="Times New Roman"/>
                      <w:color w:val="auto"/>
                    </w:rPr>
                  </w:pPr>
                  <w:r>
                    <w:rPr>
                      <w:rFonts w:hint="default" w:ascii="Times New Roman" w:hAnsi="Times New Roman" w:eastAsia="宋体" w:cs="Times New Roman"/>
                      <w:color w:val="auto"/>
                      <w:szCs w:val="21"/>
                    </w:rPr>
                    <w:t>②本项目</w:t>
                  </w:r>
                  <w:r>
                    <w:rPr>
                      <w:rFonts w:hint="eastAsia"/>
                      <w:color w:val="auto"/>
                    </w:rPr>
                    <w:t>NMP回收装置废气经“</w:t>
                  </w:r>
                  <w:r>
                    <w:rPr>
                      <w:rFonts w:hint="eastAsia"/>
                      <w:color w:val="auto"/>
                      <w:lang w:eastAsia="zh-CN"/>
                    </w:rPr>
                    <w:t>二级冷凝+转轮活性炭吸附再生</w:t>
                  </w:r>
                  <w:r>
                    <w:rPr>
                      <w:rFonts w:hint="eastAsia"/>
                      <w:color w:val="auto"/>
                    </w:rPr>
                    <w:t>”（TA001）处理后由25m高排气筒（DA001）排放；</w:t>
                  </w:r>
                  <w:r>
                    <w:rPr>
                      <w:rFonts w:hint="eastAsia"/>
                      <w:color w:val="auto"/>
                      <w:lang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default" w:ascii="Times New Roman" w:hAnsi="Times New Roman" w:eastAsia="宋体" w:cs="Times New Roman"/>
                      <w:color w:val="auto"/>
                      <w:szCs w:val="21"/>
                    </w:rPr>
                    <w:t>。</w:t>
                  </w:r>
                </w:p>
                <w:p w14:paraId="14436391">
                  <w:pPr>
                    <w:pStyle w:val="21"/>
                    <w:adjustRightInd w:val="0"/>
                    <w:snapToGrid w:val="0"/>
                    <w:spacing w:before="72" w:beforeLines="30" w:beforeAutospacing="0" w:after="72" w:afterLines="30" w:afterAutospacing="0"/>
                    <w:ind w:firstLine="420" w:firstLineChars="200"/>
                    <w:jc w:val="both"/>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rPr>
                    <w:t>③</w:t>
                  </w:r>
                  <w:r>
                    <w:rPr>
                      <w:rFonts w:hint="default" w:ascii="Times New Roman" w:hAnsi="Times New Roman" w:eastAsia="宋体" w:cs="Times New Roman"/>
                      <w:color w:val="auto"/>
                      <w:kern w:val="0"/>
                      <w:sz w:val="21"/>
                      <w:szCs w:val="21"/>
                    </w:rPr>
                    <w:t>废气处理产生的废活性炭</w:t>
                  </w:r>
                  <w:r>
                    <w:rPr>
                      <w:rFonts w:hint="default" w:ascii="Times New Roman" w:hAnsi="Times New Roman" w:eastAsia="宋体" w:cs="Times New Roman"/>
                      <w:color w:val="auto"/>
                      <w:sz w:val="21"/>
                      <w:szCs w:val="21"/>
                    </w:rPr>
                    <w:t>暂存于危废暂存间，委托</w:t>
                  </w:r>
                  <w:r>
                    <w:rPr>
                      <w:rFonts w:hint="default" w:ascii="Times New Roman" w:hAnsi="Times New Roman" w:eastAsia="宋体" w:cs="Times New Roman"/>
                      <w:color w:val="auto"/>
                      <w:kern w:val="0"/>
                      <w:sz w:val="21"/>
                      <w:szCs w:val="21"/>
                    </w:rPr>
                    <w:t>具有资质的单位</w:t>
                  </w:r>
                  <w:r>
                    <w:rPr>
                      <w:rFonts w:hint="default" w:ascii="Times New Roman" w:hAnsi="Times New Roman" w:eastAsia="宋体" w:cs="Times New Roman"/>
                      <w:color w:val="auto"/>
                      <w:sz w:val="21"/>
                      <w:szCs w:val="21"/>
                    </w:rPr>
                    <w:t>清运处置，并设置相应的危废管理台账和危废转移联单制度。</w:t>
                  </w:r>
                </w:p>
                <w:p w14:paraId="03CCC9AB">
                  <w:pPr>
                    <w:pStyle w:val="21"/>
                    <w:adjustRightInd w:val="0"/>
                    <w:snapToGrid w:val="0"/>
                    <w:spacing w:before="72" w:beforeLines="30" w:beforeAutospacing="0" w:after="72" w:afterLines="30" w:afterAutospacing="0"/>
                    <w:ind w:firstLine="420" w:firstLineChars="200"/>
                    <w:jc w:val="both"/>
                    <w:rPr>
                      <w:rFonts w:hint="eastAsia" w:ascii="Times New Roman" w:hAnsi="Times New Roman" w:eastAsia="宋体"/>
                      <w:color w:val="auto"/>
                      <w:sz w:val="21"/>
                      <w:szCs w:val="21"/>
                      <w:lang w:eastAsia="zh-CN"/>
                    </w:rPr>
                  </w:pPr>
                  <w:r>
                    <w:rPr>
                      <w:rFonts w:hint="eastAsia" w:ascii="Times New Roman" w:hAnsi="Times New Roman" w:cs="Times New Roman"/>
                      <w:color w:val="auto"/>
                      <w:sz w:val="21"/>
                      <w:szCs w:val="21"/>
                      <w:lang w:val="en-US" w:eastAsia="zh-CN"/>
                    </w:rPr>
                    <w:t>④盛装VOCs物料的桶暂存于电解液车间，由供应商回收</w:t>
                  </w:r>
                  <w:r>
                    <w:rPr>
                      <w:rFonts w:hint="eastAsia" w:ascii="Times New Roman" w:hAnsi="Times New Roman" w:cs="Times New Roman"/>
                      <w:color w:val="auto"/>
                      <w:sz w:val="21"/>
                      <w:szCs w:val="21"/>
                      <w:lang w:eastAsia="zh-CN"/>
                    </w:rPr>
                    <w:t>。</w:t>
                  </w:r>
                </w:p>
              </w:tc>
              <w:tc>
                <w:tcPr>
                  <w:tcW w:w="402" w:type="pct"/>
                  <w:vAlign w:val="center"/>
                </w:tcPr>
                <w:p w14:paraId="62614A6F">
                  <w:pPr>
                    <w:pStyle w:val="58"/>
                    <w:snapToGrid w:val="0"/>
                    <w:spacing w:before="72" w:beforeLines="30" w:after="72" w:afterLines="30" w:line="240" w:lineRule="auto"/>
                    <w:ind w:firstLine="0" w:firstLineChars="0"/>
                    <w:rPr>
                      <w:rFonts w:eastAsia="宋体"/>
                      <w:color w:val="auto"/>
                      <w:sz w:val="21"/>
                      <w:szCs w:val="21"/>
                    </w:rPr>
                  </w:pPr>
                  <w:r>
                    <w:rPr>
                      <w:rFonts w:eastAsia="宋体"/>
                      <w:color w:val="auto"/>
                      <w:sz w:val="21"/>
                      <w:szCs w:val="21"/>
                    </w:rPr>
                    <w:t>符合</w:t>
                  </w:r>
                </w:p>
              </w:tc>
            </w:tr>
          </w:tbl>
          <w:p w14:paraId="1FD6E4AB">
            <w:pPr>
              <w:autoSpaceDE w:val="0"/>
              <w:autoSpaceDN w:val="0"/>
              <w:adjustRightInd w:val="0"/>
              <w:snapToGrid w:val="0"/>
              <w:spacing w:line="360" w:lineRule="auto"/>
              <w:ind w:firstLine="422" w:firstLineChars="200"/>
              <w:rPr>
                <w:b/>
                <w:color w:val="auto"/>
                <w:szCs w:val="21"/>
              </w:rPr>
            </w:pPr>
            <w:r>
              <w:rPr>
                <w:rFonts w:hint="eastAsia"/>
                <w:b/>
                <w:color w:val="auto"/>
                <w:szCs w:val="21"/>
                <w:lang w:val="en-US" w:eastAsia="zh-CN"/>
              </w:rPr>
              <w:t>11</w:t>
            </w:r>
            <w:r>
              <w:rPr>
                <w:rFonts w:hint="eastAsia"/>
                <w:b/>
                <w:color w:val="auto"/>
                <w:szCs w:val="21"/>
              </w:rPr>
              <w:t>、与生态环境部《关于加快解决当前挥发性有机物治理突出问题的通知》（环大气〔2021〕65号）相符性分析</w:t>
            </w:r>
          </w:p>
          <w:p w14:paraId="120F4845">
            <w:pPr>
              <w:pStyle w:val="36"/>
              <w:ind w:firstLine="420"/>
              <w:rPr>
                <w:color w:val="auto"/>
              </w:rPr>
            </w:pPr>
            <w:r>
              <w:rPr>
                <w:rFonts w:hint="eastAsia"/>
                <w:color w:val="auto"/>
              </w:rPr>
              <w:t>2021年8月4日生态环境部发布了《关于加快解决当前挥发性有机物治理突出问题的通知》（环大气〔2021〕65号），本项目与其符合性分析见下表所示：</w:t>
            </w:r>
          </w:p>
          <w:p w14:paraId="6F5431DD">
            <w:pPr>
              <w:pStyle w:val="39"/>
              <w:ind w:firstLine="422"/>
              <w:rPr>
                <w:color w:val="auto"/>
              </w:rPr>
            </w:pPr>
            <w:r>
              <w:rPr>
                <w:rFonts w:hint="eastAsia"/>
                <w:color w:val="auto"/>
              </w:rPr>
              <w:t>表1-</w:t>
            </w:r>
            <w:r>
              <w:rPr>
                <w:rFonts w:hint="eastAsia"/>
                <w:color w:val="auto"/>
                <w:lang w:val="en-US" w:eastAsia="zh-CN"/>
              </w:rPr>
              <w:t>12</w:t>
            </w:r>
            <w:r>
              <w:rPr>
                <w:rFonts w:hint="eastAsia"/>
                <w:color w:val="auto"/>
              </w:rPr>
              <w:t>项目与生态环境部《关于加快解决当前挥发性有机物治理突出问题的通知》（</w:t>
            </w:r>
            <w:r>
              <w:rPr>
                <w:color w:val="auto"/>
              </w:rPr>
              <w:t>环大气〔20</w:t>
            </w:r>
            <w:r>
              <w:rPr>
                <w:rFonts w:hint="eastAsia"/>
                <w:color w:val="auto"/>
              </w:rPr>
              <w:t>21</w:t>
            </w:r>
            <w:r>
              <w:rPr>
                <w:color w:val="auto"/>
              </w:rPr>
              <w:t>〕</w:t>
            </w:r>
            <w:r>
              <w:rPr>
                <w:rFonts w:hint="eastAsia"/>
                <w:color w:val="auto"/>
              </w:rPr>
              <w:t>65</w:t>
            </w:r>
            <w:r>
              <w:rPr>
                <w:color w:val="auto"/>
              </w:rPr>
              <w:t>号</w:t>
            </w:r>
            <w:r>
              <w:rPr>
                <w:rFonts w:hint="eastAsia"/>
                <w:color w:val="auto"/>
              </w:rPr>
              <w:t>）符合性分析一览表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4"/>
              <w:gridCol w:w="2787"/>
              <w:gridCol w:w="557"/>
            </w:tblGrid>
            <w:tr w14:paraId="35E6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pct"/>
                  <w:vAlign w:val="center"/>
                </w:tcPr>
                <w:p w14:paraId="0C09F156">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方案要求</w:t>
                  </w:r>
                </w:p>
              </w:tc>
              <w:tc>
                <w:tcPr>
                  <w:tcW w:w="1577" w:type="pct"/>
                  <w:vAlign w:val="center"/>
                </w:tcPr>
                <w:p w14:paraId="747C2211">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项目情况</w:t>
                  </w:r>
                </w:p>
              </w:tc>
              <w:tc>
                <w:tcPr>
                  <w:tcW w:w="315" w:type="pct"/>
                  <w:vAlign w:val="center"/>
                </w:tcPr>
                <w:p w14:paraId="5933DE5C">
                  <w:pPr>
                    <w:pStyle w:val="58"/>
                    <w:snapToGrid w:val="0"/>
                    <w:spacing w:before="72" w:beforeLines="30" w:after="72" w:afterLines="30" w:line="240" w:lineRule="auto"/>
                    <w:ind w:firstLine="0" w:firstLineChars="0"/>
                    <w:rPr>
                      <w:rFonts w:eastAsia="宋体"/>
                      <w:b/>
                      <w:bCs/>
                      <w:color w:val="auto"/>
                      <w:sz w:val="21"/>
                      <w:szCs w:val="21"/>
                    </w:rPr>
                  </w:pPr>
                  <w:r>
                    <w:rPr>
                      <w:rFonts w:eastAsia="宋体"/>
                      <w:b/>
                      <w:bCs/>
                      <w:color w:val="auto"/>
                      <w:sz w:val="21"/>
                      <w:szCs w:val="21"/>
                    </w:rPr>
                    <w:t>符合性</w:t>
                  </w:r>
                </w:p>
              </w:tc>
            </w:tr>
            <w:tr w14:paraId="74BC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pct"/>
                  <w:vAlign w:val="center"/>
                </w:tcPr>
                <w:p w14:paraId="609AC9BB">
                  <w:pPr>
                    <w:adjustRightInd w:val="0"/>
                    <w:snapToGrid w:val="0"/>
                    <w:spacing w:before="72" w:beforeLines="30" w:after="72" w:afterLines="30"/>
                    <w:rPr>
                      <w:color w:val="auto"/>
                      <w:szCs w:val="21"/>
                    </w:rPr>
                  </w:pPr>
                  <w:r>
                    <w:rPr>
                      <w:rFonts w:hint="eastAsia"/>
                      <w:color w:val="auto"/>
                      <w:szCs w:val="21"/>
                    </w:rPr>
                    <w:t>以下均摘自附件：挥发性有机物治理突出问题排查整治工作要求</w:t>
                  </w:r>
                </w:p>
                <w:p w14:paraId="2D39FDCD">
                  <w:pPr>
                    <w:adjustRightInd w:val="0"/>
                    <w:snapToGrid w:val="0"/>
                    <w:spacing w:before="72" w:beforeLines="30" w:after="72" w:afterLines="30"/>
                    <w:rPr>
                      <w:color w:val="auto"/>
                      <w:szCs w:val="21"/>
                    </w:rPr>
                  </w:pPr>
                  <w:r>
                    <w:rPr>
                      <w:color w:val="auto"/>
                      <w:szCs w:val="21"/>
                    </w:rPr>
                    <w:t>三、敞开液面逸散</w:t>
                  </w:r>
                </w:p>
                <w:p w14:paraId="24CA6669">
                  <w:pPr>
                    <w:adjustRightInd w:val="0"/>
                    <w:snapToGrid w:val="0"/>
                    <w:spacing w:before="72" w:beforeLines="30" w:after="72" w:afterLines="30"/>
                    <w:ind w:firstLine="420" w:firstLineChars="200"/>
                    <w:rPr>
                      <w:color w:val="auto"/>
                      <w:szCs w:val="21"/>
                    </w:rPr>
                  </w:pPr>
                  <w:r>
                    <w:rPr>
                      <w:color w:val="auto"/>
                      <w:szCs w:val="21"/>
                    </w:rPr>
                    <w:t>存在的突出问题</w:t>
                  </w:r>
                  <w:r>
                    <w:rPr>
                      <w:rFonts w:hint="eastAsia"/>
                      <w:color w:val="auto"/>
                      <w:szCs w:val="21"/>
                    </w:rPr>
                    <w:t>：</w:t>
                  </w:r>
                  <w:r>
                    <w:rPr>
                      <w:color w:val="auto"/>
                      <w:szCs w:val="21"/>
                    </w:rPr>
                    <w:t>含VOCs废水集输、储存和处理过程未按照标准要求密闭或密闭不严，敞开液面逸散VOCs排放未得到有效收集；高、低浓度VOCs废气未分质收集；治理设施简易低效，无法实现稳定达标排放</w:t>
                  </w:r>
                  <w:r>
                    <w:rPr>
                      <w:rFonts w:hint="eastAsia"/>
                      <w:color w:val="auto"/>
                      <w:szCs w:val="21"/>
                    </w:rPr>
                    <w:t>。</w:t>
                  </w:r>
                </w:p>
                <w:p w14:paraId="03C781D2">
                  <w:pPr>
                    <w:pStyle w:val="62"/>
                    <w:snapToGrid w:val="0"/>
                    <w:spacing w:before="72" w:beforeLines="30" w:after="72" w:afterLines="30"/>
                    <w:rPr>
                      <w:color w:val="auto"/>
                    </w:rPr>
                  </w:pPr>
                  <w:r>
                    <w:rPr>
                      <w:rFonts w:hint="eastAsia"/>
                      <w:color w:val="auto"/>
                    </w:rPr>
                    <w:t>治理要求：石油炼制、石油化工企业用于集输、储存、处理含</w:t>
                  </w:r>
                  <w:r>
                    <w:rPr>
                      <w:color w:val="auto"/>
                    </w:rPr>
                    <w:t>VOCs</w:t>
                  </w:r>
                  <w:r>
                    <w:rPr>
                      <w:rFonts w:hint="eastAsia"/>
                      <w:color w:val="auto"/>
                    </w:rPr>
                    <w:t>废水的设施应密闭；农药原药、农药中间体、化学原料药、兽药原料药、医药中间体企业废水应密闭输送，储存、处理设施应在曝气池及其之前加盖密闭；其他行业根据标准要求检测敞开液面上方</w:t>
                  </w:r>
                  <w:r>
                    <w:rPr>
                      <w:color w:val="auto"/>
                    </w:rPr>
                    <w:t>VOCs</w:t>
                  </w:r>
                  <w:r>
                    <w:rPr>
                      <w:rFonts w:hint="eastAsia"/>
                      <w:color w:val="auto"/>
                    </w:rPr>
                    <w:t>浓度，确定是否采取密闭收集措施。通过采取密闭管道等措施逐步替代地漏、沟、渠、井等敞开式集输方式，减少集水井、含油污水池数量；含油污水应密闭输送并鼓励设置水封，集水井、提升池或无移动部件的含油污水池可通过安装浮动顶盖或整体密闭等方式减少废气排放。池体密闭后保持微负压状态，可采用</w:t>
                  </w:r>
                  <w:r>
                    <w:rPr>
                      <w:color w:val="auto"/>
                    </w:rPr>
                    <w:t>U</w:t>
                  </w:r>
                  <w:r>
                    <w:rPr>
                      <w:rFonts w:hint="eastAsia"/>
                      <w:color w:val="auto"/>
                    </w:rPr>
                    <w:t>型管或密封膜现场检测方法排查池体内部负压情况，密封效果差的加快整治。污水处理场集水井（池）、调节池、隔油池、气浮池、混入含浮渣的浓缩池等产生的高浓度</w:t>
                  </w:r>
                  <w:r>
                    <w:rPr>
                      <w:color w:val="auto"/>
                    </w:rPr>
                    <w:t>VOCs</w:t>
                  </w:r>
                  <w:r>
                    <w:rPr>
                      <w:rFonts w:hint="eastAsia"/>
                      <w:color w:val="auto"/>
                    </w:rPr>
                    <w:t>废气宜单独收集治理，采用预处理</w:t>
                  </w:r>
                  <w:r>
                    <w:rPr>
                      <w:color w:val="auto"/>
                    </w:rPr>
                    <w:t>+</w:t>
                  </w:r>
                  <w:r>
                    <w:rPr>
                      <w:rFonts w:hint="eastAsia"/>
                      <w:color w:val="auto"/>
                    </w:rPr>
                    <w:t>催化氧化、燃烧等高效处理工艺。低浓度</w:t>
                  </w:r>
                  <w:r>
                    <w:rPr>
                      <w:color w:val="auto"/>
                    </w:rPr>
                    <w:t>VOCs</w:t>
                  </w:r>
                  <w:r>
                    <w:rPr>
                      <w:rFonts w:hint="eastAsia"/>
                      <w:color w:val="auto"/>
                    </w:rPr>
                    <w:t>废气收集处理，确保达标排放。污水均质罐、污油罐、浮渣罐及酸性水罐、氨水罐有机废气鼓励收集处理。焦化行业优先采用干熄焦；采用湿熄焦工艺的，禁止使用未经处理或处理不达标的废水熄焦。对开式循环冷却水系统，每</w:t>
                  </w:r>
                  <w:r>
                    <w:rPr>
                      <w:color w:val="auto"/>
                    </w:rPr>
                    <w:t>6</w:t>
                  </w:r>
                  <w:r>
                    <w:rPr>
                      <w:rFonts w:hint="eastAsia"/>
                      <w:color w:val="auto"/>
                    </w:rPr>
                    <w:t>个月对流经换热器进口和出口的循环冷却水中的总有机碳（</w:t>
                  </w:r>
                  <w:r>
                    <w:rPr>
                      <w:color w:val="auto"/>
                    </w:rPr>
                    <w:t>TOC</w:t>
                  </w:r>
                  <w:r>
                    <w:rPr>
                      <w:rFonts w:hint="eastAsia"/>
                      <w:color w:val="auto"/>
                    </w:rPr>
                    <w:t>）浓度进行检测，若出口浓度大于进口浓度</w:t>
                  </w:r>
                  <w:r>
                    <w:rPr>
                      <w:color w:val="auto"/>
                    </w:rPr>
                    <w:t>10%</w:t>
                  </w:r>
                  <w:r>
                    <w:rPr>
                      <w:rFonts w:hint="eastAsia"/>
                      <w:color w:val="auto"/>
                    </w:rPr>
                    <w:t>，要溯源泄漏点并及时修复。</w:t>
                  </w:r>
                </w:p>
              </w:tc>
              <w:tc>
                <w:tcPr>
                  <w:tcW w:w="1577" w:type="pct"/>
                  <w:vAlign w:val="center"/>
                </w:tcPr>
                <w:p w14:paraId="17CC0732">
                  <w:pPr>
                    <w:pStyle w:val="58"/>
                    <w:snapToGrid w:val="0"/>
                    <w:spacing w:before="72" w:beforeLines="30" w:after="72" w:afterLines="30" w:line="240" w:lineRule="auto"/>
                    <w:ind w:firstLine="420" w:firstLineChars="200"/>
                    <w:jc w:val="both"/>
                    <w:rPr>
                      <w:rFonts w:eastAsia="宋体"/>
                      <w:color w:val="auto"/>
                      <w:sz w:val="21"/>
                      <w:szCs w:val="21"/>
                    </w:rPr>
                  </w:pPr>
                  <w:r>
                    <w:rPr>
                      <w:rFonts w:hint="default" w:ascii="Times New Roman" w:hAnsi="Times New Roman" w:eastAsia="宋体" w:cs="Times New Roman"/>
                      <w:color w:val="auto"/>
                      <w:sz w:val="21"/>
                      <w:szCs w:val="21"/>
                    </w:rPr>
                    <w:t>①本项目属于</w:t>
                  </w:r>
                  <w:r>
                    <w:rPr>
                      <w:rFonts w:hint="default" w:ascii="Times New Roman" w:hAnsi="Times New Roman" w:eastAsia="宋体" w:cs="Times New Roman"/>
                      <w:color w:val="auto"/>
                      <w:sz w:val="21"/>
                      <w:szCs w:val="21"/>
                      <w:lang w:val="en-US" w:eastAsia="zh-CN"/>
                    </w:rPr>
                    <w:t>锂电池制造业</w:t>
                  </w:r>
                  <w:r>
                    <w:rPr>
                      <w:rFonts w:hint="default" w:ascii="Times New Roman" w:hAnsi="Times New Roman" w:eastAsia="宋体" w:cs="Times New Roman"/>
                      <w:color w:val="auto"/>
                      <w:sz w:val="21"/>
                      <w:szCs w:val="21"/>
                    </w:rPr>
                    <w:t>，在生产过程中有</w:t>
                  </w:r>
                  <w:r>
                    <w:rPr>
                      <w:rFonts w:hint="eastAsia" w:ascii="Times New Roman" w:hAnsi="Times New Roman" w:eastAsia="宋体" w:cs="Times New Roman"/>
                      <w:color w:val="auto"/>
                      <w:sz w:val="21"/>
                      <w:szCs w:val="21"/>
                      <w:lang w:val="en-US" w:eastAsia="zh-CN"/>
                    </w:rPr>
                    <w:t>NMP回收、</w:t>
                  </w:r>
                  <w:r>
                    <w:rPr>
                      <w:rFonts w:hint="default" w:ascii="Times New Roman" w:hAnsi="Times New Roman" w:eastAsia="宋体" w:cs="Times New Roman"/>
                      <w:color w:val="auto"/>
                      <w:sz w:val="21"/>
                      <w:szCs w:val="21"/>
                    </w:rPr>
                    <w:t>注液、化成</w:t>
                  </w: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eastAsia="zh-CN"/>
                    </w:rPr>
                    <w:t>NMP和电解液储存废气</w:t>
                  </w:r>
                  <w:r>
                    <w:rPr>
                      <w:rFonts w:hint="default" w:ascii="Times New Roman" w:hAnsi="Times New Roman" w:eastAsia="宋体" w:cs="Times New Roman"/>
                      <w:color w:val="auto"/>
                      <w:sz w:val="21"/>
                      <w:szCs w:val="21"/>
                    </w:rPr>
                    <w:t>、危废</w:t>
                  </w:r>
                  <w:r>
                    <w:rPr>
                      <w:rFonts w:hint="eastAsia" w:ascii="Times New Roman" w:hAnsi="Times New Roman" w:eastAsia="宋体" w:cs="Times New Roman"/>
                      <w:color w:val="auto"/>
                      <w:sz w:val="21"/>
                      <w:szCs w:val="21"/>
                      <w:lang w:val="en-US" w:eastAsia="zh-CN"/>
                    </w:rPr>
                    <w:t>暂存间</w:t>
                  </w:r>
                  <w:r>
                    <w:rPr>
                      <w:rFonts w:hint="default" w:ascii="Times New Roman" w:hAnsi="Times New Roman" w:eastAsia="宋体" w:cs="Times New Roman"/>
                      <w:color w:val="auto"/>
                      <w:sz w:val="21"/>
                      <w:szCs w:val="21"/>
                    </w:rPr>
                    <w:t>工序</w:t>
                  </w:r>
                  <w:r>
                    <w:rPr>
                      <w:rFonts w:hint="eastAsia" w:ascii="Times New Roman" w:hAnsi="Times New Roman" w:eastAsia="宋体" w:cs="Times New Roman"/>
                      <w:color w:val="auto"/>
                      <w:sz w:val="21"/>
                      <w:szCs w:val="21"/>
                      <w:lang w:val="en-US" w:eastAsia="zh-CN"/>
                    </w:rPr>
                    <w:t>生产VOCs</w:t>
                  </w:r>
                  <w:r>
                    <w:rPr>
                      <w:rFonts w:hint="eastAsia" w:eastAsia="宋体"/>
                      <w:color w:val="auto"/>
                      <w:sz w:val="21"/>
                      <w:szCs w:val="21"/>
                    </w:rPr>
                    <w:t>，使用到</w:t>
                  </w:r>
                  <w:r>
                    <w:rPr>
                      <w:rFonts w:hint="eastAsia" w:eastAsia="宋体"/>
                      <w:color w:val="auto"/>
                      <w:sz w:val="21"/>
                      <w:szCs w:val="21"/>
                      <w:lang w:val="en-US" w:eastAsia="zh-CN"/>
                    </w:rPr>
                    <w:t>NMP和电解液</w:t>
                  </w:r>
                  <w:r>
                    <w:rPr>
                      <w:rFonts w:hint="eastAsia" w:eastAsia="宋体"/>
                      <w:color w:val="auto"/>
                      <w:sz w:val="21"/>
                      <w:szCs w:val="21"/>
                    </w:rPr>
                    <w:t>，</w:t>
                  </w:r>
                  <w:r>
                    <w:rPr>
                      <w:rFonts w:hint="eastAsia" w:eastAsia="宋体"/>
                      <w:color w:val="auto"/>
                      <w:sz w:val="21"/>
                      <w:szCs w:val="21"/>
                      <w:lang w:val="en-US" w:eastAsia="zh-CN"/>
                    </w:rPr>
                    <w:t>电解液</w:t>
                  </w:r>
                  <w:r>
                    <w:rPr>
                      <w:rFonts w:hint="eastAsia" w:eastAsia="宋体"/>
                      <w:color w:val="auto"/>
                      <w:sz w:val="21"/>
                      <w:szCs w:val="21"/>
                    </w:rPr>
                    <w:t>采用封闭桶装，堆放在</w:t>
                  </w:r>
                  <w:r>
                    <w:rPr>
                      <w:rFonts w:hint="eastAsia" w:eastAsia="宋体"/>
                      <w:color w:val="auto"/>
                      <w:sz w:val="21"/>
                      <w:szCs w:val="21"/>
                      <w:lang w:val="en-US" w:eastAsia="zh-CN"/>
                    </w:rPr>
                    <w:t>电解液</w:t>
                  </w:r>
                  <w:r>
                    <w:rPr>
                      <w:rFonts w:hint="eastAsia" w:eastAsia="宋体"/>
                      <w:color w:val="auto"/>
                      <w:sz w:val="21"/>
                      <w:szCs w:val="21"/>
                    </w:rPr>
                    <w:t>储存间；</w:t>
                  </w:r>
                  <w:r>
                    <w:rPr>
                      <w:rFonts w:hint="eastAsia" w:eastAsia="宋体"/>
                      <w:color w:val="auto"/>
                      <w:sz w:val="21"/>
                      <w:szCs w:val="21"/>
                      <w:lang w:val="en-US" w:eastAsia="zh-CN"/>
                    </w:rPr>
                    <w:t>NMP</w:t>
                  </w:r>
                  <w:r>
                    <w:rPr>
                      <w:rFonts w:hint="eastAsia" w:eastAsia="宋体"/>
                      <w:color w:val="auto"/>
                      <w:sz w:val="21"/>
                      <w:szCs w:val="21"/>
                    </w:rPr>
                    <w:t>采用封闭桶装</w:t>
                  </w:r>
                  <w:r>
                    <w:rPr>
                      <w:rFonts w:hint="eastAsia" w:eastAsia="宋体"/>
                      <w:color w:val="auto"/>
                      <w:sz w:val="21"/>
                      <w:szCs w:val="21"/>
                      <w:lang w:eastAsia="zh-CN"/>
                    </w:rPr>
                    <w:t>；</w:t>
                  </w:r>
                  <w:r>
                    <w:rPr>
                      <w:rFonts w:hint="eastAsia" w:eastAsia="宋体"/>
                      <w:color w:val="auto"/>
                      <w:sz w:val="21"/>
                      <w:szCs w:val="21"/>
                      <w:lang w:val="en-US" w:eastAsia="zh-CN"/>
                    </w:rPr>
                    <w:t>回收的NMP暂存于NMP冷凝回收罐，定期委托具有供应商回收</w:t>
                  </w:r>
                  <w:r>
                    <w:rPr>
                      <w:rFonts w:hint="eastAsia" w:eastAsia="宋体"/>
                      <w:color w:val="auto"/>
                      <w:sz w:val="21"/>
                      <w:szCs w:val="21"/>
                    </w:rPr>
                    <w:t>。</w:t>
                  </w:r>
                </w:p>
                <w:p w14:paraId="093CBB98">
                  <w:pPr>
                    <w:pStyle w:val="62"/>
                    <w:snapToGrid w:val="0"/>
                    <w:spacing w:before="72" w:beforeLines="30" w:after="72" w:afterLines="30"/>
                    <w:rPr>
                      <w:rFonts w:hint="default" w:ascii="Times New Roman" w:hAnsi="Times New Roman" w:eastAsia="宋体" w:cs="Times New Roman"/>
                      <w:color w:val="auto"/>
                      <w:sz w:val="21"/>
                      <w:szCs w:val="21"/>
                    </w:rPr>
                  </w:pPr>
                  <w:r>
                    <w:rPr>
                      <w:rFonts w:hint="eastAsia" w:ascii="宋体" w:hAnsi="宋体"/>
                      <w:color w:val="auto"/>
                      <w:szCs w:val="21"/>
                    </w:rPr>
                    <w:t>②</w:t>
                  </w:r>
                  <w:r>
                    <w:rPr>
                      <w:rFonts w:hint="eastAsia"/>
                      <w:color w:val="auto"/>
                      <w:szCs w:val="21"/>
                    </w:rPr>
                    <w:t>本项目</w:t>
                  </w:r>
                  <w:r>
                    <w:rPr>
                      <w:rFonts w:hint="eastAsia"/>
                      <w:color w:val="auto"/>
                      <w:lang w:val="en-US" w:eastAsia="zh-CN"/>
                    </w:rPr>
                    <w:t>涂布、烘干装置为</w:t>
                  </w:r>
                  <w:r>
                    <w:rPr>
                      <w:rFonts w:hint="eastAsia" w:ascii="Times New Roman" w:hAnsi="Times New Roman" w:eastAsia="宋体" w:cs="Times New Roman"/>
                      <w:b w:val="0"/>
                      <w:bCs/>
                      <w:color w:val="auto"/>
                      <w:sz w:val="21"/>
                      <w:szCs w:val="21"/>
                      <w:lang w:val="en-US" w:eastAsia="zh-CN"/>
                    </w:rPr>
                    <w:t>封闭</w:t>
                  </w:r>
                  <w:r>
                    <w:rPr>
                      <w:rFonts w:hint="default" w:ascii="Times New Roman" w:hAnsi="Times New Roman" w:eastAsia="宋体" w:cs="Times New Roman"/>
                      <w:b w:val="0"/>
                      <w:bCs/>
                      <w:color w:val="auto"/>
                      <w:sz w:val="21"/>
                      <w:szCs w:val="21"/>
                      <w:lang w:val="en-US" w:eastAsia="zh-CN"/>
                    </w:rPr>
                    <w:t>系统</w:t>
                  </w:r>
                  <w:r>
                    <w:rPr>
                      <w:rFonts w:hint="eastAsia" w:ascii="Times New Roman" w:hAnsi="Times New Roman" w:eastAsia="宋体" w:cs="Times New Roman"/>
                      <w:b w:val="0"/>
                      <w:bCs/>
                      <w:color w:val="auto"/>
                      <w:sz w:val="21"/>
                      <w:szCs w:val="21"/>
                      <w:lang w:val="en-US" w:eastAsia="zh-CN"/>
                    </w:rPr>
                    <w:t>，产生的</w:t>
                  </w:r>
                  <w:r>
                    <w:rPr>
                      <w:rFonts w:hint="eastAsia"/>
                      <w:color w:val="auto"/>
                    </w:rPr>
                    <w:t>废气经</w:t>
                  </w:r>
                  <w:r>
                    <w:rPr>
                      <w:rFonts w:hint="eastAsia"/>
                      <w:color w:val="auto"/>
                      <w:lang w:val="en-US" w:eastAsia="zh-CN"/>
                    </w:rPr>
                    <w:t>NMP回收装置</w:t>
                  </w:r>
                  <w:r>
                    <w:rPr>
                      <w:rFonts w:hint="eastAsia"/>
                      <w:color w:val="auto"/>
                    </w:rPr>
                    <w:t>“</w:t>
                  </w:r>
                  <w:r>
                    <w:rPr>
                      <w:rFonts w:hint="eastAsia"/>
                      <w:color w:val="auto"/>
                      <w:lang w:eastAsia="zh-CN"/>
                    </w:rPr>
                    <w:t>二级冷凝+转轮活性炭吸附再生</w:t>
                  </w:r>
                  <w:r>
                    <w:rPr>
                      <w:rFonts w:hint="eastAsia"/>
                      <w:color w:val="auto"/>
                    </w:rPr>
                    <w:t>”（TA001）处理后由25m高排气筒（DA001）排放；</w:t>
                  </w:r>
                  <w:r>
                    <w:rPr>
                      <w:rFonts w:hint="eastAsia"/>
                      <w:color w:val="auto"/>
                      <w:lang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default" w:ascii="Times New Roman" w:hAnsi="Times New Roman" w:eastAsia="宋体" w:cs="Times New Roman"/>
                      <w:color w:val="auto"/>
                      <w:sz w:val="21"/>
                      <w:szCs w:val="21"/>
                    </w:rPr>
                    <w:t>。</w:t>
                  </w:r>
                </w:p>
                <w:p w14:paraId="79F5730F">
                  <w:pPr>
                    <w:pStyle w:val="58"/>
                    <w:snapToGrid w:val="0"/>
                    <w:spacing w:before="72" w:beforeLines="30" w:after="72" w:afterLines="30" w:line="240" w:lineRule="auto"/>
                    <w:ind w:firstLine="420" w:firstLineChars="200"/>
                    <w:jc w:val="both"/>
                    <w:rPr>
                      <w:rFonts w:ascii="宋体" w:hAnsi="宋体" w:eastAsia="宋体"/>
                      <w:color w:val="auto"/>
                      <w:sz w:val="21"/>
                      <w:szCs w:val="21"/>
                    </w:rPr>
                  </w:pPr>
                  <w:r>
                    <w:rPr>
                      <w:rFonts w:hint="default" w:ascii="Times New Roman" w:hAnsi="Times New Roman" w:eastAsia="宋体" w:cs="Times New Roman"/>
                      <w:color w:val="auto"/>
                      <w:sz w:val="21"/>
                      <w:szCs w:val="21"/>
                    </w:rPr>
                    <w:t>③本项目</w:t>
                  </w:r>
                  <w:r>
                    <w:rPr>
                      <w:rFonts w:hint="default" w:ascii="Times New Roman" w:hAnsi="Times New Roman" w:eastAsia="宋体" w:cs="Times New Roman"/>
                      <w:color w:val="auto"/>
                      <w:sz w:val="21"/>
                      <w:szCs w:val="21"/>
                      <w:lang w:val="en-US" w:eastAsia="zh-CN"/>
                    </w:rPr>
                    <w:t>为锂电池加工行业，不属于</w:t>
                  </w:r>
                  <w:r>
                    <w:rPr>
                      <w:rFonts w:hint="default" w:ascii="Times New Roman" w:hAnsi="Times New Roman" w:eastAsia="宋体" w:cs="Times New Roman"/>
                      <w:color w:val="auto"/>
                      <w:sz w:val="21"/>
                      <w:szCs w:val="21"/>
                    </w:rPr>
                    <w:t>石油炼制、石油化工企业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农药原药、农药中间体、化学原料药、兽药原料药、医药中间体企业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焦化行业</w:t>
                  </w:r>
                  <w:r>
                    <w:rPr>
                      <w:rFonts w:hint="default" w:ascii="Times New Roman" w:hAnsi="Times New Roman" w:eastAsia="宋体" w:cs="Times New Roman"/>
                      <w:color w:val="auto"/>
                      <w:sz w:val="21"/>
                      <w:szCs w:val="21"/>
                      <w:lang w:val="en-US" w:eastAsia="zh-CN"/>
                    </w:rPr>
                    <w:t>等高VOCs五日企业</w:t>
                  </w:r>
                  <w:r>
                    <w:rPr>
                      <w:rFonts w:hint="default" w:ascii="Times New Roman" w:hAnsi="Times New Roman" w:eastAsia="宋体" w:cs="Times New Roman"/>
                      <w:color w:val="auto"/>
                      <w:sz w:val="21"/>
                      <w:szCs w:val="21"/>
                    </w:rPr>
                    <w:t>。</w:t>
                  </w:r>
                </w:p>
              </w:tc>
              <w:tc>
                <w:tcPr>
                  <w:tcW w:w="315" w:type="pct"/>
                  <w:vAlign w:val="center"/>
                </w:tcPr>
                <w:p w14:paraId="584BF32B">
                  <w:pPr>
                    <w:pStyle w:val="58"/>
                    <w:snapToGrid w:val="0"/>
                    <w:spacing w:before="72" w:beforeLines="30" w:after="72" w:afterLines="30" w:line="240" w:lineRule="auto"/>
                    <w:ind w:firstLine="0" w:firstLineChars="0"/>
                    <w:jc w:val="both"/>
                    <w:rPr>
                      <w:rFonts w:eastAsia="宋体"/>
                      <w:color w:val="auto"/>
                      <w:sz w:val="21"/>
                      <w:szCs w:val="21"/>
                    </w:rPr>
                  </w:pPr>
                  <w:r>
                    <w:rPr>
                      <w:rFonts w:eastAsia="宋体"/>
                      <w:color w:val="auto"/>
                      <w:sz w:val="21"/>
                      <w:szCs w:val="21"/>
                    </w:rPr>
                    <w:t>符合</w:t>
                  </w:r>
                </w:p>
              </w:tc>
            </w:tr>
            <w:tr w14:paraId="07E8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pct"/>
                  <w:vAlign w:val="center"/>
                </w:tcPr>
                <w:p w14:paraId="0487654C">
                  <w:pPr>
                    <w:adjustRightInd w:val="0"/>
                    <w:snapToGrid w:val="0"/>
                    <w:spacing w:before="72" w:beforeLines="30" w:after="72" w:afterLines="30"/>
                    <w:rPr>
                      <w:color w:val="auto"/>
                      <w:szCs w:val="21"/>
                    </w:rPr>
                  </w:pPr>
                  <w:r>
                    <w:rPr>
                      <w:color w:val="auto"/>
                      <w:szCs w:val="21"/>
                    </w:rPr>
                    <w:t>五、废气收集设施</w:t>
                  </w:r>
                </w:p>
                <w:p w14:paraId="5945CA2F">
                  <w:pPr>
                    <w:adjustRightInd w:val="0"/>
                    <w:snapToGrid w:val="0"/>
                    <w:spacing w:before="72" w:beforeLines="30" w:after="72" w:afterLines="30"/>
                    <w:ind w:firstLine="420" w:firstLineChars="200"/>
                    <w:rPr>
                      <w:color w:val="auto"/>
                      <w:szCs w:val="21"/>
                    </w:rPr>
                  </w:pPr>
                  <w:r>
                    <w:rPr>
                      <w:color w:val="auto"/>
                      <w:szCs w:val="21"/>
                    </w:rPr>
                    <w:t>存在的突出问题：敞开式生产未配备收集设施，未对VOCs废气进行分质收集，废气收集系统排风罩（集气罩）控制风速达不到标准要求，废气收集系统输送管道破损、泄漏严重，生产设备密闭不严等。</w:t>
                  </w:r>
                </w:p>
                <w:p w14:paraId="656A420A">
                  <w:pPr>
                    <w:pStyle w:val="62"/>
                    <w:snapToGrid w:val="0"/>
                    <w:spacing w:before="72" w:beforeLines="30" w:after="72" w:afterLines="30"/>
                    <w:rPr>
                      <w:color w:val="auto"/>
                    </w:rPr>
                  </w:pPr>
                  <w:r>
                    <w:rPr>
                      <w:rFonts w:hint="eastAsia"/>
                      <w:color w:val="auto"/>
                    </w:rPr>
                    <w:t>治理要求：产生</w:t>
                  </w:r>
                  <w:r>
                    <w:rPr>
                      <w:color w:val="auto"/>
                    </w:rPr>
                    <w:t>VOCs</w:t>
                  </w:r>
                  <w:r>
                    <w:rPr>
                      <w:rFonts w:hint="eastAsia"/>
                      <w:color w:val="auto"/>
                    </w:rPr>
                    <w:t>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w:t>
                  </w:r>
                  <w:r>
                    <w:rPr>
                      <w:color w:val="auto"/>
                    </w:rPr>
                    <w:t>VOCs</w:t>
                  </w:r>
                  <w:r>
                    <w:rPr>
                      <w:rFonts w:hint="eastAsia"/>
                      <w:color w:val="auto"/>
                    </w:rPr>
                    <w:t>无组织排放位置控制风速不低于</w:t>
                  </w:r>
                  <w:r>
                    <w:rPr>
                      <w:color w:val="auto"/>
                    </w:rPr>
                    <w:t>0.3m/s</w:t>
                  </w:r>
                  <w:r>
                    <w:rPr>
                      <w:rFonts w:hint="eastAsia"/>
                      <w:color w:val="auto"/>
                    </w:rPr>
                    <w:t>；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检查，对于变形炉门、炉顶炉盖及时修复更换；加强焦炉工况监督，对焦炉墙串漏及时修缮。制药、农药、涂料、油墨、胶粘剂等间歇性生产工序较多的行业应对进出料、物料输送、搅拌、固液分离、干燥、灌装、取样等过程采取密闭化措施，提升工艺装备水平；含</w:t>
                  </w:r>
                  <w:r>
                    <w:rPr>
                      <w:color w:val="auto"/>
                    </w:rPr>
                    <w:t>VOCs</w:t>
                  </w:r>
                  <w:r>
                    <w:rPr>
                      <w:rFonts w:hint="eastAsia"/>
                      <w:color w:val="auto"/>
                    </w:rPr>
                    <w:t>物料输送原则上采用重力流或泵送方式；有机液体进料鼓励采用底部、浸入管给料方式；固体物料投加逐步推进采用密闭式投料装置。工业涂装行业建设密闭喷漆房，对于大型构件（船舶、钢结构）实施分段涂装，废气进行收集治理；对于确需露天涂装的，应采用符合国家或地方标准要求的低（无）</w:t>
                  </w:r>
                  <w:r>
                    <w:rPr>
                      <w:color w:val="auto"/>
                    </w:rPr>
                    <w:t>VOCs</w:t>
                  </w:r>
                  <w:r>
                    <w:rPr>
                      <w:rFonts w:hint="eastAsia"/>
                      <w:color w:val="auto"/>
                    </w:rPr>
                    <w:t>含量涂料，或使用移动式废气收集治理设施。包装印刷行业的印刷、复合、卷管工序实施密闭化改造，全面采用</w:t>
                  </w:r>
                  <w:r>
                    <w:rPr>
                      <w:color w:val="auto"/>
                    </w:rPr>
                    <w:t>VOCs</w:t>
                  </w:r>
                  <w:r>
                    <w:rPr>
                      <w:rFonts w:hint="eastAsia"/>
                      <w:color w:val="auto"/>
                    </w:rPr>
                    <w:t>质量占比小于</w:t>
                  </w:r>
                  <w:r>
                    <w:rPr>
                      <w:color w:val="auto"/>
                    </w:rPr>
                    <w:t>10%</w:t>
                  </w:r>
                  <w:r>
                    <w:rPr>
                      <w:rFonts w:hint="eastAsia"/>
                      <w:color w:val="auto"/>
                    </w:rPr>
                    <w:t>的原辅材料的除外。鼓励石油炼制企业开展冷焦水、切焦水等废气收集治理。使用</w:t>
                  </w:r>
                  <w:r>
                    <w:rPr>
                      <w:color w:val="auto"/>
                    </w:rPr>
                    <w:t>VOCs</w:t>
                  </w:r>
                  <w:r>
                    <w:rPr>
                      <w:rFonts w:hint="eastAsia"/>
                      <w:color w:val="auto"/>
                    </w:rPr>
                    <w:t>质量占比大于等于</w:t>
                  </w:r>
                  <w:r>
                    <w:rPr>
                      <w:color w:val="auto"/>
                    </w:rPr>
                    <w:t>10%</w:t>
                  </w:r>
                  <w:r>
                    <w:rPr>
                      <w:rFonts w:hint="eastAsia"/>
                      <w:color w:val="auto"/>
                    </w:rPr>
                    <w:t>的涂料、油墨、胶粘剂、稀释剂、清洗剂等物料存储、调配、转移、输送等环节应密闭。</w:t>
                  </w:r>
                </w:p>
              </w:tc>
              <w:tc>
                <w:tcPr>
                  <w:tcW w:w="1577" w:type="pct"/>
                  <w:vAlign w:val="center"/>
                </w:tcPr>
                <w:p w14:paraId="38747916">
                  <w:pPr>
                    <w:pStyle w:val="60"/>
                    <w:spacing w:before="72" w:beforeLines="30" w:after="72" w:afterLines="30" w:line="240" w:lineRule="auto"/>
                    <w:ind w:firstLine="436" w:firstLineChars="200"/>
                    <w:jc w:val="both"/>
                    <w:rPr>
                      <w:color w:val="auto"/>
                      <w:lang w:val="en-US"/>
                    </w:rPr>
                  </w:pPr>
                  <w:r>
                    <w:rPr>
                      <w:rFonts w:hint="eastAsia" w:ascii="宋体" w:hAnsi="宋体"/>
                      <w:color w:val="auto"/>
                      <w:lang w:val="en-US"/>
                    </w:rPr>
                    <w:t>①</w:t>
                  </w:r>
                  <w:r>
                    <w:rPr>
                      <w:rFonts w:hint="default" w:ascii="Times New Roman" w:hAnsi="Times New Roman" w:eastAsia="宋体" w:cs="Times New Roman"/>
                      <w:color w:val="auto"/>
                      <w:szCs w:val="21"/>
                      <w:lang w:val="en-US" w:eastAsia="zh-CN"/>
                    </w:rPr>
                    <w:t>项目为提高无组织废气收集效率，</w:t>
                  </w:r>
                  <w:r>
                    <w:rPr>
                      <w:rFonts w:hint="default" w:ascii="Times New Roman" w:hAnsi="Times New Roman" w:eastAsia="宋体" w:cs="Times New Roman"/>
                      <w:color w:val="auto"/>
                    </w:rPr>
                    <w:t>配料、制浆、涂布和NMP回收装置均为密闭结构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注液、化成废气采用微负压收集罩收集，集气罩边界收集风速大于0.3m/s；电解液储存车间为封闭空间，采用</w:t>
                  </w:r>
                  <w:r>
                    <w:rPr>
                      <w:rFonts w:hint="eastAsia" w:cs="Times New Roman"/>
                      <w:color w:val="auto"/>
                      <w:lang w:val="en-US" w:eastAsia="zh-CN"/>
                    </w:rPr>
                    <w:t>集气系统</w:t>
                  </w:r>
                  <w:r>
                    <w:rPr>
                      <w:rFonts w:hint="default" w:ascii="Times New Roman" w:hAnsi="Times New Roman" w:eastAsia="宋体" w:cs="Times New Roman"/>
                      <w:color w:val="auto"/>
                      <w:lang w:val="en-US" w:eastAsia="zh-CN"/>
                    </w:rPr>
                    <w:t>将储存车间的废气收集；辅房设置的NMP和电解液暂存车间为封闭空间，采用</w:t>
                  </w:r>
                  <w:r>
                    <w:rPr>
                      <w:rFonts w:hint="eastAsia" w:cs="Times New Roman"/>
                      <w:color w:val="auto"/>
                      <w:lang w:val="en-US" w:eastAsia="zh-CN"/>
                    </w:rPr>
                    <w:t>集气系统</w:t>
                  </w:r>
                  <w:r>
                    <w:rPr>
                      <w:rFonts w:hint="default" w:ascii="Times New Roman" w:hAnsi="Times New Roman" w:eastAsia="宋体" w:cs="Times New Roman"/>
                      <w:color w:val="auto"/>
                      <w:lang w:val="en-US" w:eastAsia="zh-CN"/>
                    </w:rPr>
                    <w:t>将储存车间的废气收集</w:t>
                  </w:r>
                  <w:r>
                    <w:rPr>
                      <w:rFonts w:hint="eastAsia"/>
                      <w:color w:val="auto"/>
                      <w:kern w:val="0"/>
                      <w:szCs w:val="21"/>
                      <w:lang w:val="en-US"/>
                    </w:rPr>
                    <w:t>。</w:t>
                  </w:r>
                </w:p>
                <w:p w14:paraId="675619B5">
                  <w:pPr>
                    <w:pStyle w:val="60"/>
                    <w:spacing w:before="72" w:beforeLines="30" w:after="72" w:afterLines="30" w:line="240" w:lineRule="auto"/>
                    <w:ind w:firstLine="436" w:firstLineChars="200"/>
                    <w:jc w:val="both"/>
                    <w:rPr>
                      <w:color w:val="auto"/>
                      <w:lang w:val="en-US"/>
                    </w:rPr>
                  </w:pPr>
                  <w:r>
                    <w:rPr>
                      <w:rFonts w:hint="eastAsia" w:ascii="宋体" w:hAnsi="宋体"/>
                      <w:color w:val="auto"/>
                      <w:szCs w:val="21"/>
                    </w:rPr>
                    <w:t>②</w:t>
                  </w:r>
                  <w:r>
                    <w:rPr>
                      <w:rFonts w:hint="eastAsia" w:ascii="宋体" w:hAnsi="宋体"/>
                      <w:color w:val="auto"/>
                      <w:szCs w:val="21"/>
                      <w:lang w:val="en-US" w:eastAsia="zh-CN"/>
                    </w:rPr>
                    <w:t>电解液</w:t>
                  </w:r>
                  <w:r>
                    <w:rPr>
                      <w:rFonts w:hint="eastAsia"/>
                      <w:color w:val="auto"/>
                      <w:lang w:val="en-US"/>
                    </w:rPr>
                    <w:t>桶保持密闭状态，人工输送到</w:t>
                  </w:r>
                  <w:r>
                    <w:rPr>
                      <w:rFonts w:hint="eastAsia"/>
                      <w:color w:val="auto"/>
                      <w:lang w:val="en-US" w:eastAsia="zh-CN"/>
                    </w:rPr>
                    <w:t>注液</w:t>
                  </w:r>
                  <w:r>
                    <w:rPr>
                      <w:rFonts w:hint="eastAsia"/>
                      <w:color w:val="auto"/>
                      <w:lang w:val="en-US"/>
                    </w:rPr>
                    <w:t>系统，由机器吸料后进入生产设备。</w:t>
                  </w:r>
                </w:p>
                <w:p w14:paraId="6D2510FD">
                  <w:pPr>
                    <w:pStyle w:val="62"/>
                    <w:snapToGrid w:val="0"/>
                    <w:spacing w:before="72" w:beforeLines="30" w:after="72" w:afterLines="30"/>
                    <w:rPr>
                      <w:color w:val="auto"/>
                    </w:rPr>
                  </w:pPr>
                  <w:r>
                    <w:rPr>
                      <w:rFonts w:hint="eastAsia" w:ascii="宋体" w:hAnsi="宋体" w:cs="宋体"/>
                      <w:color w:val="auto"/>
                    </w:rPr>
                    <w:t>③</w:t>
                  </w:r>
                  <w:r>
                    <w:rPr>
                      <w:rFonts w:hint="eastAsia"/>
                      <w:color w:val="auto"/>
                      <w:szCs w:val="21"/>
                    </w:rPr>
                    <w:t>本项目废气主要</w:t>
                  </w:r>
                  <w:r>
                    <w:rPr>
                      <w:rFonts w:hint="eastAsia" w:ascii="Times New Roman" w:hAnsi="Times New Roman" w:eastAsia="宋体" w:cs="Times New Roman"/>
                      <w:color w:val="auto"/>
                      <w:sz w:val="21"/>
                      <w:szCs w:val="21"/>
                      <w:lang w:val="en-US" w:eastAsia="zh-CN"/>
                    </w:rPr>
                    <w:t>NMP回收、</w:t>
                  </w:r>
                  <w:r>
                    <w:rPr>
                      <w:rFonts w:hint="default" w:ascii="Times New Roman" w:hAnsi="Times New Roman" w:eastAsia="宋体" w:cs="Times New Roman"/>
                      <w:color w:val="auto"/>
                      <w:sz w:val="21"/>
                      <w:szCs w:val="21"/>
                    </w:rPr>
                    <w:t>注液、化成</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电解液车间</w:t>
                  </w:r>
                  <w:r>
                    <w:rPr>
                      <w:rFonts w:hint="eastAsia" w:cs="Times New Roman"/>
                      <w:color w:val="auto"/>
                      <w:sz w:val="21"/>
                      <w:szCs w:val="21"/>
                      <w:lang w:eastAsia="zh-CN"/>
                    </w:rPr>
                    <w:t>NMP和电解液储存废气</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生产车间辅房</w:t>
                  </w:r>
                  <w:r>
                    <w:rPr>
                      <w:rFonts w:hint="eastAsia" w:cs="Times New Roman"/>
                      <w:color w:val="auto"/>
                      <w:sz w:val="21"/>
                      <w:szCs w:val="21"/>
                      <w:lang w:eastAsia="zh-CN"/>
                    </w:rPr>
                    <w:t>NMP和电解液</w:t>
                  </w:r>
                  <w:r>
                    <w:rPr>
                      <w:rFonts w:hint="eastAsia" w:cs="Times New Roman"/>
                      <w:color w:val="auto"/>
                      <w:sz w:val="21"/>
                      <w:szCs w:val="21"/>
                      <w:lang w:val="en-US" w:eastAsia="zh-CN"/>
                    </w:rPr>
                    <w:t>暂存</w:t>
                  </w:r>
                  <w:r>
                    <w:rPr>
                      <w:rFonts w:hint="eastAsia" w:cs="Times New Roman"/>
                      <w:color w:val="auto"/>
                      <w:sz w:val="21"/>
                      <w:szCs w:val="21"/>
                      <w:lang w:eastAsia="zh-CN"/>
                    </w:rPr>
                    <w:t>废气、</w:t>
                  </w:r>
                  <w:r>
                    <w:rPr>
                      <w:rFonts w:hint="default" w:ascii="Times New Roman" w:hAnsi="Times New Roman" w:eastAsia="宋体" w:cs="Times New Roman"/>
                      <w:color w:val="auto"/>
                      <w:sz w:val="21"/>
                      <w:szCs w:val="21"/>
                    </w:rPr>
                    <w:t>危废</w:t>
                  </w:r>
                  <w:r>
                    <w:rPr>
                      <w:rFonts w:hint="eastAsia" w:ascii="Times New Roman" w:hAnsi="Times New Roman" w:eastAsia="宋体" w:cs="Times New Roman"/>
                      <w:color w:val="auto"/>
                      <w:sz w:val="21"/>
                      <w:szCs w:val="21"/>
                      <w:lang w:val="en-US" w:eastAsia="zh-CN"/>
                    </w:rPr>
                    <w:t>暂存间</w:t>
                  </w:r>
                  <w:r>
                    <w:rPr>
                      <w:rFonts w:hint="default" w:ascii="Times New Roman" w:hAnsi="Times New Roman" w:eastAsia="宋体" w:cs="Times New Roman"/>
                      <w:color w:val="auto"/>
                      <w:sz w:val="21"/>
                      <w:szCs w:val="21"/>
                    </w:rPr>
                    <w:t>工序</w:t>
                  </w:r>
                  <w:r>
                    <w:rPr>
                      <w:rFonts w:hint="eastAsia" w:ascii="Times New Roman" w:hAnsi="Times New Roman" w:eastAsia="宋体" w:cs="Times New Roman"/>
                      <w:color w:val="auto"/>
                      <w:sz w:val="21"/>
                      <w:szCs w:val="21"/>
                      <w:lang w:val="en-US" w:eastAsia="zh-CN"/>
                    </w:rPr>
                    <w:t>生产VOCs</w:t>
                  </w:r>
                  <w:r>
                    <w:rPr>
                      <w:rFonts w:hint="eastAsia"/>
                      <w:color w:val="auto"/>
                      <w:kern w:val="0"/>
                      <w:szCs w:val="21"/>
                    </w:rPr>
                    <w:t>。</w:t>
                  </w:r>
                  <w:r>
                    <w:rPr>
                      <w:rFonts w:hint="eastAsia"/>
                      <w:color w:val="auto"/>
                      <w:lang w:val="en-US" w:eastAsia="zh-CN"/>
                    </w:rPr>
                    <w:t>涂布、烘干装置为</w:t>
                  </w:r>
                  <w:r>
                    <w:rPr>
                      <w:rFonts w:hint="eastAsia" w:ascii="Times New Roman" w:hAnsi="Times New Roman" w:eastAsia="宋体" w:cs="Times New Roman"/>
                      <w:b w:val="0"/>
                      <w:bCs/>
                      <w:color w:val="auto"/>
                      <w:sz w:val="21"/>
                      <w:szCs w:val="21"/>
                      <w:lang w:val="en-US" w:eastAsia="zh-CN"/>
                    </w:rPr>
                    <w:t>封闭</w:t>
                  </w:r>
                  <w:r>
                    <w:rPr>
                      <w:rFonts w:hint="default" w:ascii="Times New Roman" w:hAnsi="Times New Roman" w:eastAsia="宋体" w:cs="Times New Roman"/>
                      <w:b w:val="0"/>
                      <w:bCs/>
                      <w:color w:val="auto"/>
                      <w:sz w:val="21"/>
                      <w:szCs w:val="21"/>
                      <w:lang w:val="en-US" w:eastAsia="zh-CN"/>
                    </w:rPr>
                    <w:t>系统</w:t>
                  </w:r>
                  <w:r>
                    <w:rPr>
                      <w:rFonts w:hint="eastAsia" w:ascii="Times New Roman" w:hAnsi="Times New Roman" w:eastAsia="宋体" w:cs="Times New Roman"/>
                      <w:b w:val="0"/>
                      <w:bCs/>
                      <w:color w:val="auto"/>
                      <w:sz w:val="21"/>
                      <w:szCs w:val="21"/>
                      <w:lang w:val="en-US" w:eastAsia="zh-CN"/>
                    </w:rPr>
                    <w:t>，产生的</w:t>
                  </w:r>
                  <w:r>
                    <w:rPr>
                      <w:rFonts w:hint="eastAsia"/>
                      <w:color w:val="auto"/>
                    </w:rPr>
                    <w:t>废气经</w:t>
                  </w:r>
                  <w:r>
                    <w:rPr>
                      <w:rFonts w:hint="eastAsia"/>
                      <w:color w:val="auto"/>
                      <w:lang w:val="en-US" w:eastAsia="zh-CN"/>
                    </w:rPr>
                    <w:t>NMP回收装置</w:t>
                  </w:r>
                  <w:r>
                    <w:rPr>
                      <w:rFonts w:hint="eastAsia"/>
                      <w:color w:val="auto"/>
                    </w:rPr>
                    <w:t>“</w:t>
                  </w:r>
                  <w:r>
                    <w:rPr>
                      <w:rFonts w:hint="eastAsia"/>
                      <w:color w:val="auto"/>
                      <w:lang w:eastAsia="zh-CN"/>
                    </w:rPr>
                    <w:t>二级冷凝+转轮活性炭吸附再生</w:t>
                  </w:r>
                  <w:r>
                    <w:rPr>
                      <w:rFonts w:hint="eastAsia"/>
                      <w:color w:val="auto"/>
                    </w:rPr>
                    <w:t>”（TA001）处理后由25m高排气筒（DA001）排放；</w:t>
                  </w:r>
                  <w:r>
                    <w:rPr>
                      <w:rFonts w:hint="eastAsia"/>
                      <w:color w:val="auto"/>
                      <w:lang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eastAsia"/>
                      <w:color w:val="auto"/>
                      <w:szCs w:val="21"/>
                    </w:rPr>
                    <w:t>。</w:t>
                  </w:r>
                </w:p>
              </w:tc>
              <w:tc>
                <w:tcPr>
                  <w:tcW w:w="315" w:type="pct"/>
                  <w:vAlign w:val="center"/>
                </w:tcPr>
                <w:p w14:paraId="4209AAC1">
                  <w:pPr>
                    <w:pStyle w:val="58"/>
                    <w:snapToGrid w:val="0"/>
                    <w:spacing w:before="72" w:beforeLines="30" w:after="72" w:afterLines="30" w:line="240" w:lineRule="auto"/>
                    <w:ind w:firstLine="0" w:firstLineChars="0"/>
                    <w:jc w:val="both"/>
                    <w:rPr>
                      <w:rFonts w:eastAsia="宋体"/>
                      <w:color w:val="auto"/>
                      <w:sz w:val="21"/>
                      <w:szCs w:val="21"/>
                    </w:rPr>
                  </w:pPr>
                  <w:r>
                    <w:rPr>
                      <w:rFonts w:eastAsia="宋体"/>
                      <w:color w:val="auto"/>
                      <w:sz w:val="21"/>
                      <w:szCs w:val="21"/>
                    </w:rPr>
                    <w:t>符合</w:t>
                  </w:r>
                </w:p>
              </w:tc>
            </w:tr>
            <w:tr w14:paraId="1824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pct"/>
                  <w:vAlign w:val="center"/>
                </w:tcPr>
                <w:p w14:paraId="7C250ACC">
                  <w:pPr>
                    <w:adjustRightInd w:val="0"/>
                    <w:snapToGrid w:val="0"/>
                    <w:spacing w:before="72" w:beforeLines="30" w:after="72" w:afterLines="30"/>
                    <w:jc w:val="left"/>
                    <w:rPr>
                      <w:color w:val="auto"/>
                      <w:szCs w:val="21"/>
                    </w:rPr>
                  </w:pPr>
                  <w:r>
                    <w:rPr>
                      <w:rFonts w:hint="eastAsia"/>
                      <w:color w:val="auto"/>
                      <w:szCs w:val="21"/>
                    </w:rPr>
                    <w:t>七、有机废气治理设施</w:t>
                  </w:r>
                </w:p>
                <w:p w14:paraId="341C2062">
                  <w:pPr>
                    <w:adjustRightInd w:val="0"/>
                    <w:snapToGrid w:val="0"/>
                    <w:spacing w:before="72" w:beforeLines="30" w:after="72" w:afterLines="30"/>
                    <w:ind w:firstLine="420" w:firstLineChars="200"/>
                    <w:jc w:val="left"/>
                    <w:rPr>
                      <w:color w:val="auto"/>
                      <w:szCs w:val="21"/>
                    </w:rPr>
                  </w:pPr>
                  <w:r>
                    <w:rPr>
                      <w:rFonts w:hint="eastAsia"/>
                      <w:color w:val="auto"/>
                      <w:szCs w:val="21"/>
                    </w:rPr>
                    <w:t>存在的突出问题：治理设施设计不规范、与生产系统不匹配；光催化、光氧化、低温等离子等低效技术使用占比大、治理效果差；治理设施建设质量良莠不齐，应付治理、无效治理等现象突出；治理设施运行不规范，定期维护不到位。</w:t>
                  </w:r>
                </w:p>
                <w:p w14:paraId="36131536">
                  <w:pPr>
                    <w:pStyle w:val="62"/>
                    <w:snapToGrid w:val="0"/>
                    <w:spacing w:before="72" w:beforeLines="30" w:after="72" w:afterLines="30"/>
                    <w:rPr>
                      <w:color w:val="auto"/>
                    </w:rPr>
                  </w:pPr>
                  <w:r>
                    <w:rPr>
                      <w:rFonts w:hint="eastAsia"/>
                      <w:color w:val="auto"/>
                    </w:rPr>
                    <w:t>治理要求：新建治理设施或对现有治理设施实施改造，应依据排放废气特征、</w:t>
                  </w:r>
                  <w:r>
                    <w:rPr>
                      <w:color w:val="auto"/>
                    </w:rPr>
                    <w:t>VOCs</w:t>
                  </w:r>
                  <w:r>
                    <w:rPr>
                      <w:rFonts w:hint="eastAsia"/>
                      <w:color w:val="auto"/>
                    </w:rPr>
                    <w:t>组分及浓度、生产工况等，合理选择治理技术；对治理难度大、单一治理工艺难以稳定达标的，宜采用多种技术的组合工艺；除恶臭异味治理外，一般不使用低温等离子、光催化、光氧化等技术。</w:t>
                  </w:r>
                </w:p>
                <w:p w14:paraId="152188A5">
                  <w:pPr>
                    <w:pStyle w:val="62"/>
                    <w:snapToGrid w:val="0"/>
                    <w:spacing w:before="72" w:beforeLines="30" w:after="72" w:afterLines="30"/>
                    <w:rPr>
                      <w:color w:val="auto"/>
                    </w:rPr>
                  </w:pPr>
                  <w:r>
                    <w:rPr>
                      <w:rFonts w:hint="eastAsia"/>
                      <w:color w:val="auto"/>
                    </w:rPr>
                    <w:t>加强运行维护管理，做到治理设施较生产设备“先启后停”，在治理设施达到正常运行条件后方可启动生产设备，在生产设备停止、残留</w:t>
                  </w:r>
                  <w:r>
                    <w:rPr>
                      <w:color w:val="auto"/>
                    </w:rPr>
                    <w:t>VOCs</w:t>
                  </w:r>
                  <w:r>
                    <w:rPr>
                      <w:rFonts w:hint="eastAsia"/>
                      <w:color w:val="auto"/>
                    </w:rPr>
                    <w:t>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w:t>
                  </w:r>
                  <w:r>
                    <w:rPr>
                      <w:color w:val="auto"/>
                    </w:rPr>
                    <w:t>VOCs</w:t>
                  </w:r>
                  <w:r>
                    <w:rPr>
                      <w:rFonts w:hint="eastAsia"/>
                      <w:color w:val="auto"/>
                    </w:rPr>
                    <w:t>治理设施产生的废过滤棉、废催化剂、废吸附剂、废吸收剂、废有机溶剂等，应及时清运，属于危险废物的应交有资质的单位处理处置。</w:t>
                  </w:r>
                </w:p>
                <w:p w14:paraId="4283D51E">
                  <w:pPr>
                    <w:pStyle w:val="62"/>
                    <w:snapToGrid w:val="0"/>
                    <w:spacing w:before="72" w:beforeLines="30" w:after="72" w:afterLines="30"/>
                    <w:rPr>
                      <w:color w:val="auto"/>
                    </w:rPr>
                  </w:pPr>
                  <w:r>
                    <w:rPr>
                      <w:rFonts w:hint="eastAsia"/>
                      <w:color w:val="auto"/>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w:t>
                  </w:r>
                  <w:r>
                    <w:rPr>
                      <w:color w:val="auto"/>
                    </w:rPr>
                    <w:t>800mg/g</w:t>
                  </w:r>
                  <w:r>
                    <w:rPr>
                      <w:rFonts w:hint="eastAsia"/>
                      <w:color w:val="auto"/>
                    </w:rPr>
                    <w:t>；采用蜂窝活性炭作为吸附剂时，其碘值不宜低于</w:t>
                  </w:r>
                  <w:r>
                    <w:rPr>
                      <w:color w:val="auto"/>
                    </w:rPr>
                    <w:t>650mg/g</w:t>
                  </w:r>
                  <w:r>
                    <w:rPr>
                      <w:rFonts w:hint="eastAsia"/>
                      <w:color w:val="auto"/>
                    </w:rPr>
                    <w:t>；采用活性炭纤维作为吸附剂时，其比表面积不低于</w:t>
                  </w:r>
                  <w:r>
                    <w:rPr>
                      <w:color w:val="auto"/>
                    </w:rPr>
                    <w:t>1100m</w:t>
                  </w:r>
                  <w:r>
                    <w:rPr>
                      <w:color w:val="auto"/>
                      <w:vertAlign w:val="superscript"/>
                    </w:rPr>
                    <w:t>2</w:t>
                  </w:r>
                  <w:r>
                    <w:rPr>
                      <w:color w:val="auto"/>
                    </w:rPr>
                    <w:t>/g</w:t>
                  </w:r>
                  <w:r>
                    <w:rPr>
                      <w:rFonts w:hint="eastAsia"/>
                      <w:color w:val="auto"/>
                    </w:rPr>
                    <w:t>（</w:t>
                  </w:r>
                  <w:r>
                    <w:rPr>
                      <w:color w:val="auto"/>
                    </w:rPr>
                    <w:t>BET</w:t>
                  </w:r>
                  <w:r>
                    <w:rPr>
                      <w:rFonts w:hint="eastAsia"/>
                      <w:color w:val="auto"/>
                    </w:rPr>
                    <w:t>法）。一次性活性炭吸附工艺宜采用颗粒活性炭作为吸附剂。活性炭、活性炭纤维产品销售时应提供产品质量证明材料。</w:t>
                  </w:r>
                </w:p>
                <w:p w14:paraId="5693BC0F">
                  <w:pPr>
                    <w:pStyle w:val="62"/>
                    <w:snapToGrid w:val="0"/>
                    <w:spacing w:before="72" w:beforeLines="30" w:after="72" w:afterLines="30"/>
                    <w:rPr>
                      <w:color w:val="auto"/>
                    </w:rPr>
                  </w:pPr>
                  <w:r>
                    <w:rPr>
                      <w:rFonts w:hint="eastAsia"/>
                      <w:color w:val="auto"/>
                    </w:rPr>
                    <w:t>采用催化燃烧工艺的企业应使用合格的催化剂并足额添加，催化剂床层的设计空速宜低于</w:t>
                  </w:r>
                  <w:r>
                    <w:rPr>
                      <w:color w:val="auto"/>
                    </w:rPr>
                    <w:t>40000h</w:t>
                  </w:r>
                  <w:r>
                    <w:rPr>
                      <w:color w:val="auto"/>
                      <w:vertAlign w:val="superscript"/>
                    </w:rPr>
                    <w:t>-1</w:t>
                  </w:r>
                  <w:r>
                    <w:rPr>
                      <w:rFonts w:hint="eastAsia"/>
                      <w:color w:val="auto"/>
                    </w:rPr>
                    <w:t>。采用非连续吸脱附治理工艺的，应按设计要求及时解吸吸附的</w:t>
                  </w:r>
                  <w:r>
                    <w:rPr>
                      <w:color w:val="auto"/>
                    </w:rPr>
                    <w:t>VOCs</w:t>
                  </w:r>
                  <w:r>
                    <w:rPr>
                      <w:rFonts w:hint="eastAsia"/>
                      <w:color w:val="auto"/>
                    </w:rPr>
                    <w:t>，解吸气体应保证采用高效处理工艺处理后达标排放。蓄热式燃烧装置（</w:t>
                  </w:r>
                  <w:r>
                    <w:rPr>
                      <w:color w:val="auto"/>
                    </w:rPr>
                    <w:t>RTO</w:t>
                  </w:r>
                  <w:r>
                    <w:rPr>
                      <w:rFonts w:hint="eastAsia"/>
                      <w:color w:val="auto"/>
                    </w:rPr>
                    <w:t>）燃烧温度一般不低于</w:t>
                  </w:r>
                  <w:r>
                    <w:rPr>
                      <w:color w:val="auto"/>
                    </w:rPr>
                    <w:t>760</w:t>
                  </w:r>
                  <w:r>
                    <w:rPr>
                      <w:rFonts w:hint="eastAsia"/>
                      <w:color w:val="auto"/>
                    </w:rPr>
                    <w:t>℃，催化燃烧装置（</w:t>
                  </w:r>
                  <w:r>
                    <w:rPr>
                      <w:color w:val="auto"/>
                    </w:rPr>
                    <w:t>CO</w:t>
                  </w:r>
                  <w:r>
                    <w:rPr>
                      <w:rFonts w:hint="eastAsia"/>
                      <w:color w:val="auto"/>
                    </w:rPr>
                    <w:t>）燃烧温度一般不低于</w:t>
                  </w:r>
                  <w:r>
                    <w:rPr>
                      <w:color w:val="auto"/>
                    </w:rPr>
                    <w:t>300</w:t>
                  </w:r>
                  <w:r>
                    <w:rPr>
                      <w:rFonts w:hint="eastAsia"/>
                      <w:color w:val="auto"/>
                    </w:rPr>
                    <w:t>℃，相关温度参数应自动记录存储。</w:t>
                  </w:r>
                </w:p>
                <w:p w14:paraId="7CA27552">
                  <w:pPr>
                    <w:pStyle w:val="62"/>
                    <w:snapToGrid w:val="0"/>
                    <w:spacing w:before="72" w:beforeLines="30" w:after="72" w:afterLines="30"/>
                    <w:rPr>
                      <w:color w:val="auto"/>
                    </w:rPr>
                  </w:pPr>
                  <w:r>
                    <w:rPr>
                      <w:rFonts w:hint="eastAsia"/>
                      <w:color w:val="auto"/>
                    </w:rPr>
                    <w:t>有条件的工业园区和企业集群鼓励建设集中涂装中心，分散吸附、集中脱附模式的活性炭集中再生中心，溶剂回收中心等涉</w:t>
                  </w:r>
                  <w:r>
                    <w:rPr>
                      <w:color w:val="auto"/>
                    </w:rPr>
                    <w:t>VOCs</w:t>
                  </w:r>
                  <w:r>
                    <w:rPr>
                      <w:rFonts w:hint="eastAsia"/>
                      <w:color w:val="auto"/>
                    </w:rPr>
                    <w:t>“绿岛”项目，实现</w:t>
                  </w:r>
                  <w:r>
                    <w:rPr>
                      <w:color w:val="auto"/>
                    </w:rPr>
                    <w:t>VOCs</w:t>
                  </w:r>
                  <w:r>
                    <w:rPr>
                      <w:rFonts w:hint="eastAsia"/>
                      <w:color w:val="auto"/>
                    </w:rPr>
                    <w:t>集中高效处理。</w:t>
                  </w:r>
                </w:p>
              </w:tc>
              <w:tc>
                <w:tcPr>
                  <w:tcW w:w="1577" w:type="pct"/>
                  <w:vAlign w:val="center"/>
                </w:tcPr>
                <w:p w14:paraId="7F7BBDE0">
                  <w:pPr>
                    <w:adjustRightInd w:val="0"/>
                    <w:snapToGrid w:val="0"/>
                    <w:spacing w:before="72" w:beforeLines="30" w:after="72" w:afterLines="30"/>
                    <w:ind w:firstLine="420" w:firstLineChars="200"/>
                    <w:jc w:val="left"/>
                    <w:rPr>
                      <w:color w:val="auto"/>
                      <w:szCs w:val="21"/>
                    </w:rPr>
                  </w:pPr>
                  <w:r>
                    <w:rPr>
                      <w:rFonts w:hint="eastAsia" w:ascii="宋体" w:hAnsi="宋体" w:cs="宋体"/>
                      <w:color w:val="auto"/>
                      <w:szCs w:val="21"/>
                    </w:rPr>
                    <w:t>①</w:t>
                  </w:r>
                  <w:r>
                    <w:rPr>
                      <w:rFonts w:hint="eastAsia"/>
                      <w:color w:val="auto"/>
                      <w:lang w:val="en-US" w:eastAsia="zh-CN"/>
                    </w:rPr>
                    <w:t>根</w:t>
                  </w:r>
                  <w:r>
                    <w:rPr>
                      <w:rFonts w:hint="eastAsia"/>
                      <w:color w:val="auto"/>
                    </w:rPr>
                    <w:t>据《排污许可证申请与核发技术规范电池工业》（HJ967-2018）中表19电池工业废气污染防治可行技术</w:t>
                  </w:r>
                  <w:r>
                    <w:rPr>
                      <w:rFonts w:hint="eastAsia"/>
                      <w:color w:val="auto"/>
                      <w:lang w:eastAsia="zh-CN"/>
                    </w:rPr>
                    <w:t>：</w:t>
                  </w:r>
                  <w:r>
                    <w:rPr>
                      <w:rFonts w:hint="eastAsia"/>
                      <w:color w:val="auto"/>
                      <w:lang w:val="en-US" w:eastAsia="zh-CN"/>
                    </w:rPr>
                    <w:t>本项目采用</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二级冷凝+转轮活性炭吸附再生</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工艺回收NMP为可行性工艺；NMP可以与水以任意比例混溶，回收后的NMP和吸收废液属于一般固体废弃物由厂家回收。</w:t>
                  </w:r>
                  <w:r>
                    <w:rPr>
                      <w:rFonts w:hint="default" w:ascii="Times New Roman" w:hAnsi="Times New Roman" w:eastAsia="宋体" w:cs="Times New Roman"/>
                      <w:color w:val="auto"/>
                      <w:sz w:val="21"/>
                      <w:szCs w:val="21"/>
                    </w:rPr>
                    <w:t>注液、化成废气</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NMP和电解液储存废气、危废暂存间废气</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辅房设置的</w:t>
                  </w:r>
                  <w:r>
                    <w:rPr>
                      <w:rFonts w:hint="eastAsia" w:ascii="Times New Roman" w:hAnsi="Times New Roman" w:eastAsia="宋体" w:cs="Times New Roman"/>
                      <w:color w:val="auto"/>
                      <w:sz w:val="21"/>
                      <w:szCs w:val="21"/>
                      <w:lang w:eastAsia="zh-CN"/>
                    </w:rPr>
                    <w:t>NMP和电解液暂存车间</w:t>
                  </w:r>
                  <w:r>
                    <w:rPr>
                      <w:rFonts w:hint="default" w:ascii="Times New Roman" w:hAnsi="Times New Roman" w:eastAsia="宋体" w:cs="Times New Roman"/>
                      <w:color w:val="auto"/>
                      <w:sz w:val="21"/>
                      <w:szCs w:val="21"/>
                    </w:rPr>
                    <w:t>废气</w:t>
                  </w:r>
                  <w:r>
                    <w:rPr>
                      <w:rFonts w:hint="eastAsia" w:cs="Times New Roman"/>
                      <w:color w:val="auto"/>
                      <w:sz w:val="21"/>
                      <w:szCs w:val="21"/>
                      <w:lang w:val="en-US" w:eastAsia="zh-CN"/>
                    </w:rPr>
                    <w:t>采用活性炭吸附为可行性工艺；定区更换的活性炭作为危险废物，委托具有资质的单位清运处置</w:t>
                  </w:r>
                  <w:r>
                    <w:rPr>
                      <w:rFonts w:hint="eastAsia"/>
                      <w:color w:val="auto"/>
                      <w:szCs w:val="21"/>
                    </w:rPr>
                    <w:t>。</w:t>
                  </w:r>
                </w:p>
                <w:p w14:paraId="49303A94">
                  <w:pPr>
                    <w:pStyle w:val="60"/>
                    <w:spacing w:before="72" w:beforeLines="30" w:after="72" w:afterLines="30" w:line="240" w:lineRule="auto"/>
                    <w:ind w:firstLine="436" w:firstLineChars="200"/>
                    <w:jc w:val="both"/>
                    <w:rPr>
                      <w:color w:val="auto"/>
                    </w:rPr>
                  </w:pPr>
                  <w:r>
                    <w:rPr>
                      <w:rFonts w:hint="eastAsia" w:ascii="宋体" w:hAnsi="宋体" w:cs="宋体"/>
                      <w:color w:val="auto"/>
                      <w:szCs w:val="21"/>
                      <w:lang w:val="en-US"/>
                    </w:rPr>
                    <w:t>②</w:t>
                  </w:r>
                  <w:r>
                    <w:rPr>
                      <w:color w:val="auto"/>
                    </w:rPr>
                    <w:t>加强运行维护管理，做到治理设施较生产设备“先启后停”，在治理设施达到正常运行条件后方可启动生产设备，在生产设备停止、残留VOCs废气收集处理完毕后，才能停运治理设施。</w:t>
                  </w:r>
                </w:p>
                <w:p w14:paraId="340E2B4F">
                  <w:pPr>
                    <w:pStyle w:val="60"/>
                    <w:spacing w:before="72" w:beforeLines="30" w:after="72" w:afterLines="30" w:line="240" w:lineRule="auto"/>
                    <w:ind w:firstLine="436" w:firstLineChars="200"/>
                    <w:jc w:val="both"/>
                    <w:rPr>
                      <w:rFonts w:hint="eastAsia"/>
                      <w:color w:val="auto"/>
                      <w:lang w:val="en-US"/>
                    </w:rPr>
                  </w:pPr>
                  <w:r>
                    <w:rPr>
                      <w:rFonts w:hint="eastAsia" w:ascii="宋体" w:hAnsi="宋体" w:cs="宋体"/>
                      <w:color w:val="auto"/>
                    </w:rPr>
                    <w:t>③</w:t>
                  </w:r>
                  <w:r>
                    <w:rPr>
                      <w:rFonts w:hint="eastAsia"/>
                      <w:color w:val="auto"/>
                      <w:lang w:val="en-US"/>
                    </w:rPr>
                    <w:t>VOCs处理设备在检修、更换过滤材料时，停止生产设备运行，待环保设施正常运行后再启动生产设备。废</w:t>
                  </w:r>
                  <w:r>
                    <w:rPr>
                      <w:rFonts w:hint="eastAsia"/>
                      <w:color w:val="auto"/>
                    </w:rPr>
                    <w:t>活性炭</w:t>
                  </w:r>
                  <w:r>
                    <w:rPr>
                      <w:rFonts w:hint="eastAsia"/>
                      <w:color w:val="auto"/>
                      <w:lang w:val="en-US"/>
                    </w:rPr>
                    <w:t>定期更换并委托</w:t>
                  </w:r>
                  <w:r>
                    <w:rPr>
                      <w:rFonts w:hint="eastAsia"/>
                      <w:color w:val="auto"/>
                      <w:kern w:val="0"/>
                      <w:szCs w:val="21"/>
                      <w:lang w:val="en-US"/>
                    </w:rPr>
                    <w:t>具有资质的单位清运</w:t>
                  </w:r>
                  <w:r>
                    <w:rPr>
                      <w:rFonts w:hint="eastAsia"/>
                      <w:color w:val="auto"/>
                      <w:lang w:val="en-US"/>
                    </w:rPr>
                    <w:t>处置。</w:t>
                  </w:r>
                </w:p>
                <w:p w14:paraId="5A441183">
                  <w:pPr>
                    <w:pStyle w:val="60"/>
                    <w:spacing w:before="72" w:beforeLines="30" w:after="72" w:afterLines="30" w:line="240" w:lineRule="auto"/>
                    <w:ind w:firstLine="436" w:firstLineChars="200"/>
                    <w:jc w:val="both"/>
                    <w:rPr>
                      <w:rFonts w:hint="eastAsia" w:ascii="宋体" w:hAnsi="宋体" w:eastAsia="宋体" w:cs="宋体"/>
                      <w:color w:val="auto"/>
                      <w:szCs w:val="21"/>
                      <w:lang w:val="en-US" w:eastAsia="zh-CN"/>
                    </w:rPr>
                  </w:pPr>
                  <w:r>
                    <w:rPr>
                      <w:rFonts w:hint="eastAsia"/>
                      <w:color w:val="auto"/>
                      <w:lang w:val="en-US" w:eastAsia="zh-CN"/>
                    </w:rPr>
                    <w:t>④工业园区内暂无</w:t>
                  </w:r>
                  <w:r>
                    <w:rPr>
                      <w:color w:val="auto"/>
                    </w:rPr>
                    <w:t>VOCs</w:t>
                  </w:r>
                  <w:r>
                    <w:rPr>
                      <w:rFonts w:hint="eastAsia"/>
                      <w:color w:val="auto"/>
                    </w:rPr>
                    <w:t>“绿岛”项目</w:t>
                  </w:r>
                  <w:r>
                    <w:rPr>
                      <w:rFonts w:hint="eastAsia"/>
                      <w:color w:val="auto"/>
                      <w:lang w:eastAsia="zh-CN"/>
                    </w:rPr>
                    <w:t>。</w:t>
                  </w:r>
                </w:p>
              </w:tc>
              <w:tc>
                <w:tcPr>
                  <w:tcW w:w="315" w:type="pct"/>
                  <w:vAlign w:val="center"/>
                </w:tcPr>
                <w:p w14:paraId="0060AEF4">
                  <w:pPr>
                    <w:pStyle w:val="58"/>
                    <w:snapToGrid w:val="0"/>
                    <w:spacing w:before="72" w:beforeLines="30" w:after="72" w:afterLines="30" w:line="240" w:lineRule="auto"/>
                    <w:ind w:firstLine="0" w:firstLineChars="0"/>
                    <w:rPr>
                      <w:rFonts w:eastAsia="宋体"/>
                      <w:color w:val="auto"/>
                      <w:sz w:val="21"/>
                      <w:szCs w:val="21"/>
                    </w:rPr>
                  </w:pPr>
                  <w:r>
                    <w:rPr>
                      <w:rFonts w:eastAsia="宋体"/>
                      <w:color w:val="auto"/>
                      <w:sz w:val="21"/>
                      <w:szCs w:val="21"/>
                    </w:rPr>
                    <w:t>符合</w:t>
                  </w:r>
                </w:p>
              </w:tc>
            </w:tr>
          </w:tbl>
          <w:p w14:paraId="4811FDBB">
            <w:pPr>
              <w:autoSpaceDE w:val="0"/>
              <w:autoSpaceDN w:val="0"/>
              <w:adjustRightInd w:val="0"/>
              <w:snapToGrid w:val="0"/>
              <w:spacing w:line="360" w:lineRule="auto"/>
              <w:ind w:firstLine="422" w:firstLineChars="200"/>
              <w:rPr>
                <w:b/>
                <w:color w:val="auto"/>
                <w:szCs w:val="21"/>
              </w:rPr>
            </w:pPr>
            <w:r>
              <w:rPr>
                <w:rFonts w:hint="eastAsia"/>
                <w:b/>
                <w:color w:val="auto"/>
                <w:szCs w:val="21"/>
                <w:lang w:val="en-US" w:eastAsia="zh-CN"/>
              </w:rPr>
              <w:t>12</w:t>
            </w:r>
            <w:r>
              <w:rPr>
                <w:rFonts w:hint="eastAsia"/>
                <w:b/>
                <w:color w:val="auto"/>
                <w:szCs w:val="21"/>
              </w:rPr>
              <w:t>、</w:t>
            </w:r>
            <w:r>
              <w:rPr>
                <w:b/>
                <w:color w:val="auto"/>
                <w:szCs w:val="21"/>
              </w:rPr>
              <w:t>与《“十</w:t>
            </w:r>
            <w:r>
              <w:rPr>
                <w:rFonts w:hint="eastAsia"/>
                <w:b/>
                <w:color w:val="auto"/>
                <w:szCs w:val="21"/>
              </w:rPr>
              <w:t>四</w:t>
            </w:r>
            <w:r>
              <w:rPr>
                <w:b/>
                <w:color w:val="auto"/>
                <w:szCs w:val="21"/>
              </w:rPr>
              <w:t>五”</w:t>
            </w:r>
            <w:r>
              <w:rPr>
                <w:rFonts w:hint="eastAsia"/>
                <w:b/>
                <w:color w:val="auto"/>
                <w:szCs w:val="21"/>
              </w:rPr>
              <w:t>节能减排综合</w:t>
            </w:r>
            <w:r>
              <w:rPr>
                <w:b/>
                <w:color w:val="auto"/>
                <w:szCs w:val="21"/>
              </w:rPr>
              <w:t>工作方案》（</w:t>
            </w:r>
            <w:r>
              <w:rPr>
                <w:rFonts w:hint="eastAsia"/>
                <w:b/>
                <w:color w:val="auto"/>
                <w:szCs w:val="21"/>
              </w:rPr>
              <w:t>国发</w:t>
            </w:r>
            <w:r>
              <w:rPr>
                <w:b/>
                <w:color w:val="auto"/>
                <w:szCs w:val="21"/>
              </w:rPr>
              <w:t>〔20</w:t>
            </w:r>
            <w:r>
              <w:rPr>
                <w:rFonts w:hint="eastAsia"/>
                <w:b/>
                <w:color w:val="auto"/>
                <w:szCs w:val="21"/>
              </w:rPr>
              <w:t>21</w:t>
            </w:r>
            <w:r>
              <w:rPr>
                <w:b/>
                <w:color w:val="auto"/>
                <w:szCs w:val="21"/>
              </w:rPr>
              <w:t>〕</w:t>
            </w:r>
            <w:r>
              <w:rPr>
                <w:rFonts w:hint="eastAsia"/>
                <w:b/>
                <w:color w:val="auto"/>
                <w:szCs w:val="21"/>
              </w:rPr>
              <w:t>33</w:t>
            </w:r>
            <w:r>
              <w:rPr>
                <w:b/>
                <w:color w:val="auto"/>
                <w:szCs w:val="21"/>
              </w:rPr>
              <w:t>号）相符性</w:t>
            </w:r>
          </w:p>
          <w:p w14:paraId="753FC5C1">
            <w:pPr>
              <w:pStyle w:val="36"/>
              <w:ind w:firstLine="420"/>
              <w:rPr>
                <w:color w:val="auto"/>
              </w:rPr>
            </w:pPr>
            <w:r>
              <w:rPr>
                <w:rFonts w:hint="eastAsia"/>
                <w:color w:val="auto"/>
              </w:rPr>
              <w:t>2022年1月24日国务院发布了《国务院关于印发“十四五”节能减排综合工作方案的通知》（国发〔2021〕33号），本项目与其符合性分析见下表所示：</w:t>
            </w:r>
          </w:p>
          <w:p w14:paraId="2A9272D4">
            <w:pPr>
              <w:pStyle w:val="39"/>
              <w:ind w:firstLine="422"/>
              <w:rPr>
                <w:color w:val="auto"/>
              </w:rPr>
            </w:pPr>
            <w:r>
              <w:rPr>
                <w:color w:val="auto"/>
              </w:rPr>
              <w:t>表1-</w:t>
            </w:r>
            <w:r>
              <w:rPr>
                <w:rFonts w:hint="eastAsia"/>
                <w:color w:val="auto"/>
              </w:rPr>
              <w:t>1</w:t>
            </w:r>
            <w:r>
              <w:rPr>
                <w:rFonts w:hint="eastAsia"/>
                <w:color w:val="auto"/>
                <w:lang w:val="en-US" w:eastAsia="zh-CN"/>
              </w:rPr>
              <w:t>3</w:t>
            </w:r>
            <w:r>
              <w:rPr>
                <w:color w:val="auto"/>
              </w:rPr>
              <w:t>项目与《“十</w:t>
            </w:r>
            <w:r>
              <w:rPr>
                <w:rFonts w:hint="eastAsia"/>
                <w:color w:val="auto"/>
              </w:rPr>
              <w:t>四</w:t>
            </w:r>
            <w:r>
              <w:rPr>
                <w:color w:val="auto"/>
              </w:rPr>
              <w:t>五”</w:t>
            </w:r>
            <w:r>
              <w:rPr>
                <w:rFonts w:hint="eastAsia"/>
                <w:color w:val="auto"/>
              </w:rPr>
              <w:t>节能减排综合</w:t>
            </w:r>
            <w:r>
              <w:rPr>
                <w:color w:val="auto"/>
              </w:rPr>
              <w:t>工作方案》符合分析表</w:t>
            </w:r>
          </w:p>
          <w:tbl>
            <w:tblPr>
              <w:tblStyle w:val="25"/>
              <w:tblW w:w="86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
              <w:gridCol w:w="3604"/>
              <w:gridCol w:w="3465"/>
              <w:gridCol w:w="698"/>
            </w:tblGrid>
            <w:tr w14:paraId="204EB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585" w:type="pct"/>
                  <w:gridSpan w:val="2"/>
                  <w:vAlign w:val="center"/>
                </w:tcPr>
                <w:p w14:paraId="4F4BF047">
                  <w:pPr>
                    <w:pStyle w:val="58"/>
                    <w:snapToGrid w:val="0"/>
                    <w:spacing w:before="72" w:beforeLines="30" w:after="72" w:afterLines="30" w:line="240" w:lineRule="auto"/>
                    <w:ind w:firstLine="0" w:firstLineChars="0"/>
                    <w:rPr>
                      <w:rFonts w:eastAsia="宋体"/>
                      <w:b/>
                      <w:bCs/>
                      <w:color w:val="auto"/>
                      <w:sz w:val="21"/>
                      <w:szCs w:val="21"/>
                    </w:rPr>
                  </w:pPr>
                  <w:r>
                    <w:rPr>
                      <w:rFonts w:hint="eastAsia" w:eastAsia="宋体"/>
                      <w:b/>
                      <w:bCs/>
                      <w:color w:val="auto"/>
                      <w:sz w:val="21"/>
                      <w:szCs w:val="21"/>
                    </w:rPr>
                    <w:t>方案要求</w:t>
                  </w:r>
                </w:p>
              </w:tc>
              <w:tc>
                <w:tcPr>
                  <w:tcW w:w="2008" w:type="pct"/>
                  <w:vAlign w:val="center"/>
                </w:tcPr>
                <w:p w14:paraId="2F4DB5A7">
                  <w:pPr>
                    <w:pStyle w:val="58"/>
                    <w:snapToGrid w:val="0"/>
                    <w:spacing w:before="72" w:beforeLines="30" w:after="72" w:afterLines="30" w:line="240" w:lineRule="auto"/>
                    <w:ind w:firstLine="0" w:firstLineChars="0"/>
                    <w:rPr>
                      <w:rFonts w:eastAsia="宋体"/>
                      <w:b/>
                      <w:bCs/>
                      <w:color w:val="auto"/>
                      <w:sz w:val="21"/>
                      <w:szCs w:val="21"/>
                    </w:rPr>
                  </w:pPr>
                  <w:r>
                    <w:rPr>
                      <w:rFonts w:hint="eastAsia" w:eastAsia="宋体"/>
                      <w:b/>
                      <w:bCs/>
                      <w:color w:val="auto"/>
                      <w:sz w:val="21"/>
                      <w:szCs w:val="21"/>
                    </w:rPr>
                    <w:t>项目情况</w:t>
                  </w:r>
                </w:p>
              </w:tc>
              <w:tc>
                <w:tcPr>
                  <w:tcW w:w="405" w:type="pct"/>
                  <w:vAlign w:val="center"/>
                </w:tcPr>
                <w:p w14:paraId="533E83AF">
                  <w:pPr>
                    <w:pStyle w:val="58"/>
                    <w:snapToGrid w:val="0"/>
                    <w:spacing w:before="72" w:beforeLines="30" w:after="72" w:afterLines="30" w:line="240" w:lineRule="auto"/>
                    <w:ind w:firstLine="0" w:firstLineChars="0"/>
                    <w:rPr>
                      <w:rFonts w:eastAsia="宋体"/>
                      <w:b/>
                      <w:bCs/>
                      <w:color w:val="auto"/>
                      <w:sz w:val="21"/>
                      <w:szCs w:val="21"/>
                    </w:rPr>
                  </w:pPr>
                  <w:r>
                    <w:rPr>
                      <w:rFonts w:hint="eastAsia" w:eastAsia="宋体"/>
                      <w:b/>
                      <w:bCs/>
                      <w:color w:val="auto"/>
                      <w:sz w:val="21"/>
                      <w:szCs w:val="21"/>
                    </w:rPr>
                    <w:t>符合性</w:t>
                  </w:r>
                </w:p>
              </w:tc>
            </w:tr>
            <w:tr w14:paraId="56749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6" w:type="pct"/>
                  <w:vAlign w:val="center"/>
                </w:tcPr>
                <w:p w14:paraId="07C3B577">
                  <w:pPr>
                    <w:pStyle w:val="62"/>
                    <w:snapToGrid w:val="0"/>
                    <w:spacing w:before="72" w:beforeLines="30" w:after="72" w:afterLines="30"/>
                    <w:ind w:firstLine="0" w:firstLineChars="0"/>
                    <w:jc w:val="center"/>
                    <w:rPr>
                      <w:color w:val="auto"/>
                      <w:szCs w:val="21"/>
                    </w:rPr>
                  </w:pPr>
                  <w:r>
                    <w:rPr>
                      <w:rFonts w:hint="eastAsia"/>
                      <w:color w:val="auto"/>
                      <w:szCs w:val="21"/>
                    </w:rPr>
                    <w:t>挥发性有机物综合整治工程</w:t>
                  </w:r>
                </w:p>
              </w:tc>
              <w:tc>
                <w:tcPr>
                  <w:tcW w:w="2089" w:type="pct"/>
                  <w:vAlign w:val="center"/>
                </w:tcPr>
                <w:p w14:paraId="7A15426F">
                  <w:pPr>
                    <w:pStyle w:val="62"/>
                    <w:snapToGrid w:val="0"/>
                    <w:spacing w:before="72" w:beforeLines="30" w:after="72" w:afterLines="30"/>
                    <w:rPr>
                      <w:color w:val="auto"/>
                      <w:szCs w:val="21"/>
                    </w:rPr>
                  </w:pPr>
                  <w:r>
                    <w:rPr>
                      <w:rFonts w:hint="eastAsia"/>
                      <w:color w:val="auto"/>
                      <w:szCs w:val="21"/>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p>
              </w:tc>
              <w:tc>
                <w:tcPr>
                  <w:tcW w:w="2008" w:type="pct"/>
                  <w:vAlign w:val="center"/>
                </w:tcPr>
                <w:p w14:paraId="08F2A951">
                  <w:pPr>
                    <w:ind w:firstLine="420" w:firstLineChars="200"/>
                    <w:rPr>
                      <w:rFonts w:ascii="Times New Roman" w:hAnsi="Times New Roman"/>
                      <w:color w:val="auto"/>
                      <w:kern w:val="2"/>
                      <w:sz w:val="21"/>
                      <w:szCs w:val="21"/>
                    </w:rPr>
                  </w:pPr>
                  <w:r>
                    <w:rPr>
                      <w:rFonts w:hint="eastAsia"/>
                      <w:color w:val="auto"/>
                      <w:kern w:val="2"/>
                      <w:sz w:val="21"/>
                      <w:szCs w:val="21"/>
                      <w:lang w:val="en-US" w:eastAsia="zh-CN"/>
                    </w:rPr>
                    <w:t>①</w:t>
                  </w:r>
                  <w:r>
                    <w:rPr>
                      <w:rFonts w:ascii="Times New Roman" w:hAnsi="Times New Roman"/>
                      <w:color w:val="auto"/>
                      <w:kern w:val="2"/>
                      <w:sz w:val="21"/>
                      <w:szCs w:val="21"/>
                    </w:rPr>
                    <w:t>本项目产生</w:t>
                  </w:r>
                  <w:r>
                    <w:rPr>
                      <w:rFonts w:hint="eastAsia"/>
                      <w:color w:val="auto"/>
                      <w:kern w:val="2"/>
                      <w:sz w:val="21"/>
                      <w:szCs w:val="21"/>
                      <w:lang w:val="en-US" w:eastAsia="zh-CN"/>
                    </w:rPr>
                    <w:t>的</w:t>
                  </w:r>
                  <w:r>
                    <w:rPr>
                      <w:rFonts w:ascii="Times New Roman" w:hAnsi="Times New Roman"/>
                      <w:color w:val="auto"/>
                      <w:kern w:val="2"/>
                      <w:sz w:val="21"/>
                      <w:szCs w:val="21"/>
                    </w:rPr>
                    <w:t>有机废气</w:t>
                  </w:r>
                  <w:r>
                    <w:rPr>
                      <w:rFonts w:hint="eastAsia" w:ascii="Times New Roman" w:hAnsi="Times New Roman"/>
                      <w:color w:val="auto"/>
                      <w:sz w:val="21"/>
                      <w:szCs w:val="21"/>
                    </w:rPr>
                    <w:t>主要为</w:t>
                  </w:r>
                  <w:r>
                    <w:rPr>
                      <w:rFonts w:hint="eastAsia" w:cs="Times New Roman"/>
                      <w:color w:val="auto"/>
                      <w:sz w:val="21"/>
                      <w:szCs w:val="21"/>
                      <w:lang w:val="en-US" w:eastAsia="zh-CN"/>
                    </w:rPr>
                    <w:t>NMP回收、注液、化成、电解液车间NMP和电解液储存废气、生产车间辅房NMP和电解液暂存废气、危废暂存间工序生产VOCs废气</w:t>
                  </w:r>
                  <w:r>
                    <w:rPr>
                      <w:rFonts w:ascii="Times New Roman" w:hAnsi="Times New Roman"/>
                      <w:color w:val="auto"/>
                      <w:kern w:val="2"/>
                      <w:sz w:val="21"/>
                      <w:szCs w:val="21"/>
                    </w:rPr>
                    <w:t>，</w:t>
                  </w:r>
                  <w:r>
                    <w:rPr>
                      <w:rFonts w:hint="eastAsia" w:ascii="Times New Roman" w:hAnsi="Times New Roman"/>
                      <w:color w:val="auto"/>
                      <w:kern w:val="2"/>
                      <w:sz w:val="21"/>
                      <w:szCs w:val="21"/>
                    </w:rPr>
                    <w:t>项目使用的原辅料为：</w:t>
                  </w:r>
                  <w:r>
                    <w:rPr>
                      <w:rFonts w:hint="eastAsia" w:ascii="Times New Roman" w:hAnsi="Times New Roman"/>
                      <w:color w:val="auto"/>
                      <w:kern w:val="2"/>
                      <w:sz w:val="21"/>
                      <w:szCs w:val="21"/>
                      <w:lang w:val="en-US" w:eastAsia="zh-CN"/>
                    </w:rPr>
                    <w:t>NMP</w:t>
                  </w:r>
                  <w:r>
                    <w:rPr>
                      <w:rFonts w:hint="eastAsia" w:ascii="Times New Roman" w:hAnsi="Times New Roman"/>
                      <w:color w:val="auto"/>
                      <w:kern w:val="2"/>
                      <w:sz w:val="21"/>
                      <w:szCs w:val="21"/>
                    </w:rPr>
                    <w:t>、</w:t>
                  </w:r>
                  <w:r>
                    <w:rPr>
                      <w:rFonts w:hint="eastAsia" w:ascii="Times New Roman" w:hAnsi="Times New Roman"/>
                      <w:color w:val="auto"/>
                      <w:kern w:val="2"/>
                      <w:sz w:val="21"/>
                      <w:szCs w:val="21"/>
                      <w:lang w:val="en-US" w:eastAsia="zh-CN"/>
                    </w:rPr>
                    <w:t>电解液</w:t>
                  </w:r>
                  <w:r>
                    <w:rPr>
                      <w:rFonts w:hint="eastAsia" w:ascii="Times New Roman" w:hAnsi="Times New Roman"/>
                      <w:color w:val="auto"/>
                      <w:kern w:val="2"/>
                      <w:sz w:val="21"/>
                      <w:szCs w:val="21"/>
                    </w:rPr>
                    <w:t>，</w:t>
                  </w:r>
                  <w:r>
                    <w:rPr>
                      <w:rFonts w:ascii="Times New Roman" w:hAnsi="Times New Roman"/>
                      <w:color w:val="auto"/>
                      <w:kern w:val="2"/>
                      <w:sz w:val="21"/>
                      <w:szCs w:val="21"/>
                    </w:rPr>
                    <w:t>企业建成后建立原辅材料台账，记录VOCs原辅材料名称、成分、VOCs含量、采购量、使用量、库存量、回收方式、回收量等信息，并保存相关证明材料。</w:t>
                  </w:r>
                </w:p>
                <w:p w14:paraId="66432299">
                  <w:pPr>
                    <w:pStyle w:val="62"/>
                    <w:snapToGrid w:val="0"/>
                    <w:spacing w:before="72" w:beforeLines="30" w:after="72" w:afterLines="30"/>
                    <w:rPr>
                      <w:rFonts w:hint="eastAsia" w:ascii="宋体" w:hAnsi="宋体" w:eastAsia="宋体"/>
                      <w:color w:val="auto"/>
                      <w:sz w:val="21"/>
                      <w:szCs w:val="21"/>
                      <w:lang w:val="en-US" w:eastAsia="zh-CN"/>
                    </w:rPr>
                  </w:pPr>
                  <w:r>
                    <w:rPr>
                      <w:rFonts w:hint="eastAsia"/>
                      <w:color w:val="auto"/>
                      <w:szCs w:val="21"/>
                      <w:lang w:val="en-US" w:eastAsia="zh-CN"/>
                    </w:rPr>
                    <w:t>②</w:t>
                  </w:r>
                  <w:r>
                    <w:rPr>
                      <w:rFonts w:hint="default" w:ascii="Times New Roman" w:hAnsi="Times New Roman" w:eastAsia="宋体" w:cs="Times New Roman"/>
                      <w:color w:val="auto"/>
                      <w:sz w:val="21"/>
                      <w:szCs w:val="21"/>
                    </w:rPr>
                    <w:t>项目生产车间为封闭的标准厂房</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NMP</w:t>
                  </w:r>
                  <w:r>
                    <w:rPr>
                      <w:rFonts w:hint="eastAsia" w:ascii="Times New Roman" w:hAnsi="Times New Roman" w:eastAsia="宋体" w:cs="Times New Roman"/>
                      <w:color w:val="auto"/>
                      <w:sz w:val="21"/>
                      <w:szCs w:val="21"/>
                      <w:lang w:val="en-US" w:eastAsia="zh-CN"/>
                    </w:rPr>
                    <w:t>和电解液采用桶装，储存于全封闭的电解液暂存间，并设置废气收集措施；生产车间辅房设置全封闭的NMP和电解液暂存间，并设置废气收集措施</w:t>
                  </w:r>
                  <w:r>
                    <w:rPr>
                      <w:rFonts w:hint="default" w:ascii="Times New Roman" w:hAnsi="Times New Roman" w:eastAsia="宋体" w:cs="Times New Roman"/>
                      <w:color w:val="auto"/>
                      <w:sz w:val="21"/>
                      <w:szCs w:val="21"/>
                    </w:rPr>
                    <w:t>；</w:t>
                  </w:r>
                  <w:r>
                    <w:rPr>
                      <w:rFonts w:hint="eastAsia" w:ascii="宋体" w:hAnsi="宋体" w:eastAsia="宋体"/>
                      <w:color w:val="auto"/>
                      <w:sz w:val="21"/>
                      <w:szCs w:val="21"/>
                    </w:rPr>
                    <w:t>项目</w:t>
                  </w:r>
                  <w:r>
                    <w:rPr>
                      <w:rFonts w:hint="default" w:ascii="Times New Roman" w:hAnsi="Times New Roman" w:eastAsia="宋体" w:cs="Times New Roman"/>
                      <w:b w:val="0"/>
                      <w:bCs/>
                      <w:color w:val="auto"/>
                      <w:sz w:val="21"/>
                      <w:szCs w:val="21"/>
                      <w:lang w:val="en-US" w:eastAsia="zh-CN"/>
                    </w:rPr>
                    <w:t>配料、制浆、涂布和NMP回收装置均为密闭结构</w:t>
                  </w:r>
                  <w:r>
                    <w:rPr>
                      <w:rFonts w:hint="eastAsia" w:ascii="Times New Roman" w:hAnsi="Times New Roman" w:cs="Times New Roman"/>
                      <w:b w:val="0"/>
                      <w:bCs/>
                      <w:color w:val="auto"/>
                      <w:sz w:val="21"/>
                      <w:szCs w:val="21"/>
                      <w:lang w:val="en-US" w:eastAsia="zh-CN"/>
                    </w:rPr>
                    <w:t>；</w:t>
                  </w:r>
                  <w:r>
                    <w:rPr>
                      <w:rFonts w:hint="eastAsia" w:ascii="宋体" w:hAnsi="宋体" w:eastAsia="宋体"/>
                      <w:color w:val="auto"/>
                      <w:sz w:val="21"/>
                      <w:szCs w:val="21"/>
                    </w:rPr>
                    <w:t>生产车间为密闭</w:t>
                  </w:r>
                  <w:r>
                    <w:rPr>
                      <w:rFonts w:hint="eastAsia" w:ascii="宋体" w:hAnsi="宋体" w:eastAsia="宋体"/>
                      <w:color w:val="auto"/>
                      <w:sz w:val="21"/>
                      <w:szCs w:val="21"/>
                      <w:lang w:eastAsia="zh-CN"/>
                    </w:rPr>
                    <w:t>的</w:t>
                  </w:r>
                  <w:r>
                    <w:rPr>
                      <w:rFonts w:hint="eastAsia" w:ascii="宋体" w:hAnsi="宋体" w:eastAsia="宋体"/>
                      <w:color w:val="auto"/>
                      <w:sz w:val="21"/>
                      <w:szCs w:val="21"/>
                      <w:lang w:val="en-US" w:eastAsia="zh-CN"/>
                    </w:rPr>
                    <w:t>洁净车间</w:t>
                  </w:r>
                  <w:r>
                    <w:rPr>
                      <w:rFonts w:hint="eastAsia" w:ascii="宋体" w:hAnsi="宋体" w:eastAsia="宋体"/>
                      <w:color w:val="auto"/>
                      <w:sz w:val="21"/>
                      <w:szCs w:val="21"/>
                    </w:rPr>
                    <w:t>，使用先进</w:t>
                  </w:r>
                  <w:r>
                    <w:rPr>
                      <w:rFonts w:hint="eastAsia" w:ascii="宋体" w:hAnsi="宋体" w:eastAsia="宋体"/>
                      <w:color w:val="auto"/>
                      <w:sz w:val="21"/>
                      <w:szCs w:val="21"/>
                      <w:lang w:val="en-US" w:eastAsia="zh-CN"/>
                    </w:rPr>
                    <w:t>全自动</w:t>
                  </w:r>
                  <w:r>
                    <w:rPr>
                      <w:rFonts w:hint="eastAsia" w:ascii="宋体" w:hAnsi="宋体" w:eastAsia="宋体"/>
                      <w:color w:val="auto"/>
                      <w:sz w:val="21"/>
                      <w:szCs w:val="21"/>
                    </w:rPr>
                    <w:t>生产</w:t>
                  </w:r>
                  <w:r>
                    <w:rPr>
                      <w:rFonts w:hint="eastAsia" w:ascii="宋体" w:hAnsi="宋体" w:eastAsia="宋体"/>
                      <w:color w:val="auto"/>
                      <w:sz w:val="21"/>
                      <w:szCs w:val="21"/>
                      <w:lang w:val="en-US" w:eastAsia="zh-CN"/>
                    </w:rPr>
                    <w:t>线生产锂电池，无组织VOCs产污节点较少，无组织VOCs做到“应收尽收。”</w:t>
                  </w:r>
                </w:p>
                <w:p w14:paraId="60597195">
                  <w:pPr>
                    <w:pStyle w:val="62"/>
                    <w:snapToGrid w:val="0"/>
                    <w:spacing w:before="72" w:beforeLines="30" w:after="72" w:afterLines="30"/>
                    <w:rPr>
                      <w:rFonts w:hint="eastAsia"/>
                      <w:color w:val="auto"/>
                      <w:szCs w:val="21"/>
                    </w:rPr>
                  </w:pPr>
                  <w:r>
                    <w:rPr>
                      <w:rFonts w:hint="eastAsia" w:ascii="宋体" w:hAnsi="宋体"/>
                      <w:color w:val="auto"/>
                      <w:sz w:val="21"/>
                      <w:szCs w:val="21"/>
                      <w:lang w:val="en-US" w:eastAsia="zh-CN"/>
                    </w:rPr>
                    <w:t>③</w:t>
                  </w:r>
                  <w:r>
                    <w:rPr>
                      <w:rFonts w:hint="default" w:ascii="Times New Roman" w:hAnsi="Times New Roman" w:eastAsia="宋体" w:cs="Times New Roman"/>
                      <w:color w:val="auto"/>
                      <w:szCs w:val="21"/>
                      <w:lang w:val="en-US" w:eastAsia="zh-CN"/>
                    </w:rPr>
                    <w:t>项目为提高无组织废气收集效率，</w:t>
                  </w:r>
                  <w:r>
                    <w:rPr>
                      <w:rFonts w:hint="default" w:ascii="Times New Roman" w:hAnsi="Times New Roman" w:eastAsia="宋体" w:cs="Times New Roman"/>
                      <w:color w:val="auto"/>
                    </w:rPr>
                    <w:t>配料、制浆、涂布和NMP回收装置均为密闭结构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注液、化成废气</w:t>
                  </w:r>
                  <w:r>
                    <w:rPr>
                      <w:rFonts w:hint="eastAsia" w:cs="Times New Roman"/>
                      <w:color w:val="auto"/>
                      <w:lang w:val="en-US" w:eastAsia="zh-CN"/>
                    </w:rPr>
                    <w:t>在手套箱内真空状态下</w:t>
                  </w:r>
                  <w:r>
                    <w:rPr>
                      <w:rFonts w:hint="default" w:ascii="Times New Roman" w:hAnsi="Times New Roman" w:eastAsia="宋体" w:cs="Times New Roman"/>
                      <w:color w:val="auto"/>
                      <w:lang w:val="en-US" w:eastAsia="zh-CN"/>
                    </w:rPr>
                    <w:t>收集，</w:t>
                  </w:r>
                  <w:r>
                    <w:rPr>
                      <w:rFonts w:hint="eastAsia" w:cs="Times New Roman"/>
                      <w:color w:val="auto"/>
                      <w:lang w:val="en-US" w:eastAsia="zh-CN"/>
                    </w:rPr>
                    <w:t>暂存废气经</w:t>
                  </w:r>
                  <w:r>
                    <w:rPr>
                      <w:rFonts w:hint="default" w:ascii="Times New Roman" w:hAnsi="Times New Roman" w:eastAsia="宋体" w:cs="Times New Roman"/>
                      <w:color w:val="auto"/>
                      <w:lang w:val="en-US" w:eastAsia="zh-CN"/>
                    </w:rPr>
                    <w:t>集气</w:t>
                  </w:r>
                  <w:r>
                    <w:rPr>
                      <w:rFonts w:hint="eastAsia" w:cs="Times New Roman"/>
                      <w:color w:val="auto"/>
                      <w:lang w:val="en-US" w:eastAsia="zh-CN"/>
                    </w:rPr>
                    <w:t>管</w:t>
                  </w:r>
                  <w:r>
                    <w:rPr>
                      <w:rFonts w:hint="default" w:ascii="Times New Roman" w:hAnsi="Times New Roman" w:eastAsia="宋体" w:cs="Times New Roman"/>
                      <w:color w:val="auto"/>
                      <w:lang w:val="en-US" w:eastAsia="zh-CN"/>
                    </w:rPr>
                    <w:t>收集</w:t>
                  </w:r>
                  <w:r>
                    <w:rPr>
                      <w:rFonts w:hint="eastAsia" w:cs="Times New Roman"/>
                      <w:color w:val="auto"/>
                      <w:lang w:val="en-US" w:eastAsia="zh-CN"/>
                    </w:rPr>
                    <w:t>，车间内通风出</w:t>
                  </w:r>
                  <w:r>
                    <w:rPr>
                      <w:rFonts w:hint="default" w:ascii="Times New Roman" w:hAnsi="Times New Roman" w:eastAsia="宋体" w:cs="Times New Roman"/>
                      <w:color w:val="auto"/>
                      <w:lang w:val="en-US" w:eastAsia="zh-CN"/>
                    </w:rPr>
                    <w:t>风速大于0.3m/s；电解液车间</w:t>
                  </w:r>
                  <w:r>
                    <w:rPr>
                      <w:rFonts w:hint="eastAsia" w:cs="Times New Roman"/>
                      <w:color w:val="auto"/>
                      <w:lang w:val="en-US" w:eastAsia="zh-CN"/>
                    </w:rPr>
                    <w:t>和危废暂存间</w:t>
                  </w:r>
                  <w:r>
                    <w:rPr>
                      <w:rFonts w:hint="default" w:ascii="Times New Roman" w:hAnsi="Times New Roman" w:eastAsia="宋体" w:cs="Times New Roman"/>
                      <w:color w:val="auto"/>
                      <w:lang w:val="en-US" w:eastAsia="zh-CN"/>
                    </w:rPr>
                    <w:t>为封闭空间，采用</w:t>
                  </w:r>
                  <w:r>
                    <w:rPr>
                      <w:rFonts w:hint="eastAsia" w:ascii="Times New Roman" w:hAnsi="Times New Roman" w:eastAsia="宋体" w:cs="Times New Roman"/>
                      <w:color w:val="auto"/>
                      <w:lang w:val="en-US" w:eastAsia="zh-CN"/>
                    </w:rPr>
                    <w:t>集气系统</w:t>
                  </w:r>
                  <w:r>
                    <w:rPr>
                      <w:rFonts w:hint="default" w:ascii="Times New Roman" w:hAnsi="Times New Roman" w:eastAsia="宋体" w:cs="Times New Roman"/>
                      <w:color w:val="auto"/>
                      <w:lang w:val="en-US" w:eastAsia="zh-CN"/>
                    </w:rPr>
                    <w:t>将储存车间的废气收集；NMP暂存间有机废气</w:t>
                  </w:r>
                  <w:r>
                    <w:rPr>
                      <w:rFonts w:hint="eastAsia" w:cs="Times New Roman"/>
                      <w:color w:val="auto"/>
                      <w:lang w:val="en-US" w:eastAsia="zh-CN"/>
                    </w:rPr>
                    <w:t>采用集气管道收集，进风口的风速大于0.3m/s；</w:t>
                  </w:r>
                  <w:r>
                    <w:rPr>
                      <w:rFonts w:hint="default" w:ascii="Times New Roman" w:hAnsi="Times New Roman" w:eastAsia="宋体" w:cs="Times New Roman"/>
                      <w:color w:val="auto"/>
                      <w:lang w:val="en-US" w:eastAsia="zh-CN"/>
                    </w:rPr>
                    <w:t>NMP冷凝回收罐有机废气采用</w:t>
                  </w:r>
                  <w:r>
                    <w:rPr>
                      <w:rFonts w:hint="eastAsia" w:ascii="Times New Roman" w:hAnsi="Times New Roman" w:eastAsia="宋体" w:cs="Times New Roman"/>
                      <w:color w:val="auto"/>
                      <w:lang w:val="en-US" w:eastAsia="zh-CN"/>
                    </w:rPr>
                    <w:t>集气</w:t>
                  </w:r>
                  <w:r>
                    <w:rPr>
                      <w:rFonts w:hint="eastAsia" w:cs="Times New Roman"/>
                      <w:color w:val="auto"/>
                      <w:lang w:val="en-US" w:eastAsia="zh-CN"/>
                    </w:rPr>
                    <w:t>罩</w:t>
                  </w:r>
                  <w:r>
                    <w:rPr>
                      <w:rFonts w:hint="default" w:ascii="Times New Roman" w:hAnsi="Times New Roman" w:eastAsia="宋体" w:cs="Times New Roman"/>
                      <w:color w:val="auto"/>
                      <w:lang w:val="en-US" w:eastAsia="zh-CN"/>
                    </w:rPr>
                    <w:t>将储存车间的废气收集</w:t>
                  </w:r>
                  <w:r>
                    <w:rPr>
                      <w:rFonts w:hint="eastAsia" w:cs="Times New Roman"/>
                      <w:color w:val="auto"/>
                      <w:lang w:val="en-US" w:eastAsia="zh-CN"/>
                    </w:rPr>
                    <w:t>，</w:t>
                  </w:r>
                  <w:r>
                    <w:rPr>
                      <w:color w:val="auto"/>
                      <w:szCs w:val="21"/>
                    </w:rPr>
                    <w:t>距集气罩开口面最远处的</w:t>
                  </w:r>
                  <w:r>
                    <w:rPr>
                      <w:rFonts w:hint="eastAsia"/>
                      <w:color w:val="auto"/>
                      <w:szCs w:val="21"/>
                      <w:lang w:val="en-US" w:eastAsia="zh-CN"/>
                    </w:rPr>
                    <w:t>风速不低于0.3m/s</w:t>
                  </w:r>
                  <w:r>
                    <w:rPr>
                      <w:rFonts w:hint="eastAsia"/>
                      <w:color w:val="auto"/>
                      <w:szCs w:val="21"/>
                    </w:rPr>
                    <w:t>。</w:t>
                  </w:r>
                </w:p>
                <w:p w14:paraId="1CA2A2F9">
                  <w:pPr>
                    <w:pStyle w:val="62"/>
                    <w:snapToGrid w:val="0"/>
                    <w:spacing w:before="72" w:beforeLines="30" w:after="72" w:afterLines="30"/>
                    <w:rPr>
                      <w:rFonts w:hint="eastAsia" w:eastAsia="宋体"/>
                      <w:color w:val="auto"/>
                      <w:szCs w:val="21"/>
                      <w:lang w:eastAsia="zh-CN"/>
                    </w:rPr>
                  </w:pPr>
                  <w:r>
                    <w:rPr>
                      <w:rFonts w:hint="eastAsia"/>
                      <w:color w:val="auto"/>
                      <w:lang w:val="en-US" w:eastAsia="zh-CN"/>
                    </w:rPr>
                    <w:t>④根</w:t>
                  </w:r>
                  <w:r>
                    <w:rPr>
                      <w:rFonts w:hint="eastAsia"/>
                      <w:color w:val="auto"/>
                    </w:rPr>
                    <w:t>据《排污许可证申请与核发技术规范电池工业》（HJ967-2018）中表19电池工业废气污染防治可行技术</w:t>
                  </w:r>
                  <w:r>
                    <w:rPr>
                      <w:rFonts w:hint="eastAsia"/>
                      <w:color w:val="auto"/>
                      <w:lang w:eastAsia="zh-CN"/>
                    </w:rPr>
                    <w:t>：</w:t>
                  </w:r>
                  <w:r>
                    <w:rPr>
                      <w:rFonts w:hint="eastAsia"/>
                      <w:color w:val="auto"/>
                      <w:lang w:val="en-US" w:eastAsia="zh-CN"/>
                    </w:rPr>
                    <w:t>本项目采用</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二级冷凝+转轮活性炭吸附再生</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工艺回收NMP为可行性工艺；NMP可以与水以任意比例混溶，回收后的NMP和吸收废液属于一般固体废弃物由厂家回收。</w:t>
                  </w:r>
                  <w:r>
                    <w:rPr>
                      <w:rFonts w:hint="default" w:ascii="Times New Roman" w:hAnsi="Times New Roman" w:eastAsia="宋体" w:cs="Times New Roman"/>
                      <w:color w:val="auto"/>
                      <w:sz w:val="21"/>
                      <w:szCs w:val="21"/>
                    </w:rPr>
                    <w:t>注液、化成废气</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NMP和电解液储存废气、危废暂存间废气</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辅房设置的</w:t>
                  </w:r>
                  <w:r>
                    <w:rPr>
                      <w:rFonts w:hint="eastAsia" w:ascii="Times New Roman" w:hAnsi="Times New Roman" w:eastAsia="宋体" w:cs="Times New Roman"/>
                      <w:color w:val="auto"/>
                      <w:sz w:val="21"/>
                      <w:szCs w:val="21"/>
                      <w:lang w:eastAsia="zh-CN"/>
                    </w:rPr>
                    <w:t>NMP和电解液暂存车间</w:t>
                  </w:r>
                  <w:r>
                    <w:rPr>
                      <w:rFonts w:hint="default" w:ascii="Times New Roman" w:hAnsi="Times New Roman" w:eastAsia="宋体" w:cs="Times New Roman"/>
                      <w:color w:val="auto"/>
                      <w:sz w:val="21"/>
                      <w:szCs w:val="21"/>
                    </w:rPr>
                    <w:t>废气</w:t>
                  </w:r>
                  <w:r>
                    <w:rPr>
                      <w:rFonts w:hint="eastAsia" w:cs="Times New Roman"/>
                      <w:color w:val="auto"/>
                      <w:sz w:val="21"/>
                      <w:szCs w:val="21"/>
                      <w:lang w:val="en-US" w:eastAsia="zh-CN"/>
                    </w:rPr>
                    <w:t>采用活性炭吸附为可行性工艺；定区更换的活性炭作为危险废物，委托具有资质的单位清运处置</w:t>
                  </w:r>
                  <w:r>
                    <w:rPr>
                      <w:rFonts w:hint="eastAsia"/>
                      <w:color w:val="auto"/>
                      <w:szCs w:val="21"/>
                      <w:lang w:eastAsia="zh-CN"/>
                    </w:rPr>
                    <w:t>。</w:t>
                  </w:r>
                </w:p>
              </w:tc>
              <w:tc>
                <w:tcPr>
                  <w:tcW w:w="405" w:type="pct"/>
                  <w:vAlign w:val="center"/>
                </w:tcPr>
                <w:p w14:paraId="2652EDAB">
                  <w:pPr>
                    <w:pStyle w:val="62"/>
                    <w:snapToGrid w:val="0"/>
                    <w:spacing w:before="72" w:beforeLines="30" w:after="72" w:afterLines="30"/>
                    <w:ind w:firstLine="0" w:firstLineChars="0"/>
                    <w:jc w:val="center"/>
                    <w:rPr>
                      <w:color w:val="auto"/>
                      <w:szCs w:val="21"/>
                    </w:rPr>
                  </w:pPr>
                  <w:r>
                    <w:rPr>
                      <w:rFonts w:hint="eastAsia"/>
                      <w:color w:val="auto"/>
                      <w:szCs w:val="21"/>
                    </w:rPr>
                    <w:t>符合</w:t>
                  </w:r>
                </w:p>
              </w:tc>
            </w:tr>
          </w:tbl>
          <w:p w14:paraId="50D21D91">
            <w:pPr>
              <w:autoSpaceDE w:val="0"/>
              <w:autoSpaceDN w:val="0"/>
              <w:adjustRightInd w:val="0"/>
              <w:snapToGrid w:val="0"/>
              <w:spacing w:line="360" w:lineRule="auto"/>
              <w:ind w:firstLine="422" w:firstLineChars="200"/>
              <w:rPr>
                <w:b/>
                <w:color w:val="auto"/>
                <w:szCs w:val="21"/>
              </w:rPr>
            </w:pPr>
            <w:r>
              <w:rPr>
                <w:rFonts w:hint="eastAsia"/>
                <w:b/>
                <w:bCs/>
                <w:color w:val="auto"/>
                <w:szCs w:val="21"/>
              </w:rPr>
              <w:t>1</w:t>
            </w:r>
            <w:r>
              <w:rPr>
                <w:rFonts w:hint="eastAsia"/>
                <w:b/>
                <w:bCs/>
                <w:color w:val="auto"/>
                <w:szCs w:val="21"/>
                <w:lang w:val="en-US" w:eastAsia="zh-CN"/>
              </w:rPr>
              <w:t>3</w:t>
            </w:r>
            <w:r>
              <w:rPr>
                <w:rFonts w:hint="eastAsia"/>
                <w:b/>
                <w:bCs/>
                <w:color w:val="auto"/>
                <w:szCs w:val="21"/>
              </w:rPr>
              <w:t>、</w:t>
            </w:r>
            <w:r>
              <w:rPr>
                <w:b/>
                <w:bCs/>
                <w:color w:val="auto"/>
                <w:szCs w:val="21"/>
              </w:rPr>
              <w:t>与《</w:t>
            </w:r>
            <w:r>
              <w:rPr>
                <w:rFonts w:hint="eastAsia"/>
                <w:b/>
                <w:bCs/>
                <w:color w:val="auto"/>
                <w:szCs w:val="21"/>
              </w:rPr>
              <w:t>关</w:t>
            </w:r>
            <w:r>
              <w:rPr>
                <w:rFonts w:hint="eastAsia"/>
                <w:b/>
                <w:color w:val="auto"/>
                <w:szCs w:val="21"/>
              </w:rPr>
              <w:t>于深入打好污染防治攻坚战的实施意见</w:t>
            </w:r>
            <w:r>
              <w:rPr>
                <w:b/>
                <w:color w:val="auto"/>
                <w:szCs w:val="21"/>
              </w:rPr>
              <w:t>》相符性</w:t>
            </w:r>
          </w:p>
          <w:p w14:paraId="27C513DA">
            <w:pPr>
              <w:pStyle w:val="36"/>
              <w:ind w:firstLine="420"/>
              <w:rPr>
                <w:color w:val="auto"/>
              </w:rPr>
            </w:pPr>
            <w:r>
              <w:rPr>
                <w:rFonts w:hint="eastAsia"/>
                <w:color w:val="auto"/>
              </w:rPr>
              <w:t>2022年7月27日云南省发布了《中共云南省委云南省人民政府关于深入打好污染防治攻坚战的实施意见》，本项目与其符合性分析见下表所示：</w:t>
            </w:r>
          </w:p>
          <w:p w14:paraId="4E97534F">
            <w:pPr>
              <w:pStyle w:val="39"/>
              <w:ind w:firstLine="422"/>
              <w:rPr>
                <w:color w:val="auto"/>
              </w:rPr>
            </w:pPr>
            <w:r>
              <w:rPr>
                <w:color w:val="auto"/>
              </w:rPr>
              <w:t>表1-</w:t>
            </w:r>
            <w:r>
              <w:rPr>
                <w:rFonts w:hint="eastAsia"/>
                <w:color w:val="auto"/>
              </w:rPr>
              <w:t>1</w:t>
            </w:r>
            <w:r>
              <w:rPr>
                <w:rFonts w:hint="eastAsia"/>
                <w:color w:val="auto"/>
                <w:lang w:val="en-US" w:eastAsia="zh-CN"/>
              </w:rPr>
              <w:t>4</w:t>
            </w:r>
            <w:r>
              <w:rPr>
                <w:color w:val="auto"/>
              </w:rPr>
              <w:t>项目与《</w:t>
            </w:r>
            <w:r>
              <w:rPr>
                <w:rFonts w:hint="eastAsia"/>
                <w:color w:val="auto"/>
              </w:rPr>
              <w:t>关于深入打好污染防治攻坚战的实施意见</w:t>
            </w:r>
            <w:r>
              <w:rPr>
                <w:color w:val="auto"/>
              </w:rPr>
              <w:t>》符合分析表</w:t>
            </w:r>
          </w:p>
          <w:tbl>
            <w:tblPr>
              <w:tblStyle w:val="26"/>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7"/>
              <w:gridCol w:w="4206"/>
              <w:gridCol w:w="645"/>
            </w:tblGrid>
            <w:tr w14:paraId="08B5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827" w:type="dxa"/>
                  <w:vAlign w:val="center"/>
                </w:tcPr>
                <w:p w14:paraId="1E63D19F">
                  <w:pPr>
                    <w:pStyle w:val="58"/>
                    <w:snapToGrid w:val="0"/>
                    <w:spacing w:before="72" w:beforeLines="30" w:after="72" w:afterLines="30" w:line="240" w:lineRule="auto"/>
                    <w:ind w:firstLine="0" w:firstLineChars="0"/>
                    <w:rPr>
                      <w:rFonts w:eastAsia="宋体"/>
                      <w:b/>
                      <w:bCs/>
                      <w:color w:val="auto"/>
                      <w:sz w:val="21"/>
                      <w:szCs w:val="21"/>
                    </w:rPr>
                  </w:pPr>
                  <w:r>
                    <w:rPr>
                      <w:rFonts w:hint="eastAsia" w:eastAsia="宋体"/>
                      <w:b/>
                      <w:bCs/>
                      <w:color w:val="auto"/>
                      <w:sz w:val="21"/>
                      <w:szCs w:val="21"/>
                    </w:rPr>
                    <w:t>意见要求</w:t>
                  </w:r>
                </w:p>
              </w:tc>
              <w:tc>
                <w:tcPr>
                  <w:tcW w:w="4206" w:type="dxa"/>
                  <w:vAlign w:val="center"/>
                </w:tcPr>
                <w:p w14:paraId="766D8505">
                  <w:pPr>
                    <w:pStyle w:val="58"/>
                    <w:snapToGrid w:val="0"/>
                    <w:spacing w:before="72" w:beforeLines="30" w:after="72" w:afterLines="30" w:line="240" w:lineRule="auto"/>
                    <w:ind w:firstLine="0" w:firstLineChars="0"/>
                    <w:rPr>
                      <w:rFonts w:eastAsia="宋体"/>
                      <w:b/>
                      <w:bCs/>
                      <w:color w:val="auto"/>
                      <w:sz w:val="21"/>
                      <w:szCs w:val="21"/>
                    </w:rPr>
                  </w:pPr>
                  <w:r>
                    <w:rPr>
                      <w:rFonts w:hint="eastAsia" w:eastAsia="宋体"/>
                      <w:b/>
                      <w:bCs/>
                      <w:color w:val="auto"/>
                      <w:sz w:val="21"/>
                      <w:szCs w:val="21"/>
                    </w:rPr>
                    <w:t>项目情况</w:t>
                  </w:r>
                </w:p>
              </w:tc>
              <w:tc>
                <w:tcPr>
                  <w:tcW w:w="645" w:type="dxa"/>
                  <w:vAlign w:val="center"/>
                </w:tcPr>
                <w:p w14:paraId="6294FCDC">
                  <w:pPr>
                    <w:pStyle w:val="58"/>
                    <w:snapToGrid w:val="0"/>
                    <w:spacing w:before="72" w:beforeLines="30" w:after="72" w:afterLines="30" w:line="240" w:lineRule="auto"/>
                    <w:ind w:firstLine="0" w:firstLineChars="0"/>
                    <w:rPr>
                      <w:rFonts w:eastAsia="宋体"/>
                      <w:b/>
                      <w:bCs/>
                      <w:color w:val="auto"/>
                      <w:sz w:val="21"/>
                      <w:szCs w:val="21"/>
                    </w:rPr>
                  </w:pPr>
                  <w:r>
                    <w:rPr>
                      <w:rFonts w:hint="eastAsia" w:eastAsia="宋体"/>
                      <w:b/>
                      <w:bCs/>
                      <w:color w:val="auto"/>
                      <w:sz w:val="21"/>
                      <w:szCs w:val="21"/>
                    </w:rPr>
                    <w:t>符合性</w:t>
                  </w:r>
                </w:p>
              </w:tc>
            </w:tr>
            <w:tr w14:paraId="60DE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8678" w:type="dxa"/>
                  <w:gridSpan w:val="3"/>
                  <w:vAlign w:val="center"/>
                </w:tcPr>
                <w:p w14:paraId="363315F4">
                  <w:pPr>
                    <w:autoSpaceDE w:val="0"/>
                    <w:autoSpaceDN w:val="0"/>
                    <w:adjustRightInd w:val="0"/>
                    <w:snapToGrid w:val="0"/>
                    <w:spacing w:before="72" w:beforeLines="30" w:after="72" w:afterLines="30"/>
                    <w:rPr>
                      <w:color w:val="auto"/>
                      <w:szCs w:val="21"/>
                    </w:rPr>
                  </w:pPr>
                  <w:r>
                    <w:rPr>
                      <w:rFonts w:hint="eastAsia"/>
                      <w:color w:val="auto"/>
                      <w:szCs w:val="21"/>
                    </w:rPr>
                    <w:t>三、深入打好蓝天保卫战</w:t>
                  </w:r>
                </w:p>
              </w:tc>
            </w:tr>
            <w:tr w14:paraId="569B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827" w:type="dxa"/>
                  <w:vAlign w:val="center"/>
                </w:tcPr>
                <w:p w14:paraId="409688ED">
                  <w:pPr>
                    <w:pStyle w:val="62"/>
                    <w:snapToGrid w:val="0"/>
                    <w:spacing w:before="72" w:beforeLines="30" w:after="72" w:afterLines="30"/>
                    <w:rPr>
                      <w:color w:val="auto"/>
                      <w:szCs w:val="21"/>
                    </w:rPr>
                  </w:pPr>
                  <w:r>
                    <w:rPr>
                      <w:color w:val="auto"/>
                      <w:szCs w:val="21"/>
                    </w:rPr>
                    <w:t>（一）持续打好柴油货车污染治理攻坚战。深入开展清洁柴油车（机）行动，基本淘汰国三及以下排放标准汽车。加大清洁能源汽车推广力度，推动氢燃料电池汽车示范应用。以大宗货物运输“公转铁”、“公转水”为重点推进运输结构调整。</w:t>
                  </w:r>
                </w:p>
              </w:tc>
              <w:tc>
                <w:tcPr>
                  <w:tcW w:w="4206" w:type="dxa"/>
                  <w:vAlign w:val="center"/>
                </w:tcPr>
                <w:p w14:paraId="6A0FC389">
                  <w:pPr>
                    <w:pStyle w:val="62"/>
                    <w:snapToGrid w:val="0"/>
                    <w:spacing w:before="72" w:beforeLines="30" w:after="72" w:afterLines="30"/>
                    <w:rPr>
                      <w:color w:val="auto"/>
                      <w:szCs w:val="21"/>
                    </w:rPr>
                  </w:pPr>
                  <w:r>
                    <w:rPr>
                      <w:rFonts w:hint="eastAsia"/>
                      <w:color w:val="auto"/>
                      <w:szCs w:val="21"/>
                    </w:rPr>
                    <w:t>本项目使用叉车及其他运输车辆，不属于</w:t>
                  </w:r>
                  <w:r>
                    <w:rPr>
                      <w:color w:val="auto"/>
                      <w:szCs w:val="21"/>
                    </w:rPr>
                    <w:t>国三及以下排放标准汽车</w:t>
                  </w:r>
                  <w:r>
                    <w:rPr>
                      <w:rFonts w:hint="eastAsia"/>
                      <w:color w:val="auto"/>
                      <w:szCs w:val="21"/>
                    </w:rPr>
                    <w:t>。</w:t>
                  </w:r>
                </w:p>
              </w:tc>
              <w:tc>
                <w:tcPr>
                  <w:tcW w:w="645" w:type="dxa"/>
                  <w:vAlign w:val="center"/>
                </w:tcPr>
                <w:p w14:paraId="79CD5DFF">
                  <w:pPr>
                    <w:autoSpaceDE w:val="0"/>
                    <w:autoSpaceDN w:val="0"/>
                    <w:adjustRightInd w:val="0"/>
                    <w:snapToGrid w:val="0"/>
                    <w:spacing w:before="72" w:beforeLines="30" w:after="72" w:afterLines="30"/>
                    <w:jc w:val="center"/>
                    <w:rPr>
                      <w:color w:val="auto"/>
                      <w:szCs w:val="21"/>
                    </w:rPr>
                  </w:pPr>
                  <w:r>
                    <w:rPr>
                      <w:rFonts w:hint="eastAsia"/>
                      <w:color w:val="auto"/>
                      <w:szCs w:val="21"/>
                    </w:rPr>
                    <w:t>符合</w:t>
                  </w:r>
                </w:p>
              </w:tc>
            </w:tr>
            <w:tr w14:paraId="0E94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827" w:type="dxa"/>
                  <w:vAlign w:val="center"/>
                </w:tcPr>
                <w:p w14:paraId="366592E0">
                  <w:pPr>
                    <w:pStyle w:val="62"/>
                    <w:snapToGrid w:val="0"/>
                    <w:spacing w:before="72" w:beforeLines="30" w:after="72" w:afterLines="30"/>
                    <w:rPr>
                      <w:color w:val="auto"/>
                      <w:szCs w:val="21"/>
                    </w:rPr>
                  </w:pPr>
                  <w:r>
                    <w:rPr>
                      <w:color w:val="auto"/>
                      <w:szCs w:val="21"/>
                    </w:rPr>
                    <w:t>（二）深入打好建筑施工工地扬尘污染治理攻坚战。全面推行绿色施工，落实施工工地“六个百分之百”工作要求，推动扬尘精细化管控。加强建筑渣土运输管理，严格落实密闭运输措施。强化施工、道路、堆场、裸露地面等扬尘管控。</w:t>
                  </w:r>
                </w:p>
              </w:tc>
              <w:tc>
                <w:tcPr>
                  <w:tcW w:w="4206" w:type="dxa"/>
                  <w:vAlign w:val="center"/>
                </w:tcPr>
                <w:p w14:paraId="71C06BB2">
                  <w:pPr>
                    <w:pStyle w:val="62"/>
                    <w:snapToGrid w:val="0"/>
                    <w:spacing w:before="72" w:beforeLines="30" w:after="72" w:afterLines="30"/>
                    <w:rPr>
                      <w:color w:val="auto"/>
                      <w:szCs w:val="21"/>
                    </w:rPr>
                  </w:pPr>
                  <w:r>
                    <w:rPr>
                      <w:rFonts w:hint="eastAsia"/>
                      <w:color w:val="auto"/>
                      <w:szCs w:val="21"/>
                    </w:rPr>
                    <w:t>本项目建设标准厂房，</w:t>
                  </w:r>
                  <w:r>
                    <w:rPr>
                      <w:color w:val="auto"/>
                      <w:szCs w:val="21"/>
                    </w:rPr>
                    <w:t>全面推行绿色施工，落实施工工地“六个百分之百”工作要求</w:t>
                  </w:r>
                  <w:r>
                    <w:rPr>
                      <w:rFonts w:hint="eastAsia"/>
                      <w:color w:val="auto"/>
                      <w:szCs w:val="21"/>
                      <w:lang w:eastAsia="zh-CN"/>
                    </w:rPr>
                    <w:t>，</w:t>
                  </w:r>
                  <w:r>
                    <w:rPr>
                      <w:rFonts w:hint="eastAsia"/>
                      <w:color w:val="auto"/>
                      <w:szCs w:val="21"/>
                      <w:lang w:val="en-US" w:eastAsia="zh-CN"/>
                    </w:rPr>
                    <w:t>根据本次评价提出的措施，</w:t>
                  </w:r>
                  <w:r>
                    <w:rPr>
                      <w:rFonts w:hint="eastAsia"/>
                      <w:color w:val="auto"/>
                      <w:szCs w:val="21"/>
                    </w:rPr>
                    <w:t>施工工地产生的扬尘量少，</w:t>
                  </w:r>
                  <w:r>
                    <w:rPr>
                      <w:rFonts w:hint="eastAsia"/>
                      <w:color w:val="auto"/>
                      <w:szCs w:val="21"/>
                      <w:lang w:val="en-US" w:eastAsia="zh-CN"/>
                    </w:rPr>
                    <w:t>施工</w:t>
                  </w:r>
                  <w:r>
                    <w:rPr>
                      <w:rFonts w:hint="eastAsia"/>
                      <w:color w:val="auto"/>
                      <w:szCs w:val="21"/>
                    </w:rPr>
                    <w:t>扬尘排放</w:t>
                  </w:r>
                  <w:r>
                    <w:rPr>
                      <w:rFonts w:hint="eastAsia"/>
                      <w:color w:val="auto"/>
                      <w:szCs w:val="21"/>
                      <w:lang w:val="en-US" w:eastAsia="zh-CN"/>
                    </w:rPr>
                    <w:t>可控</w:t>
                  </w:r>
                  <w:r>
                    <w:rPr>
                      <w:rFonts w:hint="eastAsia"/>
                      <w:color w:val="auto"/>
                      <w:szCs w:val="21"/>
                    </w:rPr>
                    <w:t>。施工期产生的</w:t>
                  </w:r>
                  <w:r>
                    <w:rPr>
                      <w:rFonts w:hint="eastAsia"/>
                      <w:color w:val="auto"/>
                    </w:rPr>
                    <w:t>废包装材料</w:t>
                  </w:r>
                  <w:r>
                    <w:rPr>
                      <w:rFonts w:hint="eastAsia"/>
                      <w:color w:val="auto"/>
                      <w:lang w:val="en-US" w:eastAsia="zh-CN"/>
                    </w:rPr>
                    <w:t>可回收利用的回收利用，不可回收利用的</w:t>
                  </w:r>
                  <w:r>
                    <w:rPr>
                      <w:rFonts w:hint="eastAsia"/>
                      <w:color w:val="auto"/>
                    </w:rPr>
                    <w:t>集中收集后交由专业的运渣公司清运至玉溪市指定的建筑垃圾堆放点进行处置，运输过程车厢设置覆盖设施，严禁随意倾弃；生活垃圾统一收集后放至指定地点，由环卫部门清运处置；建筑垃圾可回收利用的，集中收集后外售给废品收购站处理；不能回收利用的，集中收集后交由专业的运渣公司清运至玉溪市指定的建筑垃圾堆放点进行处置，运输过程车厢设置覆盖设施，严禁随意倾弃。</w:t>
                  </w:r>
                </w:p>
              </w:tc>
              <w:tc>
                <w:tcPr>
                  <w:tcW w:w="645" w:type="dxa"/>
                  <w:vAlign w:val="center"/>
                </w:tcPr>
                <w:p w14:paraId="7DF08113">
                  <w:pPr>
                    <w:autoSpaceDE w:val="0"/>
                    <w:autoSpaceDN w:val="0"/>
                    <w:adjustRightInd w:val="0"/>
                    <w:snapToGrid w:val="0"/>
                    <w:spacing w:before="72" w:beforeLines="30" w:after="72" w:afterLines="30"/>
                    <w:jc w:val="center"/>
                    <w:rPr>
                      <w:color w:val="auto"/>
                      <w:szCs w:val="21"/>
                    </w:rPr>
                  </w:pPr>
                  <w:r>
                    <w:rPr>
                      <w:rFonts w:hint="eastAsia"/>
                      <w:color w:val="auto"/>
                      <w:szCs w:val="21"/>
                    </w:rPr>
                    <w:t>符合</w:t>
                  </w:r>
                </w:p>
              </w:tc>
            </w:tr>
            <w:tr w14:paraId="5B15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827" w:type="dxa"/>
                  <w:vAlign w:val="center"/>
                </w:tcPr>
                <w:p w14:paraId="77FE93DE">
                  <w:pPr>
                    <w:pStyle w:val="62"/>
                    <w:snapToGrid w:val="0"/>
                    <w:spacing w:before="72" w:beforeLines="30" w:after="72" w:afterLines="30"/>
                    <w:rPr>
                      <w:color w:val="auto"/>
                      <w:szCs w:val="21"/>
                    </w:rPr>
                  </w:pPr>
                  <w:r>
                    <w:rPr>
                      <w:color w:val="auto"/>
                      <w:szCs w:val="21"/>
                    </w:rPr>
                    <w:t>（三）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4206" w:type="dxa"/>
                  <w:vAlign w:val="center"/>
                </w:tcPr>
                <w:p w14:paraId="7C7B937F">
                  <w:pPr>
                    <w:pStyle w:val="62"/>
                    <w:snapToGrid w:val="0"/>
                    <w:spacing w:before="72" w:beforeLines="30" w:after="72" w:afterLines="30"/>
                    <w:rPr>
                      <w:color w:val="auto"/>
                      <w:szCs w:val="21"/>
                    </w:rPr>
                  </w:pPr>
                  <w:r>
                    <w:rPr>
                      <w:rFonts w:hint="eastAsia"/>
                      <w:color w:val="auto"/>
                      <w:szCs w:val="21"/>
                    </w:rPr>
                    <w:t>本项目</w:t>
                  </w:r>
                  <w:r>
                    <w:rPr>
                      <w:rFonts w:hint="eastAsia"/>
                      <w:color w:val="auto"/>
                      <w:lang w:val="en-US" w:eastAsia="zh-CN"/>
                    </w:rPr>
                    <w:t>涂布、烘干装置为</w:t>
                  </w:r>
                  <w:r>
                    <w:rPr>
                      <w:rFonts w:hint="eastAsia" w:ascii="Times New Roman" w:hAnsi="Times New Roman" w:eastAsia="宋体" w:cs="Times New Roman"/>
                      <w:b w:val="0"/>
                      <w:bCs/>
                      <w:color w:val="auto"/>
                      <w:sz w:val="21"/>
                      <w:szCs w:val="21"/>
                      <w:lang w:val="en-US" w:eastAsia="zh-CN"/>
                    </w:rPr>
                    <w:t>封闭</w:t>
                  </w:r>
                  <w:r>
                    <w:rPr>
                      <w:rFonts w:hint="default" w:ascii="Times New Roman" w:hAnsi="Times New Roman" w:eastAsia="宋体" w:cs="Times New Roman"/>
                      <w:b w:val="0"/>
                      <w:bCs/>
                      <w:color w:val="auto"/>
                      <w:sz w:val="21"/>
                      <w:szCs w:val="21"/>
                      <w:lang w:val="en-US" w:eastAsia="zh-CN"/>
                    </w:rPr>
                    <w:t>系统</w:t>
                  </w:r>
                  <w:r>
                    <w:rPr>
                      <w:rFonts w:hint="eastAsia" w:ascii="Times New Roman" w:hAnsi="Times New Roman" w:eastAsia="宋体" w:cs="Times New Roman"/>
                      <w:b w:val="0"/>
                      <w:bCs/>
                      <w:color w:val="auto"/>
                      <w:sz w:val="21"/>
                      <w:szCs w:val="21"/>
                      <w:lang w:val="en-US" w:eastAsia="zh-CN"/>
                    </w:rPr>
                    <w:t>，产生的</w:t>
                  </w:r>
                  <w:r>
                    <w:rPr>
                      <w:rFonts w:hint="eastAsia"/>
                      <w:color w:val="auto"/>
                    </w:rPr>
                    <w:t>废气经</w:t>
                  </w:r>
                  <w:r>
                    <w:rPr>
                      <w:rFonts w:hint="eastAsia"/>
                      <w:color w:val="auto"/>
                      <w:lang w:val="en-US" w:eastAsia="zh-CN"/>
                    </w:rPr>
                    <w:t>NMP回收装置</w:t>
                  </w:r>
                  <w:r>
                    <w:rPr>
                      <w:rFonts w:hint="eastAsia"/>
                      <w:color w:val="auto"/>
                    </w:rPr>
                    <w:t>“</w:t>
                  </w:r>
                  <w:r>
                    <w:rPr>
                      <w:rFonts w:hint="eastAsia"/>
                      <w:color w:val="auto"/>
                      <w:lang w:eastAsia="zh-CN"/>
                    </w:rPr>
                    <w:t>二级冷凝+转轮活性炭吸附再生</w:t>
                  </w:r>
                  <w:r>
                    <w:rPr>
                      <w:rFonts w:hint="eastAsia"/>
                      <w:color w:val="auto"/>
                    </w:rPr>
                    <w:t>”（TA001）处理后由25m高排气筒（DA001）排放；</w:t>
                  </w:r>
                  <w:r>
                    <w:rPr>
                      <w:rFonts w:hint="eastAsia"/>
                      <w:color w:val="auto"/>
                      <w:lang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eastAsia"/>
                      <w:color w:val="auto"/>
                      <w:kern w:val="0"/>
                      <w:szCs w:val="21"/>
                    </w:rPr>
                    <w:t>，</w:t>
                  </w:r>
                  <w:r>
                    <w:rPr>
                      <w:rFonts w:hint="eastAsia"/>
                      <w:color w:val="auto"/>
                      <w:lang w:val="en-US" w:eastAsia="zh-CN"/>
                    </w:rPr>
                    <w:t>根</w:t>
                  </w:r>
                  <w:r>
                    <w:rPr>
                      <w:rFonts w:hint="eastAsia"/>
                      <w:color w:val="auto"/>
                    </w:rPr>
                    <w:t>据《排污许可证申请与核发技术规范电池工业》（HJ967-2018）中表19电池工业废气污染防治可行技术</w:t>
                  </w:r>
                  <w:r>
                    <w:rPr>
                      <w:rFonts w:hint="eastAsia"/>
                      <w:color w:val="auto"/>
                      <w:lang w:eastAsia="zh-CN"/>
                    </w:rPr>
                    <w:t>，</w:t>
                  </w:r>
                  <w:r>
                    <w:rPr>
                      <w:rFonts w:hint="eastAsia"/>
                      <w:color w:val="auto"/>
                      <w:szCs w:val="21"/>
                    </w:rPr>
                    <w:t>能够高效治理挥发性有机物。</w:t>
                  </w:r>
                  <w:r>
                    <w:rPr>
                      <w:rFonts w:hint="eastAsia"/>
                      <w:color w:val="auto"/>
                      <w:szCs w:val="21"/>
                      <w:lang w:val="en-US" w:eastAsia="zh-CN"/>
                    </w:rPr>
                    <w:t>本项目</w:t>
                  </w:r>
                  <w:r>
                    <w:rPr>
                      <w:rFonts w:hint="eastAsia"/>
                      <w:color w:val="auto"/>
                      <w:szCs w:val="21"/>
                    </w:rPr>
                    <w:t>不属于钢铁、</w:t>
                  </w:r>
                  <w:r>
                    <w:rPr>
                      <w:color w:val="auto"/>
                      <w:szCs w:val="21"/>
                    </w:rPr>
                    <w:t>煤电、水泥、焦化企业</w:t>
                  </w:r>
                  <w:r>
                    <w:rPr>
                      <w:rFonts w:hint="eastAsia"/>
                      <w:color w:val="auto"/>
                      <w:szCs w:val="21"/>
                    </w:rPr>
                    <w:t>。</w:t>
                  </w:r>
                </w:p>
              </w:tc>
              <w:tc>
                <w:tcPr>
                  <w:tcW w:w="645" w:type="dxa"/>
                  <w:vAlign w:val="center"/>
                </w:tcPr>
                <w:p w14:paraId="2BD6660D">
                  <w:pPr>
                    <w:autoSpaceDE w:val="0"/>
                    <w:autoSpaceDN w:val="0"/>
                    <w:adjustRightInd w:val="0"/>
                    <w:snapToGrid w:val="0"/>
                    <w:spacing w:before="72" w:beforeLines="30" w:after="72" w:afterLines="30"/>
                    <w:jc w:val="center"/>
                    <w:rPr>
                      <w:color w:val="auto"/>
                      <w:szCs w:val="21"/>
                    </w:rPr>
                  </w:pPr>
                  <w:r>
                    <w:rPr>
                      <w:rFonts w:hint="eastAsia"/>
                      <w:color w:val="auto"/>
                      <w:szCs w:val="21"/>
                    </w:rPr>
                    <w:t>符合</w:t>
                  </w:r>
                </w:p>
              </w:tc>
            </w:tr>
            <w:tr w14:paraId="25E2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827" w:type="dxa"/>
                  <w:vAlign w:val="center"/>
                </w:tcPr>
                <w:p w14:paraId="6C35C89C">
                  <w:pPr>
                    <w:pStyle w:val="62"/>
                    <w:snapToGrid w:val="0"/>
                    <w:spacing w:before="72" w:beforeLines="30" w:after="72" w:afterLines="30"/>
                    <w:rPr>
                      <w:color w:val="auto"/>
                      <w:szCs w:val="21"/>
                    </w:rPr>
                  </w:pPr>
                  <w:r>
                    <w:rPr>
                      <w:color w:val="auto"/>
                      <w:szCs w:val="21"/>
                    </w:rPr>
                    <w:t>（四）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4206" w:type="dxa"/>
                  <w:vAlign w:val="center"/>
                </w:tcPr>
                <w:p w14:paraId="665DF10C">
                  <w:pPr>
                    <w:pStyle w:val="62"/>
                    <w:snapToGrid w:val="0"/>
                    <w:spacing w:before="72" w:beforeLines="30" w:after="72" w:afterLines="30"/>
                    <w:rPr>
                      <w:color w:val="auto"/>
                      <w:szCs w:val="21"/>
                    </w:rPr>
                  </w:pPr>
                  <w:r>
                    <w:rPr>
                      <w:rFonts w:hint="eastAsia"/>
                      <w:color w:val="auto"/>
                      <w:szCs w:val="21"/>
                    </w:rPr>
                    <w:t>本项目有效治理废气、防治噪声污染，对区域大气和声环境质量影响不大。</w:t>
                  </w:r>
                </w:p>
              </w:tc>
              <w:tc>
                <w:tcPr>
                  <w:tcW w:w="645" w:type="dxa"/>
                  <w:vAlign w:val="center"/>
                </w:tcPr>
                <w:p w14:paraId="3CF5343F">
                  <w:pPr>
                    <w:autoSpaceDE w:val="0"/>
                    <w:autoSpaceDN w:val="0"/>
                    <w:adjustRightInd w:val="0"/>
                    <w:snapToGrid w:val="0"/>
                    <w:spacing w:before="72" w:beforeLines="30" w:after="72" w:afterLines="30"/>
                    <w:jc w:val="center"/>
                    <w:rPr>
                      <w:color w:val="auto"/>
                      <w:szCs w:val="21"/>
                    </w:rPr>
                  </w:pPr>
                  <w:r>
                    <w:rPr>
                      <w:rFonts w:hint="eastAsia"/>
                      <w:color w:val="auto"/>
                      <w:szCs w:val="21"/>
                    </w:rPr>
                    <w:t>符合</w:t>
                  </w:r>
                </w:p>
              </w:tc>
            </w:tr>
          </w:tbl>
          <w:p w14:paraId="00057379">
            <w:pPr>
              <w:pStyle w:val="62"/>
              <w:spacing w:line="360" w:lineRule="auto"/>
              <w:ind w:firstLine="422"/>
              <w:rPr>
                <w:b/>
                <w:bCs/>
                <w:color w:val="auto"/>
                <w:szCs w:val="21"/>
              </w:rPr>
            </w:pPr>
            <w:r>
              <w:rPr>
                <w:rFonts w:hint="eastAsia"/>
                <w:b/>
                <w:bCs/>
                <w:color w:val="auto"/>
                <w:szCs w:val="21"/>
              </w:rPr>
              <w:t>1</w:t>
            </w:r>
            <w:r>
              <w:rPr>
                <w:rFonts w:hint="eastAsia"/>
                <w:b/>
                <w:bCs/>
                <w:color w:val="auto"/>
                <w:szCs w:val="21"/>
                <w:lang w:val="en-US" w:eastAsia="zh-CN"/>
              </w:rPr>
              <w:t>4</w:t>
            </w:r>
            <w:r>
              <w:rPr>
                <w:rFonts w:hint="eastAsia"/>
                <w:b/>
                <w:bCs/>
                <w:color w:val="auto"/>
                <w:szCs w:val="21"/>
              </w:rPr>
              <w:t>、</w:t>
            </w:r>
            <w:r>
              <w:rPr>
                <w:b/>
                <w:bCs/>
                <w:color w:val="auto"/>
                <w:szCs w:val="21"/>
              </w:rPr>
              <w:t>与</w:t>
            </w:r>
            <w:r>
              <w:rPr>
                <w:rFonts w:hint="eastAsia"/>
                <w:b/>
                <w:bCs/>
                <w:color w:val="auto"/>
                <w:szCs w:val="21"/>
                <w:lang w:eastAsia="zh-CN"/>
              </w:rPr>
              <w:t>《云南省空气质量持续改善行动实施方案》</w:t>
            </w:r>
            <w:r>
              <w:rPr>
                <w:b/>
                <w:bCs/>
                <w:color w:val="auto"/>
                <w:szCs w:val="21"/>
              </w:rPr>
              <w:t>的符合性分析</w:t>
            </w:r>
          </w:p>
          <w:p w14:paraId="6C2BA054">
            <w:pPr>
              <w:pStyle w:val="62"/>
              <w:spacing w:line="360" w:lineRule="auto"/>
              <w:rPr>
                <w:color w:val="auto"/>
                <w:szCs w:val="21"/>
              </w:rPr>
            </w:pPr>
            <w:r>
              <w:rPr>
                <w:color w:val="auto"/>
                <w:szCs w:val="21"/>
              </w:rPr>
              <w:t>根据</w:t>
            </w:r>
            <w:r>
              <w:rPr>
                <w:rFonts w:hint="eastAsia"/>
                <w:color w:val="auto"/>
                <w:szCs w:val="21"/>
              </w:rPr>
              <w:t>云南省人民政府关于印发《云南省空气质量持续改善行动实施方案》的通知</w:t>
            </w:r>
            <w:r>
              <w:rPr>
                <w:color w:val="auto"/>
                <w:szCs w:val="21"/>
              </w:rPr>
              <w:t>，</w:t>
            </w:r>
            <w:r>
              <w:rPr>
                <w:rFonts w:hint="eastAsia"/>
                <w:color w:val="auto"/>
                <w:szCs w:val="21"/>
                <w:lang w:val="en-US" w:eastAsia="zh-CN"/>
              </w:rPr>
              <w:t>文号：云政发〔2024〕14号，</w:t>
            </w:r>
            <w:r>
              <w:rPr>
                <w:color w:val="auto"/>
                <w:szCs w:val="21"/>
              </w:rPr>
              <w:t>分析如下：</w:t>
            </w:r>
          </w:p>
          <w:p w14:paraId="60B29945">
            <w:pPr>
              <w:pStyle w:val="62"/>
              <w:ind w:left="0" w:leftChars="0" w:firstLine="0" w:firstLineChars="0"/>
              <w:jc w:val="center"/>
              <w:rPr>
                <w:rFonts w:hint="default" w:eastAsia="宋体"/>
                <w:b/>
                <w:bCs/>
                <w:color w:val="auto"/>
                <w:szCs w:val="21"/>
                <w:lang w:val="en-US" w:eastAsia="zh-CN"/>
              </w:rPr>
            </w:pPr>
            <w:r>
              <w:rPr>
                <w:b/>
                <w:bCs/>
                <w:color w:val="auto"/>
                <w:szCs w:val="21"/>
              </w:rPr>
              <w:t>表1-1</w:t>
            </w:r>
            <w:r>
              <w:rPr>
                <w:rFonts w:hint="eastAsia"/>
                <w:b/>
                <w:bCs/>
                <w:color w:val="auto"/>
                <w:szCs w:val="21"/>
                <w:lang w:val="en-US" w:eastAsia="zh-CN"/>
              </w:rPr>
              <w:t>5</w:t>
            </w:r>
            <w:r>
              <w:rPr>
                <w:b/>
                <w:bCs/>
                <w:color w:val="auto"/>
                <w:szCs w:val="21"/>
              </w:rPr>
              <w:t>项目与《</w:t>
            </w:r>
            <w:r>
              <w:rPr>
                <w:rFonts w:hint="eastAsia"/>
                <w:b/>
                <w:bCs/>
                <w:color w:val="auto"/>
                <w:szCs w:val="21"/>
              </w:rPr>
              <w:t>云南省空气质量持续改善行动实施方案</w:t>
            </w:r>
            <w:r>
              <w:rPr>
                <w:b/>
                <w:bCs/>
                <w:color w:val="auto"/>
                <w:szCs w:val="21"/>
              </w:rPr>
              <w:t>》的符合性分析表</w:t>
            </w:r>
            <w:r>
              <w:rPr>
                <w:rFonts w:hint="eastAsia"/>
                <w:b/>
                <w:bCs/>
                <w:color w:val="auto"/>
                <w:szCs w:val="21"/>
                <w:lang w:val="en-US" w:eastAsia="zh-CN"/>
              </w:rPr>
              <w:t>(摘抄)</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4204"/>
              <w:gridCol w:w="3165"/>
              <w:gridCol w:w="577"/>
            </w:tblGrid>
            <w:tr w14:paraId="2547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83" w:type="pct"/>
                  <w:gridSpan w:val="2"/>
                  <w:vAlign w:val="center"/>
                </w:tcPr>
                <w:p w14:paraId="3EAEE347">
                  <w:pPr>
                    <w:pStyle w:val="62"/>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通知要求</w:t>
                  </w:r>
                </w:p>
              </w:tc>
              <w:tc>
                <w:tcPr>
                  <w:tcW w:w="1790" w:type="pct"/>
                  <w:vAlign w:val="center"/>
                </w:tcPr>
                <w:p w14:paraId="5651F442">
                  <w:pPr>
                    <w:pStyle w:val="62"/>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项目情况</w:t>
                  </w:r>
                </w:p>
              </w:tc>
              <w:tc>
                <w:tcPr>
                  <w:tcW w:w="326" w:type="pct"/>
                  <w:vAlign w:val="center"/>
                </w:tcPr>
                <w:p w14:paraId="21145D2C">
                  <w:pPr>
                    <w:pStyle w:val="62"/>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14:paraId="04D8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35EE01C0">
                  <w:pPr>
                    <w:pStyle w:val="62"/>
                    <w:ind w:firstLine="0" w:firstLineChars="0"/>
                    <w:jc w:val="center"/>
                    <w:rPr>
                      <w:rFonts w:hint="default" w:ascii="Times New Roman" w:hAnsi="Times New Roman" w:eastAsia="宋体" w:cs="Times New Roman"/>
                      <w:color w:val="auto"/>
                      <w:sz w:val="21"/>
                      <w:szCs w:val="21"/>
                    </w:rPr>
                  </w:pPr>
                  <w:r>
                    <w:rPr>
                      <w:rStyle w:val="28"/>
                      <w:rFonts w:hint="default" w:ascii="Times New Roman" w:hAnsi="Times New Roman" w:eastAsia="宋体" w:cs="Times New Roman"/>
                      <w:i w:val="0"/>
                      <w:iCs w:val="0"/>
                      <w:caps w:val="0"/>
                      <w:color w:val="333333"/>
                      <w:spacing w:val="0"/>
                      <w:sz w:val="21"/>
                      <w:szCs w:val="21"/>
                      <w:shd w:val="clear" w:fill="FFFFFF"/>
                    </w:rPr>
                    <w:t>二、优化产业结构</w:t>
                  </w:r>
                </w:p>
              </w:tc>
              <w:tc>
                <w:tcPr>
                  <w:tcW w:w="2378" w:type="pct"/>
                  <w:vAlign w:val="center"/>
                </w:tcPr>
                <w:p w14:paraId="7CEC0E2F">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i w:val="0"/>
                      <w:iCs w:val="0"/>
                      <w:caps w:val="0"/>
                      <w:color w:val="333333"/>
                      <w:spacing w:val="0"/>
                      <w:sz w:val="21"/>
                      <w:szCs w:val="21"/>
                    </w:rPr>
                  </w:pPr>
                  <w:r>
                    <w:rPr>
                      <w:rFonts w:hint="default" w:ascii="Times New Roman" w:hAnsi="Times New Roman" w:eastAsia="宋体" w:cs="Times New Roman"/>
                      <w:i w:val="0"/>
                      <w:iCs w:val="0"/>
                      <w:caps w:val="0"/>
                      <w:color w:val="333333"/>
                      <w:spacing w:val="0"/>
                      <w:sz w:val="21"/>
                      <w:szCs w:val="21"/>
                      <w:shd w:val="clear" w:fill="FFFFFF"/>
                    </w:rPr>
                    <w:t>（四）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p w14:paraId="06C6001D">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333333"/>
                      <w:spacing w:val="0"/>
                      <w:sz w:val="21"/>
                      <w:szCs w:val="21"/>
                      <w:shd w:val="clear" w:fill="FFFFFF"/>
                    </w:rPr>
                    <w:t>（五）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r>
                    <w:rPr>
                      <w:rFonts w:hint="default" w:ascii="Times New Roman" w:hAnsi="Times New Roman" w:eastAsia="宋体" w:cs="Times New Roman"/>
                      <w:color w:val="auto"/>
                      <w:sz w:val="21"/>
                      <w:szCs w:val="21"/>
                    </w:rPr>
                    <w:t>。</w:t>
                  </w:r>
                </w:p>
              </w:tc>
              <w:tc>
                <w:tcPr>
                  <w:tcW w:w="1790" w:type="pct"/>
                  <w:vAlign w:val="center"/>
                </w:tcPr>
                <w:p w14:paraId="5BDB5AB9">
                  <w:pPr>
                    <w:pStyle w:val="62"/>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本项目属于</w:t>
                  </w:r>
                  <w:r>
                    <w:rPr>
                      <w:rFonts w:hint="default" w:ascii="Times New Roman" w:hAnsi="Times New Roman" w:eastAsia="宋体" w:cs="Times New Roman"/>
                      <w:color w:val="auto"/>
                      <w:sz w:val="21"/>
                      <w:szCs w:val="21"/>
                      <w:lang w:val="en-US" w:eastAsia="zh-CN"/>
                    </w:rPr>
                    <w:t>锂电池制造业</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i w:val="0"/>
                      <w:iCs w:val="0"/>
                      <w:caps w:val="0"/>
                      <w:color w:val="333333"/>
                      <w:spacing w:val="0"/>
                      <w:sz w:val="21"/>
                      <w:szCs w:val="21"/>
                      <w:shd w:val="clear" w:fill="FFFFFF"/>
                    </w:rPr>
                    <w:t>高VOCs含量涂料、油墨、胶粘剂、清洗剂等建设项目</w:t>
                  </w:r>
                  <w:r>
                    <w:rPr>
                      <w:rFonts w:hint="eastAsia" w:cs="Times New Roman"/>
                      <w:i w:val="0"/>
                      <w:iCs w:val="0"/>
                      <w:caps w:val="0"/>
                      <w:color w:val="333333"/>
                      <w:spacing w:val="0"/>
                      <w:sz w:val="21"/>
                      <w:szCs w:val="21"/>
                      <w:shd w:val="clear" w:fill="FFFFFF"/>
                      <w:lang w:eastAsia="zh-CN"/>
                    </w:rPr>
                    <w:t>；</w:t>
                  </w:r>
                  <w:r>
                    <w:rPr>
                      <w:rFonts w:hint="eastAsia" w:ascii="Times New Roman" w:hAnsi="Times New Roman" w:eastAsia="宋体" w:cs="Times New Roman"/>
                      <w:color w:val="auto"/>
                      <w:sz w:val="21"/>
                      <w:szCs w:val="21"/>
                      <w:lang w:val="en-US" w:eastAsia="zh-CN"/>
                    </w:rPr>
                    <w:t>目前使用NMP作为正极材料的溶剂，低挥发性溶剂替代物在研究中心研发测试中；项目墙漆涂料使用</w:t>
                  </w:r>
                  <w:r>
                    <w:rPr>
                      <w:rFonts w:hint="default" w:ascii="Times New Roman" w:hAnsi="Times New Roman" w:eastAsia="宋体" w:cs="Times New Roman"/>
                      <w:i w:val="0"/>
                      <w:iCs w:val="0"/>
                      <w:caps w:val="0"/>
                      <w:color w:val="333333"/>
                      <w:spacing w:val="0"/>
                      <w:sz w:val="21"/>
                      <w:szCs w:val="21"/>
                      <w:shd w:val="clear" w:fill="FFFFFF"/>
                    </w:rPr>
                    <w:t>低（无）VOCs含量涂料</w:t>
                  </w:r>
                  <w:r>
                    <w:rPr>
                      <w:rFonts w:hint="eastAsia" w:cs="Times New Roman"/>
                      <w:i w:val="0"/>
                      <w:iCs w:val="0"/>
                      <w:caps w:val="0"/>
                      <w:color w:val="333333"/>
                      <w:spacing w:val="0"/>
                      <w:sz w:val="21"/>
                      <w:szCs w:val="21"/>
                      <w:shd w:val="clear" w:fill="FFFFFF"/>
                      <w:lang w:eastAsia="zh-CN"/>
                    </w:rPr>
                    <w:t>。</w:t>
                  </w:r>
                </w:p>
                <w:p w14:paraId="74FF1872">
                  <w:pPr>
                    <w:pStyle w:val="62"/>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2、采用</w:t>
                  </w:r>
                  <w:r>
                    <w:rPr>
                      <w:rFonts w:hint="eastAsia"/>
                      <w:color w:val="auto"/>
                    </w:rPr>
                    <w:t>“</w:t>
                  </w:r>
                  <w:r>
                    <w:rPr>
                      <w:rFonts w:hint="eastAsia"/>
                      <w:color w:val="auto"/>
                      <w:lang w:eastAsia="zh-CN"/>
                    </w:rPr>
                    <w:t>二级冷凝+转轮活性炭吸附再生</w:t>
                  </w:r>
                  <w:r>
                    <w:rPr>
                      <w:rFonts w:hint="eastAsia"/>
                      <w:color w:val="auto"/>
                    </w:rPr>
                    <w:t>”</w:t>
                  </w:r>
                  <w:r>
                    <w:rPr>
                      <w:rFonts w:hint="eastAsia"/>
                      <w:color w:val="auto"/>
                      <w:lang w:val="en-US" w:eastAsia="zh-CN"/>
                    </w:rPr>
                    <w:t>回收NMP，减少VOCs的排放</w:t>
                  </w:r>
                  <w:r>
                    <w:rPr>
                      <w:rFonts w:hint="default" w:ascii="Times New Roman" w:hAnsi="Times New Roman" w:eastAsia="宋体" w:cs="Times New Roman"/>
                      <w:color w:val="auto"/>
                      <w:sz w:val="21"/>
                      <w:szCs w:val="21"/>
                    </w:rPr>
                    <w:t>。</w:t>
                  </w:r>
                </w:p>
              </w:tc>
              <w:tc>
                <w:tcPr>
                  <w:tcW w:w="326" w:type="pct"/>
                  <w:vAlign w:val="center"/>
                </w:tcPr>
                <w:p w14:paraId="7959CB4A">
                  <w:pPr>
                    <w:pStyle w:val="62"/>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6DC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0E7FD165">
                  <w:pPr>
                    <w:pStyle w:val="62"/>
                    <w:ind w:firstLine="0" w:firstLineChars="0"/>
                    <w:jc w:val="center"/>
                    <w:rPr>
                      <w:rFonts w:hint="default" w:ascii="Times New Roman" w:hAnsi="Times New Roman" w:eastAsia="宋体" w:cs="Times New Roman"/>
                      <w:color w:val="auto"/>
                      <w:sz w:val="21"/>
                      <w:szCs w:val="21"/>
                    </w:rPr>
                  </w:pPr>
                  <w:r>
                    <w:rPr>
                      <w:rStyle w:val="28"/>
                      <w:rFonts w:hint="default" w:ascii="Times New Roman" w:hAnsi="Times New Roman" w:eastAsia="宋体" w:cs="Times New Roman"/>
                      <w:i w:val="0"/>
                      <w:iCs w:val="0"/>
                      <w:caps w:val="0"/>
                      <w:color w:val="333333"/>
                      <w:spacing w:val="0"/>
                      <w:sz w:val="21"/>
                      <w:szCs w:val="21"/>
                      <w:shd w:val="clear" w:fill="FFFFFF"/>
                    </w:rPr>
                    <w:t>三、优化能源结构</w:t>
                  </w:r>
                </w:p>
              </w:tc>
              <w:tc>
                <w:tcPr>
                  <w:tcW w:w="2378" w:type="pct"/>
                  <w:vAlign w:val="center"/>
                </w:tcPr>
                <w:p w14:paraId="5890D945">
                  <w:pPr>
                    <w:pStyle w:val="62"/>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333333"/>
                      <w:spacing w:val="0"/>
                      <w:sz w:val="21"/>
                      <w:szCs w:val="21"/>
                      <w:shd w:val="clear" w:fill="FFFFFF"/>
                    </w:rPr>
                    <w:t>（九）推动工业炉窑清洁能源替代。有序推进以电代煤，积极稳妥推进以气代煤。对以煤、石油焦、渣油、重油等为燃料的工业炉窑，加快使用工业余热、电能、天然气等清洁能源进行替代</w:t>
                  </w:r>
                  <w:r>
                    <w:rPr>
                      <w:rFonts w:hint="default" w:ascii="Times New Roman" w:hAnsi="Times New Roman" w:eastAsia="宋体" w:cs="Times New Roman"/>
                      <w:color w:val="auto"/>
                      <w:sz w:val="21"/>
                      <w:szCs w:val="21"/>
                    </w:rPr>
                    <w:t>。</w:t>
                  </w:r>
                </w:p>
              </w:tc>
              <w:tc>
                <w:tcPr>
                  <w:tcW w:w="1790" w:type="pct"/>
                  <w:vAlign w:val="center"/>
                </w:tcPr>
                <w:p w14:paraId="47EC1424">
                  <w:pPr>
                    <w:pStyle w:val="62"/>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本项目极片烘干采用电能供热</w:t>
                  </w:r>
                  <w:r>
                    <w:rPr>
                      <w:rFonts w:hint="default" w:ascii="Times New Roman" w:hAnsi="Times New Roman" w:eastAsia="宋体" w:cs="Times New Roman"/>
                      <w:color w:val="auto"/>
                      <w:sz w:val="21"/>
                      <w:szCs w:val="21"/>
                    </w:rPr>
                    <w:t>。</w:t>
                  </w:r>
                </w:p>
              </w:tc>
              <w:tc>
                <w:tcPr>
                  <w:tcW w:w="326" w:type="pct"/>
                  <w:vAlign w:val="center"/>
                </w:tcPr>
                <w:p w14:paraId="46CD8E62">
                  <w:pPr>
                    <w:pStyle w:val="62"/>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7C1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53421FA8">
                  <w:pPr>
                    <w:pStyle w:val="62"/>
                    <w:ind w:firstLine="0" w:firstLineChars="0"/>
                    <w:jc w:val="center"/>
                    <w:rPr>
                      <w:rFonts w:hint="default" w:ascii="Times New Roman" w:hAnsi="Times New Roman" w:eastAsia="宋体" w:cs="Times New Roman"/>
                      <w:color w:val="auto"/>
                      <w:sz w:val="21"/>
                      <w:szCs w:val="21"/>
                    </w:rPr>
                  </w:pPr>
                  <w:r>
                    <w:rPr>
                      <w:rStyle w:val="28"/>
                      <w:rFonts w:hint="default" w:ascii="Times New Roman" w:hAnsi="Times New Roman" w:eastAsia="宋体" w:cs="Times New Roman"/>
                      <w:i w:val="0"/>
                      <w:iCs w:val="0"/>
                      <w:caps w:val="0"/>
                      <w:color w:val="333333"/>
                      <w:spacing w:val="0"/>
                      <w:sz w:val="21"/>
                      <w:szCs w:val="21"/>
                      <w:shd w:val="clear" w:fill="FFFFFF"/>
                    </w:rPr>
                    <w:t>六、强化多污染物减排</w:t>
                  </w:r>
                </w:p>
              </w:tc>
              <w:tc>
                <w:tcPr>
                  <w:tcW w:w="2378" w:type="pct"/>
                  <w:vAlign w:val="center"/>
                </w:tcPr>
                <w:p w14:paraId="2AC55137">
                  <w:pPr>
                    <w:pStyle w:val="62"/>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333333"/>
                      <w:spacing w:val="0"/>
                      <w:sz w:val="21"/>
                      <w:szCs w:val="21"/>
                      <w:shd w:val="clear" w:fill="FFFFFF"/>
                    </w:rPr>
                    <w:t>（十七）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r>
                    <w:rPr>
                      <w:rFonts w:hint="default" w:ascii="Times New Roman" w:hAnsi="Times New Roman" w:eastAsia="宋体" w:cs="Times New Roman"/>
                      <w:i w:val="0"/>
                      <w:iCs w:val="0"/>
                      <w:caps w:val="0"/>
                      <w:color w:val="333333"/>
                      <w:spacing w:val="0"/>
                      <w:sz w:val="21"/>
                      <w:szCs w:val="21"/>
                      <w:shd w:val="clear" w:fill="FFFFFF"/>
                      <w:lang w:eastAsia="zh-CN"/>
                    </w:rPr>
                    <w:t>。</w:t>
                  </w:r>
                </w:p>
              </w:tc>
              <w:tc>
                <w:tcPr>
                  <w:tcW w:w="1790" w:type="pct"/>
                  <w:vAlign w:val="center"/>
                </w:tcPr>
                <w:p w14:paraId="6EC97502">
                  <w:pPr>
                    <w:pStyle w:val="62"/>
                    <w:ind w:firstLine="0" w:firstLineChars="0"/>
                    <w:jc w:val="both"/>
                    <w:rPr>
                      <w:rFonts w:hint="default" w:ascii="Times New Roman" w:hAnsi="Times New Roman" w:eastAsia="宋体" w:cs="Times New Roman"/>
                      <w:color w:val="auto"/>
                      <w:sz w:val="21"/>
                      <w:szCs w:val="21"/>
                    </w:rPr>
                  </w:pPr>
                  <w:r>
                    <w:rPr>
                      <w:rFonts w:hint="eastAsia"/>
                      <w:color w:val="auto"/>
                      <w:szCs w:val="21"/>
                    </w:rPr>
                    <w:t>本项目</w:t>
                  </w:r>
                  <w:r>
                    <w:rPr>
                      <w:rFonts w:hint="eastAsia"/>
                      <w:color w:val="auto"/>
                      <w:lang w:val="en-US" w:eastAsia="zh-CN"/>
                    </w:rPr>
                    <w:t>涂布、烘干装置为</w:t>
                  </w:r>
                  <w:r>
                    <w:rPr>
                      <w:rFonts w:hint="eastAsia" w:ascii="Times New Roman" w:hAnsi="Times New Roman" w:eastAsia="宋体" w:cs="Times New Roman"/>
                      <w:b w:val="0"/>
                      <w:bCs/>
                      <w:color w:val="auto"/>
                      <w:sz w:val="21"/>
                      <w:szCs w:val="21"/>
                      <w:lang w:val="en-US" w:eastAsia="zh-CN"/>
                    </w:rPr>
                    <w:t>封闭</w:t>
                  </w:r>
                  <w:r>
                    <w:rPr>
                      <w:rFonts w:hint="default" w:ascii="Times New Roman" w:hAnsi="Times New Roman" w:eastAsia="宋体" w:cs="Times New Roman"/>
                      <w:b w:val="0"/>
                      <w:bCs/>
                      <w:color w:val="auto"/>
                      <w:sz w:val="21"/>
                      <w:szCs w:val="21"/>
                      <w:lang w:val="en-US" w:eastAsia="zh-CN"/>
                    </w:rPr>
                    <w:t>系统</w:t>
                  </w:r>
                  <w:r>
                    <w:rPr>
                      <w:rFonts w:hint="eastAsia" w:ascii="Times New Roman" w:hAnsi="Times New Roman" w:eastAsia="宋体" w:cs="Times New Roman"/>
                      <w:b w:val="0"/>
                      <w:bCs/>
                      <w:color w:val="auto"/>
                      <w:sz w:val="21"/>
                      <w:szCs w:val="21"/>
                      <w:lang w:val="en-US" w:eastAsia="zh-CN"/>
                    </w:rPr>
                    <w:t>，产生的</w:t>
                  </w:r>
                  <w:r>
                    <w:rPr>
                      <w:rFonts w:hint="eastAsia"/>
                      <w:color w:val="auto"/>
                    </w:rPr>
                    <w:t>废气经</w:t>
                  </w:r>
                  <w:r>
                    <w:rPr>
                      <w:rFonts w:hint="eastAsia"/>
                      <w:color w:val="auto"/>
                      <w:lang w:val="en-US" w:eastAsia="zh-CN"/>
                    </w:rPr>
                    <w:t>NMP回收装置</w:t>
                  </w:r>
                  <w:r>
                    <w:rPr>
                      <w:rFonts w:hint="eastAsia"/>
                      <w:color w:val="auto"/>
                    </w:rPr>
                    <w:t>“</w:t>
                  </w:r>
                  <w:r>
                    <w:rPr>
                      <w:rFonts w:hint="eastAsia"/>
                      <w:color w:val="auto"/>
                      <w:lang w:eastAsia="zh-CN"/>
                    </w:rPr>
                    <w:t>二级冷凝+转轮活性炭吸附再生</w:t>
                  </w:r>
                  <w:r>
                    <w:rPr>
                      <w:rFonts w:hint="eastAsia"/>
                      <w:color w:val="auto"/>
                    </w:rPr>
                    <w:t>”（TA001）处理后由25m高排气筒（DA001）排放；</w:t>
                  </w:r>
                  <w:r>
                    <w:rPr>
                      <w:rFonts w:hint="eastAsia"/>
                      <w:color w:val="auto"/>
                      <w:lang w:eastAsia="zh-CN"/>
                    </w:rPr>
                    <w:t>电解液注液、化成、暂存有机废气通过集中系统收集后，经活性炭吸附装置（TA002）处理后由25m高排气筒（DA002）排放；NMP和电解液储存有机废气、危废暂存间有机废气通过集气系统收集后，经活性炭吸附装置（TA003）处理后由25m高排气筒（DA003）排放；NMP暂存间有机废气和NMP冷凝回收罐有机废气通过集气罩收集后进入活性炭吸附装置（TA004）处理后，由25m高的排气筒（DA004）排放</w:t>
                  </w:r>
                  <w:r>
                    <w:rPr>
                      <w:rFonts w:hint="eastAsia"/>
                      <w:color w:val="auto"/>
                      <w:kern w:val="0"/>
                      <w:szCs w:val="21"/>
                    </w:rPr>
                    <w:t>，</w:t>
                  </w:r>
                  <w:r>
                    <w:rPr>
                      <w:rFonts w:hint="eastAsia"/>
                      <w:color w:val="auto"/>
                      <w:lang w:val="en-US" w:eastAsia="zh-CN"/>
                    </w:rPr>
                    <w:t>根</w:t>
                  </w:r>
                  <w:r>
                    <w:rPr>
                      <w:rFonts w:hint="eastAsia"/>
                      <w:color w:val="auto"/>
                    </w:rPr>
                    <w:t>据《排污许可证申请与核发技术规范电池工业》（HJ967-2018）中表19电池工业废气污染防治可行技术</w:t>
                  </w:r>
                  <w:r>
                    <w:rPr>
                      <w:rFonts w:hint="eastAsia"/>
                      <w:color w:val="auto"/>
                      <w:lang w:eastAsia="zh-CN"/>
                    </w:rPr>
                    <w:t>，</w:t>
                  </w:r>
                  <w:r>
                    <w:rPr>
                      <w:rFonts w:hint="eastAsia"/>
                      <w:color w:val="auto"/>
                      <w:szCs w:val="21"/>
                    </w:rPr>
                    <w:t>能够高效治理挥发性有机物</w:t>
                  </w:r>
                  <w:r>
                    <w:rPr>
                      <w:rFonts w:hint="default" w:ascii="Times New Roman" w:hAnsi="Times New Roman" w:eastAsia="宋体" w:cs="Times New Roman"/>
                      <w:color w:val="auto"/>
                      <w:sz w:val="21"/>
                      <w:szCs w:val="21"/>
                    </w:rPr>
                    <w:t>。</w:t>
                  </w:r>
                </w:p>
              </w:tc>
              <w:tc>
                <w:tcPr>
                  <w:tcW w:w="326" w:type="pct"/>
                  <w:vAlign w:val="center"/>
                </w:tcPr>
                <w:p w14:paraId="419AB940">
                  <w:pPr>
                    <w:pStyle w:val="62"/>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BE79942">
            <w:pPr>
              <w:rPr>
                <w:rFonts w:hint="default"/>
                <w:color w:val="auto"/>
                <w:lang w:val="en-US" w:eastAsia="zh-CN"/>
              </w:rPr>
            </w:pPr>
            <w:r>
              <w:rPr>
                <w:rFonts w:hint="eastAsia"/>
                <w:b/>
                <w:bCs/>
                <w:color w:val="auto"/>
                <w:lang w:val="en-US" w:eastAsia="zh-CN"/>
              </w:rPr>
              <w:t>15、与《锂离子电池及相关电池材料制造建设项目环境影响评价文件审批原则》</w:t>
            </w:r>
            <w:r>
              <w:rPr>
                <w:b/>
                <w:bCs/>
                <w:color w:val="auto"/>
                <w:szCs w:val="21"/>
              </w:rPr>
              <w:t>的符合性分析</w:t>
            </w:r>
          </w:p>
          <w:p w14:paraId="3A2E2A50">
            <w:pPr>
              <w:rPr>
                <w:rFonts w:hint="eastAsia"/>
                <w:color w:val="auto"/>
                <w:lang w:val="en-US" w:eastAsia="zh-CN"/>
              </w:rPr>
            </w:pPr>
          </w:p>
          <w:p w14:paraId="405439B9">
            <w:pPr>
              <w:jc w:val="center"/>
              <w:rPr>
                <w:rFonts w:hint="eastAsia"/>
                <w:color w:val="auto"/>
                <w:lang w:val="en-US" w:eastAsia="zh-CN"/>
              </w:rPr>
            </w:pPr>
            <w:r>
              <w:rPr>
                <w:b/>
                <w:bCs/>
                <w:color w:val="auto"/>
                <w:szCs w:val="21"/>
              </w:rPr>
              <w:t>表1-1</w:t>
            </w:r>
            <w:r>
              <w:rPr>
                <w:rFonts w:hint="eastAsia"/>
                <w:b/>
                <w:bCs/>
                <w:color w:val="auto"/>
                <w:szCs w:val="21"/>
                <w:lang w:val="en-US" w:eastAsia="zh-CN"/>
              </w:rPr>
              <w:t>6</w:t>
            </w:r>
            <w:r>
              <w:rPr>
                <w:b/>
                <w:bCs/>
                <w:color w:val="auto"/>
                <w:szCs w:val="21"/>
              </w:rPr>
              <w:t>项目与《</w:t>
            </w:r>
            <w:r>
              <w:rPr>
                <w:rFonts w:hint="eastAsia"/>
                <w:b/>
                <w:bCs/>
                <w:color w:val="auto"/>
                <w:lang w:val="en-US" w:eastAsia="zh-CN"/>
              </w:rPr>
              <w:t>审批原则</w:t>
            </w:r>
            <w:r>
              <w:rPr>
                <w:b/>
                <w:bCs/>
                <w:color w:val="auto"/>
                <w:szCs w:val="21"/>
              </w:rPr>
              <w:t>》的符合性分析表</w:t>
            </w:r>
            <w:r>
              <w:rPr>
                <w:rFonts w:hint="eastAsia"/>
                <w:b/>
                <w:bCs/>
                <w:color w:val="auto"/>
                <w:szCs w:val="21"/>
                <w:lang w:eastAsia="zh-CN"/>
              </w:rPr>
              <w:t>（</w:t>
            </w:r>
            <w:r>
              <w:rPr>
                <w:rFonts w:hint="eastAsia"/>
                <w:b/>
                <w:bCs/>
                <w:color w:val="auto"/>
                <w:szCs w:val="21"/>
                <w:lang w:val="en-US" w:eastAsia="zh-CN"/>
              </w:rPr>
              <w:t>摘抄</w:t>
            </w:r>
            <w:r>
              <w:rPr>
                <w:rFonts w:hint="eastAsia"/>
                <w:b/>
                <w:bCs/>
                <w:color w:val="auto"/>
                <w:szCs w:val="21"/>
                <w:lang w:eastAsia="zh-CN"/>
              </w:rPr>
              <w:t>）</w:t>
            </w:r>
          </w:p>
          <w:tbl>
            <w:tblPr>
              <w:tblStyle w:val="2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692"/>
              <w:gridCol w:w="3610"/>
              <w:gridCol w:w="943"/>
            </w:tblGrid>
            <w:tr w14:paraId="1A60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45" w:type="dxa"/>
                  <w:vAlign w:val="center"/>
                </w:tcPr>
                <w:p w14:paraId="4E6FA5E3">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b/>
                      <w:bCs/>
                      <w:color w:val="auto"/>
                      <w:vertAlign w:val="baseline"/>
                      <w:lang w:val="en-US" w:eastAsia="zh-CN"/>
                    </w:rPr>
                  </w:pPr>
                  <w:r>
                    <w:rPr>
                      <w:rFonts w:hint="eastAsia"/>
                      <w:b/>
                      <w:bCs/>
                      <w:color w:val="auto"/>
                      <w:vertAlign w:val="baseline"/>
                      <w:lang w:val="en-US" w:eastAsia="zh-CN"/>
                    </w:rPr>
                    <w:t>序号</w:t>
                  </w:r>
                </w:p>
              </w:tc>
              <w:tc>
                <w:tcPr>
                  <w:tcW w:w="3692" w:type="dxa"/>
                  <w:vAlign w:val="center"/>
                </w:tcPr>
                <w:p w14:paraId="012DB7F0">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b/>
                      <w:bCs/>
                      <w:color w:val="auto"/>
                      <w:vertAlign w:val="baseline"/>
                      <w:lang w:val="en-US" w:eastAsia="zh-CN"/>
                    </w:rPr>
                  </w:pPr>
                  <w:r>
                    <w:rPr>
                      <w:rFonts w:hint="eastAsia"/>
                      <w:b/>
                      <w:bCs/>
                      <w:color w:val="auto"/>
                      <w:vertAlign w:val="baseline"/>
                      <w:lang w:val="en-US" w:eastAsia="zh-CN"/>
                    </w:rPr>
                    <w:t>原则内容</w:t>
                  </w:r>
                </w:p>
              </w:tc>
              <w:tc>
                <w:tcPr>
                  <w:tcW w:w="3610" w:type="dxa"/>
                  <w:vAlign w:val="center"/>
                </w:tcPr>
                <w:p w14:paraId="1BCC183B">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b/>
                      <w:bCs/>
                      <w:color w:val="auto"/>
                      <w:vertAlign w:val="baseline"/>
                      <w:lang w:val="en-US" w:eastAsia="zh-CN"/>
                    </w:rPr>
                  </w:pPr>
                  <w:r>
                    <w:rPr>
                      <w:rFonts w:hint="eastAsia"/>
                      <w:b/>
                      <w:bCs/>
                      <w:color w:val="auto"/>
                      <w:vertAlign w:val="baseline"/>
                      <w:lang w:val="en-US" w:eastAsia="zh-CN"/>
                    </w:rPr>
                    <w:t>本项目</w:t>
                  </w:r>
                </w:p>
              </w:tc>
              <w:tc>
                <w:tcPr>
                  <w:tcW w:w="943" w:type="dxa"/>
                  <w:vAlign w:val="center"/>
                </w:tcPr>
                <w:p w14:paraId="106B5D7B">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b/>
                      <w:bCs/>
                      <w:color w:val="auto"/>
                      <w:vertAlign w:val="baseline"/>
                      <w:lang w:val="en-US" w:eastAsia="zh-CN"/>
                    </w:rPr>
                  </w:pPr>
                  <w:r>
                    <w:rPr>
                      <w:rFonts w:hint="eastAsia"/>
                      <w:b/>
                      <w:bCs/>
                      <w:color w:val="auto"/>
                      <w:vertAlign w:val="baseline"/>
                      <w:lang w:val="en-US" w:eastAsia="zh-CN"/>
                    </w:rPr>
                    <w:t>符合性</w:t>
                  </w:r>
                </w:p>
              </w:tc>
            </w:tr>
            <w:tr w14:paraId="6B37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45" w:type="dxa"/>
                  <w:vAlign w:val="center"/>
                </w:tcPr>
                <w:p w14:paraId="3FA30E90">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1</w:t>
                  </w:r>
                </w:p>
              </w:tc>
              <w:tc>
                <w:tcPr>
                  <w:tcW w:w="3692" w:type="dxa"/>
                  <w:vAlign w:val="center"/>
                </w:tcPr>
                <w:p w14:paraId="5B91BBAD">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本审批原则适用于锂离子电池及相关正极材料、负极材料制造建设项目环境影响评价文件的审批。其中，正极材料制造包括前驱体、锂盐（碳酸锂、氢氧化锂等）制造，以及以前驱体、锂盐等为原料进行三元材料、磷酸铁锂、锰酸锂等正极材料制造，不包括制备前驱体所需的原料制造；负极材料制造不含石油焦等焦原料制造。具体涉及《建设项目环境影响评价分类管理名录（2021年版）》中基础化学原料制造 261、石墨及其他非金属矿物制品制造309、电池制造 384、电子元件及电子专用材料制造 398 行业中的锂离子电池及电池材料制造建设项目。</w:t>
                  </w:r>
                </w:p>
              </w:tc>
              <w:tc>
                <w:tcPr>
                  <w:tcW w:w="3610" w:type="dxa"/>
                  <w:vAlign w:val="center"/>
                </w:tcPr>
                <w:p w14:paraId="22CCA397">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本项目周边有正极材料和负极材料加工企业，外购成品加工锂电池电芯，属于《建设项目环境影响评价分类管理名录（2021年版）》中的“电池制造384”行业，适用本原则；项目不涉及锂电池正负极锂电池材料的制造。</w:t>
                  </w:r>
                </w:p>
              </w:tc>
              <w:tc>
                <w:tcPr>
                  <w:tcW w:w="943" w:type="dxa"/>
                  <w:vAlign w:val="center"/>
                </w:tcPr>
                <w:p w14:paraId="501A1789">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符合</w:t>
                  </w:r>
                </w:p>
              </w:tc>
            </w:tr>
            <w:tr w14:paraId="3758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5C7E5D06">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2</w:t>
                  </w:r>
                </w:p>
              </w:tc>
              <w:tc>
                <w:tcPr>
                  <w:tcW w:w="3692" w:type="dxa"/>
                  <w:vAlign w:val="center"/>
                </w:tcPr>
                <w:p w14:paraId="4C92B77B">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项目应符合生态环境保护相关法律法规、法定规划，以及相关产业结构调整、区域及行业碳达峰碳中和目标、重点污染物总量控制等政策要求。</w:t>
                  </w:r>
                </w:p>
              </w:tc>
              <w:tc>
                <w:tcPr>
                  <w:tcW w:w="3610" w:type="dxa"/>
                  <w:vAlign w:val="center"/>
                </w:tcPr>
                <w:p w14:paraId="6A9B0247">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eastAsia="宋体"/>
                      <w:color w:val="auto"/>
                      <w:vertAlign w:val="baseline"/>
                      <w:lang w:val="en-US" w:eastAsia="zh-CN"/>
                    </w:rPr>
                  </w:pPr>
                  <w:r>
                    <w:rPr>
                      <w:rFonts w:hint="eastAsia"/>
                      <w:color w:val="auto"/>
                      <w:szCs w:val="21"/>
                      <w:lang w:val="en-US" w:eastAsia="zh-CN"/>
                    </w:rPr>
                    <w:t>本项目</w:t>
                  </w:r>
                  <w:r>
                    <w:rPr>
                      <w:rFonts w:hint="default" w:ascii="Times New Roman" w:hAnsi="Times New Roman" w:eastAsia="宋体" w:cs="Times New Roman"/>
                      <w:b w:val="0"/>
                      <w:color w:val="auto"/>
                      <w:sz w:val="21"/>
                      <w:szCs w:val="21"/>
                    </w:rPr>
                    <w:t>评价范围内不涉及</w:t>
                  </w:r>
                  <w:r>
                    <w:rPr>
                      <w:rFonts w:hint="default" w:ascii="Times New Roman" w:hAnsi="Times New Roman" w:cs="Times New Roman"/>
                      <w:color w:val="auto"/>
                      <w:sz w:val="21"/>
                      <w:szCs w:val="21"/>
                    </w:rPr>
                    <w:t>自然保护地、饮用水水源保护区、重要湿地、基本草原、生态公益林、天然林等生态功能重要、生态环境敏感区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不</w:t>
                  </w:r>
                  <w:r>
                    <w:rPr>
                      <w:rFonts w:hint="default" w:ascii="Times New Roman" w:hAnsi="Times New Roman" w:cs="Times New Roman"/>
                      <w:color w:val="auto"/>
                      <w:sz w:val="21"/>
                      <w:szCs w:val="21"/>
                      <w:lang w:val="en-US" w:eastAsia="zh-CN"/>
                    </w:rPr>
                    <w:t>占用</w:t>
                  </w:r>
                  <w:r>
                    <w:rPr>
                      <w:rFonts w:hint="default" w:ascii="Times New Roman" w:hAnsi="Times New Roman" w:cs="Times New Roman"/>
                      <w:color w:val="auto"/>
                      <w:sz w:val="21"/>
                      <w:szCs w:val="21"/>
                    </w:rPr>
                    <w:t>一般生态空间</w:t>
                  </w:r>
                  <w:r>
                    <w:rPr>
                      <w:rFonts w:hint="eastAsia"/>
                      <w:color w:val="auto"/>
                      <w:szCs w:val="21"/>
                      <w:lang w:val="en-US" w:eastAsia="zh-CN"/>
                    </w:rPr>
                    <w:t>；</w:t>
                  </w:r>
                  <w:r>
                    <w:rPr>
                      <w:color w:val="auto"/>
                      <w:szCs w:val="21"/>
                    </w:rPr>
                    <w:t>根据《产业结构调整指导目录（2024年本）》，本项目涉及的产品、工艺和设备均不属于“鼓励类”、“限制类”和“淘汰类”之列，根据《促进产业结构调整暂行规定》（国发〔2005〕40号）第十三条规定，本项目属于“允许类”。</w:t>
                  </w:r>
                  <w:r>
                    <w:rPr>
                      <w:rFonts w:hint="eastAsia"/>
                      <w:color w:val="auto"/>
                      <w:szCs w:val="21"/>
                    </w:rPr>
                    <w:t>项目</w:t>
                  </w:r>
                  <w:r>
                    <w:rPr>
                      <w:rFonts w:hint="eastAsia"/>
                      <w:color w:val="auto"/>
                      <w:kern w:val="0"/>
                      <w:szCs w:val="21"/>
                    </w:rPr>
                    <w:t>所在地块属于九龙片区重点产业中的</w:t>
                  </w:r>
                  <w:r>
                    <w:rPr>
                      <w:rFonts w:hint="eastAsia"/>
                      <w:color w:val="auto"/>
                      <w:kern w:val="0"/>
                      <w:szCs w:val="21"/>
                      <w:lang w:val="en-US" w:eastAsia="zh-CN"/>
                    </w:rPr>
                    <w:t>锂电池产</w:t>
                  </w:r>
                  <w:r>
                    <w:rPr>
                      <w:rFonts w:hint="eastAsia"/>
                      <w:color w:val="auto"/>
                      <w:kern w:val="0"/>
                      <w:szCs w:val="21"/>
                    </w:rPr>
                    <w:t>业，因此本项目符合玉溪高新技术产业开发区总体规划；</w:t>
                  </w:r>
                  <w:r>
                    <w:rPr>
                      <w:rFonts w:hint="eastAsia"/>
                      <w:color w:val="auto"/>
                      <w:kern w:val="0"/>
                      <w:szCs w:val="21"/>
                      <w:lang w:val="en-US" w:eastAsia="zh-CN"/>
                    </w:rPr>
                    <w:t>项目建成后采用可行性工艺治理VOCs，对区域环境质量影响不大；</w:t>
                  </w:r>
                  <w:r>
                    <w:rPr>
                      <w:rFonts w:hint="eastAsia"/>
                      <w:sz w:val="21"/>
                      <w:szCs w:val="21"/>
                      <w:lang w:val="en-US" w:eastAsia="zh-CN"/>
                    </w:rPr>
                    <w:t>目前暂未</w:t>
                  </w:r>
                  <w:r>
                    <w:rPr>
                      <w:rFonts w:hint="eastAsia" w:eastAsia="宋体"/>
                      <w:sz w:val="21"/>
                      <w:szCs w:val="21"/>
                      <w:lang w:eastAsia="zh-CN"/>
                    </w:rPr>
                    <w:t>锂离子电池碳核算</w:t>
                  </w:r>
                  <w:r>
                    <w:rPr>
                      <w:rFonts w:hint="eastAsia"/>
                      <w:sz w:val="21"/>
                      <w:szCs w:val="21"/>
                      <w:lang w:val="en-US" w:eastAsia="zh-CN"/>
                    </w:rPr>
                    <w:t>技术规范，若相关政策下发，企业应根据相关法律法规进行</w:t>
                  </w:r>
                  <w:r>
                    <w:rPr>
                      <w:rFonts w:hint="eastAsia" w:eastAsia="宋体"/>
                      <w:sz w:val="21"/>
                      <w:szCs w:val="21"/>
                      <w:lang w:eastAsia="zh-CN"/>
                    </w:rPr>
                    <w:t>锂离子电池碳核算</w:t>
                  </w:r>
                  <w:r>
                    <w:rPr>
                      <w:rFonts w:hint="eastAsia"/>
                      <w:sz w:val="21"/>
                      <w:szCs w:val="21"/>
                      <w:lang w:eastAsia="zh-CN"/>
                    </w:rPr>
                    <w:t>。</w:t>
                  </w:r>
                </w:p>
              </w:tc>
              <w:tc>
                <w:tcPr>
                  <w:tcW w:w="943" w:type="dxa"/>
                  <w:vAlign w:val="center"/>
                </w:tcPr>
                <w:p w14:paraId="5FAB24A2">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符合</w:t>
                  </w:r>
                </w:p>
              </w:tc>
            </w:tr>
            <w:tr w14:paraId="3AC2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42582FB9">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3</w:t>
                  </w:r>
                </w:p>
              </w:tc>
              <w:tc>
                <w:tcPr>
                  <w:tcW w:w="3692" w:type="dxa"/>
                  <w:vAlign w:val="center"/>
                </w:tcPr>
                <w:p w14:paraId="7F6E9CF8">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项目选址应符合生态环境分区管控要求，不得位于法律法规明令禁止建设的区域，应避开生态保护红线。新建、扩建涉及正极材料前驱体和锂盐制造的建设项目（盐湖资源类锂盐制造项目除外）应布设在依法合规设立的产业园区内，符合园区规划及规划环境影响评价要求。</w:t>
                  </w:r>
                </w:p>
              </w:tc>
              <w:tc>
                <w:tcPr>
                  <w:tcW w:w="3610" w:type="dxa"/>
                  <w:vAlign w:val="center"/>
                </w:tcPr>
                <w:p w14:paraId="7D74E92D">
                  <w:pPr>
                    <w:rPr>
                      <w:rFonts w:hint="default"/>
                      <w:color w:val="auto"/>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cs="Times New Roman"/>
                      <w:color w:val="auto"/>
                      <w:sz w:val="21"/>
                      <w:szCs w:val="21"/>
                      <w:vertAlign w:val="baseline"/>
                      <w:lang w:val="en-US" w:eastAsia="zh-CN"/>
                    </w:rPr>
                    <w:t>位于</w:t>
                  </w:r>
                  <w:r>
                    <w:rPr>
                      <w:rFonts w:hint="eastAsia" w:ascii="Times New Roman" w:hAnsi="Times New Roman" w:eastAsia="宋体" w:cs="Times New Roman"/>
                      <w:b w:val="0"/>
                      <w:bCs w:val="0"/>
                      <w:color w:val="auto"/>
                      <w:sz w:val="21"/>
                      <w:szCs w:val="21"/>
                      <w:lang w:val="en-US" w:eastAsia="zh-CN"/>
                    </w:rPr>
                    <w:t>江川区产业园区重点管控单元</w:t>
                  </w:r>
                  <w:r>
                    <w:rPr>
                      <w:rFonts w:hint="eastAsia" w:cs="Times New Roman"/>
                      <w:b w:val="0"/>
                      <w:bCs w:val="0"/>
                      <w:color w:val="auto"/>
                      <w:sz w:val="21"/>
                      <w:szCs w:val="21"/>
                      <w:lang w:val="en-US" w:eastAsia="zh-CN"/>
                    </w:rPr>
                    <w:t>-</w:t>
                  </w:r>
                  <w:r>
                    <w:rPr>
                      <w:rFonts w:hint="default" w:ascii="Times New Roman" w:hAnsi="Times New Roman" w:eastAsia="宋体" w:cs="Times New Roman"/>
                      <w:color w:val="auto"/>
                      <w:kern w:val="0"/>
                      <w:sz w:val="21"/>
                      <w:szCs w:val="21"/>
                      <w:lang w:val="en-US" w:eastAsia="zh-CN"/>
                    </w:rPr>
                    <w:t>玉溪高新区龙泉片区</w:t>
                  </w:r>
                  <w:r>
                    <w:rPr>
                      <w:rFonts w:hint="default" w:ascii="Times New Roman" w:hAnsi="Times New Roman" w:eastAsia="宋体" w:cs="Times New Roman"/>
                      <w:color w:val="auto"/>
                      <w:sz w:val="21"/>
                      <w:szCs w:val="21"/>
                      <w:lang w:val="en-US" w:eastAsia="zh-CN"/>
                    </w:rPr>
                    <w:t>地块</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土地性质为工业用地；</w:t>
                  </w:r>
                  <w:r>
                    <w:rPr>
                      <w:rFonts w:hint="default" w:ascii="Times New Roman" w:hAnsi="Times New Roman" w:eastAsia="宋体" w:cs="Times New Roman"/>
                      <w:color w:val="auto"/>
                      <w:sz w:val="21"/>
                      <w:szCs w:val="21"/>
                      <w:vertAlign w:val="baseline"/>
                      <w:lang w:val="en-US" w:eastAsia="zh-CN"/>
                    </w:rPr>
                    <w:t>周边无基本农田保护区、自然保护区、饮用水源保护区、生态功能保护区等，</w:t>
                  </w:r>
                  <w:r>
                    <w:rPr>
                      <w:rFonts w:hint="default" w:ascii="Times New Roman" w:hAnsi="Times New Roman" w:eastAsia="宋体" w:cs="Times New Roman"/>
                      <w:color w:val="auto"/>
                      <w:kern w:val="0"/>
                      <w:sz w:val="21"/>
                      <w:szCs w:val="21"/>
                      <w:lang w:val="en-US" w:eastAsia="zh-CN"/>
                    </w:rPr>
                    <w:t>项目位于玉溪高新区龙泉片区</w:t>
                  </w:r>
                  <w:r>
                    <w:rPr>
                      <w:rFonts w:hint="default" w:ascii="Times New Roman" w:hAnsi="Times New Roman" w:eastAsia="宋体" w:cs="Times New Roman"/>
                      <w:color w:val="auto"/>
                      <w:sz w:val="21"/>
                      <w:szCs w:val="21"/>
                      <w:lang w:val="en-US" w:eastAsia="zh-CN"/>
                    </w:rPr>
                    <w:t>地块</w:t>
                  </w:r>
                  <w:r>
                    <w:rPr>
                      <w:rFonts w:hint="default"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土地性质为工业用地，从事锂电池制造生产活动</w:t>
                  </w:r>
                  <w:r>
                    <w:rPr>
                      <w:rFonts w:hint="default" w:ascii="Times New Roman" w:hAnsi="Times New Roman" w:eastAsia="宋体" w:cs="Times New Roman"/>
                      <w:color w:val="auto"/>
                      <w:kern w:val="0"/>
                      <w:sz w:val="21"/>
                      <w:szCs w:val="21"/>
                      <w:lang w:val="en-US" w:eastAsia="zh-CN"/>
                    </w:rPr>
                    <w:t>，</w:t>
                  </w:r>
                  <w:r>
                    <w:rPr>
                      <w:rFonts w:hint="eastAsia" w:cs="Times New Roman"/>
                      <w:color w:val="auto"/>
                      <w:sz w:val="21"/>
                      <w:szCs w:val="21"/>
                      <w:lang w:val="en-US" w:eastAsia="zh-CN"/>
                    </w:rPr>
                    <w:t>符合</w:t>
                  </w:r>
                  <w:r>
                    <w:rPr>
                      <w:rFonts w:hint="default" w:ascii="Times New Roman" w:hAnsi="Times New Roman" w:eastAsia="宋体" w:cs="Times New Roman"/>
                      <w:color w:val="auto"/>
                      <w:kern w:val="0"/>
                      <w:sz w:val="21"/>
                      <w:szCs w:val="21"/>
                      <w:lang w:val="en-US" w:eastAsia="zh-CN"/>
                    </w:rPr>
                    <w:t>玉溪高新技术产业开发区总体规划</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根据</w:t>
                  </w:r>
                  <w:r>
                    <w:rPr>
                      <w:rFonts w:hint="default" w:ascii="Times New Roman" w:hAnsi="Times New Roman" w:eastAsia="宋体" w:cs="Times New Roman"/>
                      <w:color w:val="auto"/>
                      <w:kern w:val="0"/>
                      <w:sz w:val="21"/>
                      <w:szCs w:val="21"/>
                      <w:lang w:val="en-US" w:eastAsia="zh-CN"/>
                    </w:rPr>
                    <w:t>《玉溪高新技术产业开发区总体规划修编（2021-2035年）环境影响报告书》龙泉片区：打造绿色能源特色制造区。重点聚焦锂电池、新型储能等新能源领域</w:t>
                  </w:r>
                  <w:r>
                    <w:rPr>
                      <w:rFonts w:hint="eastAsia" w:ascii="Times New Roman" w:hAnsi="Times New Roman" w:eastAsia="宋体" w:cs="Times New Roman"/>
                      <w:color w:val="auto"/>
                      <w:kern w:val="0"/>
                      <w:sz w:val="21"/>
                      <w:szCs w:val="21"/>
                      <w:lang w:val="en-US" w:eastAsia="zh-CN"/>
                    </w:rPr>
                    <w:t>。</w:t>
                  </w:r>
                  <w:r>
                    <w:rPr>
                      <w:rFonts w:hint="eastAsia" w:cs="Times New Roman"/>
                      <w:color w:val="auto"/>
                      <w:kern w:val="0"/>
                      <w:sz w:val="21"/>
                      <w:szCs w:val="21"/>
                      <w:lang w:val="en-US" w:eastAsia="zh-CN"/>
                    </w:rPr>
                    <w:t>项目符合园区规划。</w:t>
                  </w:r>
                </w:p>
              </w:tc>
              <w:tc>
                <w:tcPr>
                  <w:tcW w:w="943" w:type="dxa"/>
                  <w:vAlign w:val="center"/>
                </w:tcPr>
                <w:p w14:paraId="395ED0D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符合</w:t>
                  </w:r>
                </w:p>
              </w:tc>
            </w:tr>
            <w:tr w14:paraId="7B10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72459B4B">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4</w:t>
                  </w:r>
                </w:p>
              </w:tc>
              <w:tc>
                <w:tcPr>
                  <w:tcW w:w="3692" w:type="dxa"/>
                  <w:vAlign w:val="center"/>
                </w:tcPr>
                <w:p w14:paraId="68F3D918">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新建、改建、扩建项目应采用资源利用率高、污染物产生量小的清洁生产技术、工艺和设备，单位产品的能耗、物耗、水耗、资源综合利用和污染物控制等指标应达到行业先进水平。新建锂离子电池制造项目清洁生产指标宜达到《电池行业清洁生产评价指标体系》中国内清洁生产先进水平。</w:t>
                  </w:r>
                </w:p>
              </w:tc>
              <w:tc>
                <w:tcPr>
                  <w:tcW w:w="3610" w:type="dxa"/>
                  <w:vAlign w:val="center"/>
                </w:tcPr>
                <w:p w14:paraId="02E76748">
                  <w:pPr>
                    <w:keepNext w:val="0"/>
                    <w:keepLines w:val="0"/>
                    <w:pageBreakBefore w:val="0"/>
                    <w:widowControl w:val="0"/>
                    <w:kinsoku/>
                    <w:wordWrap/>
                    <w:overflowPunct/>
                    <w:topLinePunct w:val="0"/>
                    <w:autoSpaceDE/>
                    <w:autoSpaceDN/>
                    <w:bidi w:val="0"/>
                    <w:adjustRightInd/>
                    <w:snapToGrid w:val="0"/>
                    <w:spacing w:before="95" w:beforeLines="30" w:after="95" w:afterLines="30"/>
                    <w:ind w:firstLine="420" w:firstLineChars="200"/>
                    <w:jc w:val="both"/>
                    <w:textAlignment w:val="auto"/>
                    <w:rPr>
                      <w:rFonts w:hint="default"/>
                      <w:color w:val="auto"/>
                      <w:vertAlign w:val="baseline"/>
                      <w:lang w:val="en-US" w:eastAsia="zh-CN"/>
                    </w:rPr>
                  </w:pPr>
                  <w:r>
                    <w:rPr>
                      <w:rFonts w:hint="eastAsia"/>
                      <w:color w:val="auto"/>
                      <w:vertAlign w:val="baseline"/>
                      <w:lang w:val="en-US" w:eastAsia="zh-CN"/>
                    </w:rPr>
                    <w:t>本次评价根据企业建设情况结合《电池行业清洁生产评价指标体系》可知本项目可达到中国内清洁生产先进水平，详见其它符合性分析的清洁生产符合性分析。</w:t>
                  </w:r>
                </w:p>
              </w:tc>
              <w:tc>
                <w:tcPr>
                  <w:tcW w:w="943" w:type="dxa"/>
                  <w:vAlign w:val="center"/>
                </w:tcPr>
                <w:p w14:paraId="27BDA9C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符合</w:t>
                  </w:r>
                </w:p>
              </w:tc>
            </w:tr>
            <w:tr w14:paraId="31BB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07084474">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5</w:t>
                  </w:r>
                </w:p>
              </w:tc>
              <w:tc>
                <w:tcPr>
                  <w:tcW w:w="3692" w:type="dxa"/>
                  <w:vAlign w:val="center"/>
                </w:tcPr>
                <w:p w14:paraId="3268E265">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锂离子电池涂布、极片烘烤工序应配备N-甲基吡咯烷酮（NMP）回收装置，设置挥发性有机物吸附或燃烧等装置，排放的废气污染物应符合《电池工业污染物排放标准》（GB 30484）要求。</w:t>
                  </w:r>
                </w:p>
                <w:p w14:paraId="4B5DC457">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涉及使用 VOCs 物料的，厂区内挥发性有机物无组织排放控制还应符合《挥发性有机物无组织排放控制标准》（GB 37822）相关要求。大气环境防护距离范围内不应有居民区、学校、医院等环境敏感目标。</w:t>
                  </w:r>
                </w:p>
              </w:tc>
              <w:tc>
                <w:tcPr>
                  <w:tcW w:w="3610" w:type="dxa"/>
                  <w:vAlign w:val="center"/>
                </w:tcPr>
                <w:p w14:paraId="4767AB7E">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lang w:val="en-US" w:eastAsia="zh-CN"/>
                    </w:rPr>
                    <w:t>本项目采用</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二级冷凝+转轮活性炭吸附再生</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工艺回收NMP</w:t>
                  </w:r>
                  <w:r>
                    <w:rPr>
                      <w:rFonts w:hint="eastAsia"/>
                      <w:color w:val="auto"/>
                      <w:vertAlign w:val="baseline"/>
                      <w:lang w:val="en-US" w:eastAsia="zh-CN"/>
                    </w:rPr>
                    <w:t>；设置再生</w:t>
                  </w:r>
                  <w:r>
                    <w:rPr>
                      <w:rFonts w:hint="eastAsia" w:cs="Times New Roman"/>
                      <w:color w:val="auto"/>
                      <w:sz w:val="21"/>
                      <w:szCs w:val="21"/>
                      <w:lang w:val="en-US" w:eastAsia="zh-CN"/>
                    </w:rPr>
                    <w:t>转轮</w:t>
                  </w:r>
                  <w:r>
                    <w:rPr>
                      <w:rFonts w:hint="eastAsia"/>
                      <w:color w:val="auto"/>
                      <w:vertAlign w:val="baseline"/>
                      <w:lang w:val="en-US" w:eastAsia="zh-CN"/>
                    </w:rPr>
                    <w:t>活性炭吸附NMP回收废气，排放的废气VOCs（以非甲烷总烃计）符合《电池工业污染物排放标准》（GB 30484）限值要求。</w:t>
                  </w:r>
                </w:p>
                <w:p w14:paraId="23FE31F6">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default"/>
                      <w:color w:val="auto"/>
                      <w:vertAlign w:val="baseline"/>
                      <w:lang w:val="en-US" w:eastAsia="zh-CN"/>
                    </w:rPr>
                  </w:pPr>
                  <w:r>
                    <w:rPr>
                      <w:rFonts w:hint="default" w:ascii="Times New Roman" w:hAnsi="Times New Roman" w:eastAsia="宋体" w:cs="Times New Roman"/>
                      <w:color w:val="auto"/>
                      <w:szCs w:val="21"/>
                      <w:lang w:val="en-US" w:eastAsia="zh-CN"/>
                    </w:rPr>
                    <w:t>项目为提高无组织废气收集效率，</w:t>
                  </w:r>
                  <w:r>
                    <w:rPr>
                      <w:rFonts w:hint="default" w:ascii="Times New Roman" w:hAnsi="Times New Roman" w:eastAsia="宋体" w:cs="Times New Roman"/>
                      <w:color w:val="auto"/>
                    </w:rPr>
                    <w:t>配料、制浆、涂布和NMP回收装置均为密闭结构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注液、化成废气</w:t>
                  </w:r>
                  <w:r>
                    <w:rPr>
                      <w:rFonts w:hint="eastAsia" w:cs="Times New Roman"/>
                      <w:color w:val="auto"/>
                      <w:lang w:val="en-US" w:eastAsia="zh-CN"/>
                    </w:rPr>
                    <w:t>在手套箱内真空状态下</w:t>
                  </w:r>
                  <w:r>
                    <w:rPr>
                      <w:rFonts w:hint="default" w:ascii="Times New Roman" w:hAnsi="Times New Roman" w:eastAsia="宋体" w:cs="Times New Roman"/>
                      <w:color w:val="auto"/>
                      <w:lang w:val="en-US" w:eastAsia="zh-CN"/>
                    </w:rPr>
                    <w:t>收集，</w:t>
                  </w:r>
                  <w:r>
                    <w:rPr>
                      <w:rFonts w:hint="eastAsia" w:cs="Times New Roman"/>
                      <w:color w:val="auto"/>
                      <w:lang w:val="en-US" w:eastAsia="zh-CN"/>
                    </w:rPr>
                    <w:t>暂存废气经</w:t>
                  </w:r>
                  <w:r>
                    <w:rPr>
                      <w:rFonts w:hint="default" w:ascii="Times New Roman" w:hAnsi="Times New Roman" w:eastAsia="宋体" w:cs="Times New Roman"/>
                      <w:color w:val="auto"/>
                      <w:lang w:val="en-US" w:eastAsia="zh-CN"/>
                    </w:rPr>
                    <w:t>集气</w:t>
                  </w:r>
                  <w:r>
                    <w:rPr>
                      <w:rFonts w:hint="eastAsia" w:cs="Times New Roman"/>
                      <w:color w:val="auto"/>
                      <w:lang w:val="en-US" w:eastAsia="zh-CN"/>
                    </w:rPr>
                    <w:t>管</w:t>
                  </w:r>
                  <w:r>
                    <w:rPr>
                      <w:rFonts w:hint="default" w:ascii="Times New Roman" w:hAnsi="Times New Roman" w:eastAsia="宋体" w:cs="Times New Roman"/>
                      <w:color w:val="auto"/>
                      <w:lang w:val="en-US" w:eastAsia="zh-CN"/>
                    </w:rPr>
                    <w:t>收集</w:t>
                  </w:r>
                  <w:r>
                    <w:rPr>
                      <w:rFonts w:hint="eastAsia" w:cs="Times New Roman"/>
                      <w:color w:val="auto"/>
                      <w:lang w:val="en-US" w:eastAsia="zh-CN"/>
                    </w:rPr>
                    <w:t>，车间内通风出</w:t>
                  </w:r>
                  <w:r>
                    <w:rPr>
                      <w:rFonts w:hint="default" w:ascii="Times New Roman" w:hAnsi="Times New Roman" w:eastAsia="宋体" w:cs="Times New Roman"/>
                      <w:color w:val="auto"/>
                      <w:lang w:val="en-US" w:eastAsia="zh-CN"/>
                    </w:rPr>
                    <w:t>风速大于0.3m/s；电解液车间</w:t>
                  </w:r>
                  <w:r>
                    <w:rPr>
                      <w:rFonts w:hint="eastAsia" w:cs="Times New Roman"/>
                      <w:color w:val="auto"/>
                      <w:lang w:val="en-US" w:eastAsia="zh-CN"/>
                    </w:rPr>
                    <w:t>和危废暂存间</w:t>
                  </w:r>
                  <w:r>
                    <w:rPr>
                      <w:rFonts w:hint="default" w:ascii="Times New Roman" w:hAnsi="Times New Roman" w:eastAsia="宋体" w:cs="Times New Roman"/>
                      <w:color w:val="auto"/>
                      <w:lang w:val="en-US" w:eastAsia="zh-CN"/>
                    </w:rPr>
                    <w:t>为封闭空间，采用</w:t>
                  </w:r>
                  <w:r>
                    <w:rPr>
                      <w:rFonts w:hint="eastAsia" w:ascii="Times New Roman" w:hAnsi="Times New Roman" w:eastAsia="宋体" w:cs="Times New Roman"/>
                      <w:color w:val="auto"/>
                      <w:lang w:val="en-US" w:eastAsia="zh-CN"/>
                    </w:rPr>
                    <w:t>集气系统</w:t>
                  </w:r>
                  <w:r>
                    <w:rPr>
                      <w:rFonts w:hint="default" w:ascii="Times New Roman" w:hAnsi="Times New Roman" w:eastAsia="宋体" w:cs="Times New Roman"/>
                      <w:color w:val="auto"/>
                      <w:lang w:val="en-US" w:eastAsia="zh-CN"/>
                    </w:rPr>
                    <w:t>将储存车间的废气收集；NMP暂存间有机废气</w:t>
                  </w:r>
                  <w:r>
                    <w:rPr>
                      <w:rFonts w:hint="eastAsia" w:cs="Times New Roman"/>
                      <w:color w:val="auto"/>
                      <w:lang w:val="en-US" w:eastAsia="zh-CN"/>
                    </w:rPr>
                    <w:t>采用集气管道收集，进风口的风速大于0.3m/s；</w:t>
                  </w:r>
                  <w:r>
                    <w:rPr>
                      <w:rFonts w:hint="default" w:ascii="Times New Roman" w:hAnsi="Times New Roman" w:eastAsia="宋体" w:cs="Times New Roman"/>
                      <w:color w:val="auto"/>
                      <w:lang w:val="en-US" w:eastAsia="zh-CN"/>
                    </w:rPr>
                    <w:t>NMP冷凝回收罐有机废气采用</w:t>
                  </w:r>
                  <w:r>
                    <w:rPr>
                      <w:rFonts w:hint="eastAsia" w:ascii="Times New Roman" w:hAnsi="Times New Roman" w:eastAsia="宋体" w:cs="Times New Roman"/>
                      <w:color w:val="auto"/>
                      <w:lang w:val="en-US" w:eastAsia="zh-CN"/>
                    </w:rPr>
                    <w:t>集气</w:t>
                  </w:r>
                  <w:r>
                    <w:rPr>
                      <w:rFonts w:hint="eastAsia" w:cs="Times New Roman"/>
                      <w:color w:val="auto"/>
                      <w:lang w:val="en-US" w:eastAsia="zh-CN"/>
                    </w:rPr>
                    <w:t>罩</w:t>
                  </w:r>
                  <w:r>
                    <w:rPr>
                      <w:rFonts w:hint="default" w:ascii="Times New Roman" w:hAnsi="Times New Roman" w:eastAsia="宋体" w:cs="Times New Roman"/>
                      <w:color w:val="auto"/>
                      <w:lang w:val="en-US" w:eastAsia="zh-CN"/>
                    </w:rPr>
                    <w:t>将储存车间的废气收集</w:t>
                  </w:r>
                  <w:r>
                    <w:rPr>
                      <w:rFonts w:hint="eastAsia" w:cs="Times New Roman"/>
                      <w:color w:val="auto"/>
                      <w:lang w:val="en-US" w:eastAsia="zh-CN"/>
                    </w:rPr>
                    <w:t>，</w:t>
                  </w:r>
                  <w:r>
                    <w:rPr>
                      <w:color w:val="auto"/>
                      <w:szCs w:val="21"/>
                    </w:rPr>
                    <w:t>距集气罩开口面最远处的</w:t>
                  </w:r>
                  <w:r>
                    <w:rPr>
                      <w:rFonts w:hint="eastAsia"/>
                      <w:color w:val="auto"/>
                      <w:szCs w:val="21"/>
                      <w:lang w:val="en-US" w:eastAsia="zh-CN"/>
                    </w:rPr>
                    <w:t>风速不低于0.3m/s。</w:t>
                  </w:r>
                </w:p>
              </w:tc>
              <w:tc>
                <w:tcPr>
                  <w:tcW w:w="943" w:type="dxa"/>
                  <w:vAlign w:val="center"/>
                </w:tcPr>
                <w:p w14:paraId="6B784DE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符合</w:t>
                  </w:r>
                </w:p>
              </w:tc>
            </w:tr>
            <w:tr w14:paraId="6F79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52138733">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6</w:t>
                  </w:r>
                </w:p>
              </w:tc>
              <w:tc>
                <w:tcPr>
                  <w:tcW w:w="3692" w:type="dxa"/>
                  <w:vAlign w:val="center"/>
                </w:tcPr>
                <w:p w14:paraId="6602C835">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鼓励将温室气体排放纳入建设项目环境影响评价，核算项目温室气体排放量，推进减污降碳协同增效，推动减碳技术创新示范应用。优先采用电、天然气等清洁能源或新能源加热方式，鼓励高温烟气余热回收。</w:t>
                  </w:r>
                </w:p>
              </w:tc>
              <w:tc>
                <w:tcPr>
                  <w:tcW w:w="3610" w:type="dxa"/>
                  <w:vAlign w:val="center"/>
                </w:tcPr>
                <w:p w14:paraId="75AF393E">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default"/>
                      <w:color w:val="auto"/>
                      <w:vertAlign w:val="baseline"/>
                      <w:lang w:val="en-US" w:eastAsia="zh-CN"/>
                    </w:rPr>
                  </w:pPr>
                  <w:r>
                    <w:rPr>
                      <w:rFonts w:hint="eastAsia"/>
                      <w:sz w:val="21"/>
                      <w:szCs w:val="21"/>
                      <w:lang w:val="en-US" w:eastAsia="zh-CN"/>
                    </w:rPr>
                    <w:t>目前暂未</w:t>
                  </w:r>
                  <w:r>
                    <w:rPr>
                      <w:rFonts w:hint="eastAsia" w:eastAsia="宋体"/>
                      <w:sz w:val="21"/>
                      <w:szCs w:val="21"/>
                      <w:lang w:eastAsia="zh-CN"/>
                    </w:rPr>
                    <w:t>锂离子电池碳核算</w:t>
                  </w:r>
                  <w:r>
                    <w:rPr>
                      <w:rFonts w:hint="eastAsia"/>
                      <w:sz w:val="21"/>
                      <w:szCs w:val="21"/>
                      <w:lang w:val="en-US" w:eastAsia="zh-CN"/>
                    </w:rPr>
                    <w:t>技术规范，若相关政策下发，企业应根据相关法律法规进行</w:t>
                  </w:r>
                  <w:r>
                    <w:rPr>
                      <w:rFonts w:hint="eastAsia" w:eastAsia="宋体"/>
                      <w:sz w:val="21"/>
                      <w:szCs w:val="21"/>
                      <w:lang w:eastAsia="zh-CN"/>
                    </w:rPr>
                    <w:t>锂离子电池碳核算</w:t>
                  </w:r>
                  <w:r>
                    <w:rPr>
                      <w:rFonts w:hint="eastAsia"/>
                      <w:sz w:val="21"/>
                      <w:szCs w:val="21"/>
                      <w:lang w:eastAsia="zh-CN"/>
                    </w:rPr>
                    <w:t>；</w:t>
                  </w:r>
                  <w:r>
                    <w:rPr>
                      <w:rFonts w:hint="eastAsia"/>
                      <w:sz w:val="21"/>
                      <w:szCs w:val="21"/>
                      <w:lang w:val="en-US" w:eastAsia="zh-CN"/>
                    </w:rPr>
                    <w:t>项目采用电加热的方式烘干极片。</w:t>
                  </w:r>
                </w:p>
              </w:tc>
              <w:tc>
                <w:tcPr>
                  <w:tcW w:w="943" w:type="dxa"/>
                  <w:vAlign w:val="center"/>
                </w:tcPr>
                <w:p w14:paraId="2B7D8468">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r w14:paraId="31F8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2C31BBFC">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7</w:t>
                  </w:r>
                </w:p>
              </w:tc>
              <w:tc>
                <w:tcPr>
                  <w:tcW w:w="3692" w:type="dxa"/>
                  <w:vAlign w:val="center"/>
                </w:tcPr>
                <w:p w14:paraId="3D8AA88D">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做好清污分流、雨污分流、分类收集、分质处理。生产废水优先回用，污染雨水收集处理。</w:t>
                  </w:r>
                </w:p>
              </w:tc>
              <w:tc>
                <w:tcPr>
                  <w:tcW w:w="3610" w:type="dxa"/>
                  <w:vAlign w:val="center"/>
                </w:tcPr>
                <w:p w14:paraId="079E1B85">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本项目雨污风流，清污分流；雨水通过雨水收集后进入园区雨水管网；</w:t>
                  </w:r>
                  <w:r>
                    <w:rPr>
                      <w:rFonts w:hint="eastAsia" w:cs="Times New Roman"/>
                      <w:color w:val="auto"/>
                      <w:lang w:val="en-US" w:eastAsia="zh-CN"/>
                    </w:rPr>
                    <w:t>设备清洗废水</w:t>
                  </w:r>
                  <w:r>
                    <w:rPr>
                      <w:rFonts w:hint="default" w:ascii="Times New Roman" w:hAnsi="Times New Roman" w:eastAsia="宋体" w:cs="Times New Roman"/>
                      <w:color w:val="auto"/>
                      <w:lang w:val="en-US" w:eastAsia="zh-CN"/>
                    </w:rPr>
                    <w:t>作为危险废物暂存于危废间，定期交由有资质单位处置</w:t>
                  </w:r>
                  <w:r>
                    <w:rPr>
                      <w:rFonts w:hint="eastAsia" w:ascii="Times New Roman" w:hAnsi="Times New Roman" w:eastAsia="宋体" w:cs="Times New Roman"/>
                      <w:color w:val="auto"/>
                      <w:lang w:val="en-US" w:eastAsia="zh-CN"/>
                    </w:rPr>
                    <w:t>；</w:t>
                  </w:r>
                  <w:r>
                    <w:rPr>
                      <w:rFonts w:hint="eastAsia" w:cs="Times New Roman"/>
                      <w:color w:val="auto"/>
                      <w:lang w:val="en-US" w:eastAsia="zh-CN"/>
                    </w:rPr>
                    <w:t>纯水制备浓水</w:t>
                  </w:r>
                  <w:r>
                    <w:rPr>
                      <w:rFonts w:hint="default" w:ascii="Times New Roman" w:hAnsi="Times New Roman" w:eastAsia="宋体" w:cs="Times New Roman"/>
                      <w:color w:val="auto"/>
                      <w:lang w:val="en-US" w:eastAsia="zh-CN"/>
                    </w:rPr>
                    <w:t>作为</w:t>
                  </w:r>
                  <w:r>
                    <w:rPr>
                      <w:rFonts w:hint="eastAsia" w:cs="Times New Roman"/>
                      <w:color w:val="auto"/>
                      <w:lang w:val="en-US" w:eastAsia="zh-CN"/>
                    </w:rPr>
                    <w:t>绿化用水；</w:t>
                  </w:r>
                  <w:r>
                    <w:rPr>
                      <w:rFonts w:hint="default" w:ascii="Times New Roman" w:hAnsi="Times New Roman" w:eastAsia="宋体" w:cs="Times New Roman"/>
                      <w:color w:val="auto"/>
                      <w:szCs w:val="21"/>
                    </w:rPr>
                    <w:t>生活污水</w:t>
                  </w:r>
                  <w:r>
                    <w:rPr>
                      <w:rFonts w:hint="eastAsia" w:ascii="Times New Roman" w:hAnsi="Times New Roman" w:eastAsia="宋体" w:cs="Times New Roman"/>
                      <w:color w:val="auto"/>
                      <w:sz w:val="21"/>
                      <w:szCs w:val="21"/>
                      <w:lang w:val="en-US" w:eastAsia="zh-CN"/>
                    </w:rPr>
                    <w:t>进入</w:t>
                  </w:r>
                  <w:r>
                    <w:rPr>
                      <w:rFonts w:hint="eastAsia" w:cs="Times New Roman"/>
                      <w:color w:val="auto"/>
                      <w:sz w:val="21"/>
                      <w:szCs w:val="21"/>
                      <w:lang w:val="en-US" w:eastAsia="zh-CN"/>
                    </w:rPr>
                    <w:t>6m³/d</w:t>
                  </w:r>
                  <w:r>
                    <w:rPr>
                      <w:rFonts w:hint="eastAsia" w:ascii="Times New Roman" w:hAnsi="Times New Roman" w:eastAsia="宋体" w:cs="Times New Roman"/>
                      <w:color w:val="auto"/>
                      <w:sz w:val="21"/>
                      <w:szCs w:val="21"/>
                      <w:lang w:val="en-US" w:eastAsia="zh-CN"/>
                    </w:rPr>
                    <w:t>的污水处理系统处理后回用于厂区绿化</w:t>
                  </w:r>
                  <w:r>
                    <w:rPr>
                      <w:rFonts w:hint="eastAsia" w:cs="Times New Roman"/>
                      <w:color w:val="auto"/>
                      <w:sz w:val="21"/>
                      <w:szCs w:val="21"/>
                      <w:lang w:val="en-US" w:eastAsia="zh-CN"/>
                    </w:rPr>
                    <w:t>。</w:t>
                  </w:r>
                </w:p>
              </w:tc>
              <w:tc>
                <w:tcPr>
                  <w:tcW w:w="943" w:type="dxa"/>
                  <w:vAlign w:val="center"/>
                </w:tcPr>
                <w:p w14:paraId="026C4AEE">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r w14:paraId="3B50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4ECAC628">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8</w:t>
                  </w:r>
                </w:p>
              </w:tc>
              <w:tc>
                <w:tcPr>
                  <w:tcW w:w="3692" w:type="dxa"/>
                  <w:vAlign w:val="center"/>
                </w:tcPr>
                <w:p w14:paraId="5D038F6C">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土壤及地下水污染防治应坚持源头控制、分区防控、跟踪监测和应急响应的防控原则。</w:t>
                  </w:r>
                </w:p>
              </w:tc>
              <w:tc>
                <w:tcPr>
                  <w:tcW w:w="3610" w:type="dxa"/>
                  <w:vAlign w:val="center"/>
                </w:tcPr>
                <w:p w14:paraId="5613226E">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default" w:eastAsia="宋体"/>
                      <w:color w:val="auto"/>
                      <w:vertAlign w:val="baseline"/>
                      <w:lang w:val="en-US" w:eastAsia="zh-CN"/>
                    </w:rPr>
                  </w:pPr>
                  <w:r>
                    <w:rPr>
                      <w:rFonts w:hint="eastAsia"/>
                      <w:color w:val="auto"/>
                      <w:vertAlign w:val="baseline"/>
                      <w:lang w:val="en-US" w:eastAsia="zh-CN"/>
                    </w:rPr>
                    <w:t>项目进行分区防渗，</w:t>
                  </w:r>
                  <w:r>
                    <w:rPr>
                      <w:rFonts w:hint="default" w:ascii="Times New Roman" w:hAnsi="Times New Roman" w:eastAsia="宋体" w:cs="Times New Roman"/>
                      <w:color w:val="auto"/>
                      <w:sz w:val="21"/>
                      <w:szCs w:val="21"/>
                      <w:lang w:eastAsia="zh-CN"/>
                    </w:rPr>
                    <w:t>危险废物暂存间、</w:t>
                  </w:r>
                  <w:r>
                    <w:rPr>
                      <w:rFonts w:hint="eastAsia" w:cs="Times New Roman"/>
                      <w:color w:val="auto"/>
                      <w:kern w:val="24"/>
                      <w:sz w:val="21"/>
                      <w:szCs w:val="21"/>
                      <w:lang w:val="en-US" w:eastAsia="zh-CN"/>
                    </w:rPr>
                    <w:t>电解液车间</w:t>
                  </w:r>
                  <w:r>
                    <w:rPr>
                      <w:rFonts w:hint="eastAsia" w:ascii="Times New Roman" w:hAnsi="Times New Roman" w:eastAsia="宋体" w:cs="Times New Roman"/>
                      <w:color w:val="auto"/>
                      <w:kern w:val="24"/>
                      <w:sz w:val="21"/>
                      <w:szCs w:val="21"/>
                      <w:lang w:val="en-US" w:eastAsia="zh-CN"/>
                    </w:rPr>
                    <w:t>、</w:t>
                  </w:r>
                  <w:r>
                    <w:rPr>
                      <w:rFonts w:hint="eastAsia" w:ascii="Times New Roman" w:hAnsi="Times New Roman" w:eastAsia="宋体" w:cs="Times New Roman"/>
                      <w:color w:val="auto"/>
                      <w:sz w:val="21"/>
                      <w:szCs w:val="21"/>
                      <w:lang w:val="en-US" w:eastAsia="zh-CN"/>
                    </w:rPr>
                    <w:t>磷酸铁锂、PVDF、CMC</w:t>
                  </w:r>
                  <w:r>
                    <w:rPr>
                      <w:rFonts w:hint="eastAsia" w:ascii="Times New Roman" w:hAnsi="Times New Roman" w:eastAsia="宋体" w:cs="Times New Roman"/>
                      <w:color w:val="auto"/>
                      <w:kern w:val="24"/>
                      <w:sz w:val="21"/>
                      <w:szCs w:val="21"/>
                      <w:lang w:val="en-US" w:eastAsia="zh-CN"/>
                    </w:rPr>
                    <w:t>原料储存区、</w:t>
                  </w:r>
                  <w:r>
                    <w:rPr>
                      <w:rFonts w:hint="eastAsia" w:cs="Times New Roman"/>
                      <w:color w:val="auto"/>
                      <w:sz w:val="21"/>
                      <w:szCs w:val="21"/>
                      <w:lang w:val="en-US" w:eastAsia="zh-CN"/>
                    </w:rPr>
                    <w:t>涂布烘干区、注液区</w:t>
                  </w:r>
                  <w:r>
                    <w:rPr>
                      <w:rFonts w:hint="default" w:ascii="Times New Roman" w:hAnsi="Times New Roman" w:eastAsia="宋体" w:cs="Times New Roman"/>
                      <w:color w:val="auto"/>
                      <w:sz w:val="21"/>
                      <w:szCs w:val="21"/>
                    </w:rPr>
                    <w:t>为重点</w:t>
                  </w:r>
                  <w:r>
                    <w:rPr>
                      <w:rFonts w:hint="default" w:ascii="Times New Roman" w:hAnsi="Times New Roman" w:eastAsia="宋体" w:cs="Times New Roman"/>
                      <w:color w:val="auto"/>
                    </w:rPr>
                    <w:t>防渗区，</w:t>
                  </w:r>
                  <w:r>
                    <w:rPr>
                      <w:rFonts w:hint="default" w:ascii="Times New Roman" w:hAnsi="Times New Roman" w:eastAsia="宋体" w:cs="Times New Roman"/>
                      <w:color w:val="auto"/>
                      <w:lang w:val="en-US" w:eastAsia="zh-CN"/>
                    </w:rPr>
                    <w:t>建议采取</w:t>
                  </w:r>
                  <w:r>
                    <w:rPr>
                      <w:rFonts w:hint="default" w:ascii="Times New Roman" w:hAnsi="Times New Roman" w:eastAsia="宋体" w:cs="Times New Roman"/>
                      <w:color w:val="auto"/>
                      <w:lang w:eastAsia="zh-CN"/>
                    </w:rPr>
                    <w:t>环氧树脂</w:t>
                  </w:r>
                  <w:r>
                    <w:rPr>
                      <w:rFonts w:hint="default" w:ascii="Times New Roman" w:hAnsi="Times New Roman" w:eastAsia="宋体" w:cs="Times New Roman"/>
                      <w:color w:val="auto"/>
                      <w:lang w:val="en-US" w:eastAsia="zh-CN"/>
                    </w:rPr>
                    <w:t>防渗材料进行防渗</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rPr>
                    <w:t>化粪池</w:t>
                  </w:r>
                  <w:r>
                    <w:rPr>
                      <w:rFonts w:hint="default" w:ascii="Times New Roman" w:hAnsi="Times New Roman" w:eastAsia="宋体" w:cs="Times New Roman"/>
                      <w:color w:val="auto"/>
                      <w:lang w:val="en-US" w:eastAsia="zh-CN"/>
                    </w:rPr>
                    <w:t>采用混凝土硬化地面完成一般防渗；本项目新建的</w:t>
                  </w:r>
                  <w:r>
                    <w:rPr>
                      <w:rFonts w:hint="eastAsia" w:ascii="Times New Roman" w:hAnsi="Times New Roman" w:eastAsia="宋体" w:cs="Times New Roman"/>
                      <w:color w:val="auto"/>
                      <w:kern w:val="24"/>
                      <w:sz w:val="21"/>
                      <w:szCs w:val="21"/>
                      <w:lang w:val="en-US" w:eastAsia="zh-CN"/>
                    </w:rPr>
                    <w:t>1</w:t>
                  </w:r>
                  <w:r>
                    <w:rPr>
                      <w:rFonts w:hint="default" w:ascii="Times New Roman" w:hAnsi="Times New Roman" w:eastAsia="宋体" w:cs="Times New Roman"/>
                      <w:color w:val="auto"/>
                      <w:kern w:val="24"/>
                      <w:sz w:val="21"/>
                      <w:szCs w:val="21"/>
                      <w:lang w:val="en-US" w:eastAsia="zh-CN"/>
                    </w:rPr>
                    <w:t>5m³化粪池</w:t>
                  </w:r>
                  <w:r>
                    <w:rPr>
                      <w:rFonts w:hint="eastAsia" w:ascii="Times New Roman" w:hAnsi="Times New Roman" w:eastAsia="宋体" w:cs="Times New Roman"/>
                      <w:color w:val="auto"/>
                      <w:kern w:val="24"/>
                      <w:sz w:val="21"/>
                      <w:szCs w:val="21"/>
                      <w:lang w:val="en-US" w:eastAsia="zh-CN"/>
                    </w:rPr>
                    <w:t>、20m³的中水池、</w:t>
                  </w:r>
                  <w:r>
                    <w:rPr>
                      <w:rFonts w:hint="eastAsia" w:cs="Times New Roman"/>
                      <w:color w:val="auto"/>
                      <w:kern w:val="24"/>
                      <w:sz w:val="21"/>
                      <w:szCs w:val="21"/>
                      <w:lang w:val="en-US" w:eastAsia="zh-CN"/>
                    </w:rPr>
                    <w:t>6m³/d</w:t>
                  </w:r>
                  <w:r>
                    <w:rPr>
                      <w:rFonts w:hint="eastAsia" w:ascii="Times New Roman" w:hAnsi="Times New Roman" w:eastAsia="宋体" w:cs="Times New Roman"/>
                      <w:color w:val="auto"/>
                      <w:kern w:val="24"/>
                      <w:sz w:val="21"/>
                      <w:szCs w:val="21"/>
                      <w:lang w:val="en-US" w:eastAsia="zh-CN"/>
                    </w:rPr>
                    <w:t>的一体化污水处理站</w:t>
                  </w:r>
                  <w:r>
                    <w:rPr>
                      <w:rFonts w:hint="default" w:ascii="Times New Roman" w:hAnsi="Times New Roman" w:eastAsia="宋体" w:cs="Times New Roman"/>
                      <w:color w:val="auto"/>
                    </w:rPr>
                    <w:t>为一般防渗区</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kern w:val="24"/>
                      <w:sz w:val="21"/>
                      <w:szCs w:val="21"/>
                    </w:rPr>
                    <w:t>厂区道路</w:t>
                  </w:r>
                  <w:r>
                    <w:rPr>
                      <w:rFonts w:hint="default" w:ascii="Times New Roman" w:hAnsi="Times New Roman" w:eastAsia="宋体" w:cs="Times New Roman"/>
                      <w:color w:val="auto"/>
                      <w:kern w:val="24"/>
                      <w:sz w:val="21"/>
                      <w:szCs w:val="21"/>
                      <w:lang w:eastAsia="zh-CN"/>
                    </w:rPr>
                    <w:t>、</w:t>
                  </w:r>
                  <w:r>
                    <w:rPr>
                      <w:rFonts w:hint="eastAsia" w:ascii="Times New Roman" w:hAnsi="Times New Roman" w:eastAsia="宋体" w:cs="Times New Roman"/>
                      <w:color w:val="auto"/>
                      <w:kern w:val="24"/>
                      <w:sz w:val="21"/>
                      <w:szCs w:val="21"/>
                      <w:lang w:val="en-US" w:eastAsia="zh-CN"/>
                    </w:rPr>
                    <w:t>其它非重点</w:t>
                  </w:r>
                  <w:r>
                    <w:rPr>
                      <w:rFonts w:hint="default" w:ascii="Times New Roman" w:hAnsi="Times New Roman" w:eastAsia="宋体" w:cs="Times New Roman"/>
                      <w:color w:val="auto"/>
                      <w:kern w:val="24"/>
                      <w:sz w:val="21"/>
                      <w:szCs w:val="21"/>
                      <w:lang w:val="en-US" w:eastAsia="zh-CN"/>
                    </w:rPr>
                    <w:t>生产区</w:t>
                  </w:r>
                  <w:r>
                    <w:rPr>
                      <w:rFonts w:hint="default" w:ascii="Times New Roman" w:hAnsi="Times New Roman" w:eastAsia="宋体" w:cs="Times New Roman"/>
                      <w:color w:val="auto"/>
                    </w:rPr>
                    <w:t>为简单防渗区。</w:t>
                  </w:r>
                  <w:r>
                    <w:rPr>
                      <w:rFonts w:hint="eastAsia" w:cs="Times New Roman"/>
                      <w:color w:val="auto"/>
                      <w:lang w:val="en-US" w:eastAsia="zh-CN"/>
                    </w:rPr>
                    <w:t>根据</w:t>
                  </w:r>
                  <w:r>
                    <w:rPr>
                      <w:rFonts w:hint="default" w:ascii="Times New Roman" w:hAnsi="Times New Roman" w:eastAsia="宋体" w:cs="Times New Roman"/>
                      <w:color w:val="auto"/>
                      <w:kern w:val="0"/>
                      <w:sz w:val="21"/>
                      <w:szCs w:val="21"/>
                      <w:lang w:val="en-US" w:eastAsia="zh-CN"/>
                    </w:rPr>
                    <w:t>《玉溪高新技术产业开发区总体规划修编（2021-2035年）</w:t>
                  </w:r>
                  <w:r>
                    <w:rPr>
                      <w:rFonts w:hint="eastAsia" w:cs="Times New Roman"/>
                      <w:color w:val="auto"/>
                      <w:lang w:val="en-US" w:eastAsia="zh-CN"/>
                    </w:rPr>
                    <w:t>园区周边地下水由园区定期进行</w:t>
                  </w:r>
                  <w:r>
                    <w:rPr>
                      <w:rFonts w:hint="eastAsia"/>
                      <w:color w:val="auto"/>
                      <w:vertAlign w:val="baseline"/>
                      <w:lang w:val="en-US" w:eastAsia="zh-CN"/>
                    </w:rPr>
                    <w:t>跟踪监测；</w:t>
                  </w:r>
                  <w:r>
                    <w:rPr>
                      <w:rFonts w:hint="eastAsia"/>
                      <w:sz w:val="21"/>
                      <w:szCs w:val="21"/>
                      <w:lang w:eastAsia="zh-CN"/>
                    </w:rPr>
                    <w:t>企业应按照国家有关规定制定突发环境事件应急预案</w:t>
                  </w:r>
                  <w:r>
                    <w:rPr>
                      <w:rFonts w:hint="eastAsia"/>
                      <w:sz w:val="21"/>
                      <w:szCs w:val="21"/>
                      <w:lang w:val="en-US" w:eastAsia="zh-CN"/>
                    </w:rPr>
                    <w:t>设置</w:t>
                  </w:r>
                  <w:r>
                    <w:rPr>
                      <w:rFonts w:hint="eastAsia"/>
                      <w:color w:val="auto"/>
                      <w:vertAlign w:val="baseline"/>
                      <w:lang w:val="en-US" w:eastAsia="zh-CN"/>
                    </w:rPr>
                    <w:t>应急响应的防控措施和程序。</w:t>
                  </w:r>
                </w:p>
              </w:tc>
              <w:tc>
                <w:tcPr>
                  <w:tcW w:w="943" w:type="dxa"/>
                  <w:vAlign w:val="center"/>
                </w:tcPr>
                <w:p w14:paraId="79FCD848">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r w14:paraId="4603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5A3467F4">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9</w:t>
                  </w:r>
                </w:p>
              </w:tc>
              <w:tc>
                <w:tcPr>
                  <w:tcW w:w="3692" w:type="dxa"/>
                  <w:vAlign w:val="center"/>
                </w:tcPr>
                <w:p w14:paraId="75F54549">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按照减量化、资源化、无害化原则，妥善处理处置固体废物。</w:t>
                  </w:r>
                </w:p>
              </w:tc>
              <w:tc>
                <w:tcPr>
                  <w:tcW w:w="3610" w:type="dxa"/>
                  <w:vAlign w:val="center"/>
                </w:tcPr>
                <w:p w14:paraId="75BEEFEE">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本项目固体废弃物处置率100%。</w:t>
                  </w:r>
                </w:p>
              </w:tc>
              <w:tc>
                <w:tcPr>
                  <w:tcW w:w="943" w:type="dxa"/>
                  <w:vAlign w:val="center"/>
                </w:tcPr>
                <w:p w14:paraId="28AED8BD">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r w14:paraId="0F72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19F71827">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10</w:t>
                  </w:r>
                </w:p>
              </w:tc>
              <w:tc>
                <w:tcPr>
                  <w:tcW w:w="3692" w:type="dxa"/>
                  <w:vAlign w:val="center"/>
                </w:tcPr>
                <w:p w14:paraId="24E2F6B5">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优化厂区平面布置，优先选择低噪声设备和工艺，采取减振、隔声、消声等措施有效控制噪声污染。加强厂区内固定设备、运输工具、货物装卸等噪声源管理，同时避免突发噪声扰民。</w:t>
                  </w:r>
                </w:p>
              </w:tc>
              <w:tc>
                <w:tcPr>
                  <w:tcW w:w="3610" w:type="dxa"/>
                  <w:vAlign w:val="center"/>
                </w:tcPr>
                <w:p w14:paraId="208690E5">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default"/>
                      <w:color w:val="auto"/>
                      <w:vertAlign w:val="baseline"/>
                      <w:lang w:val="en-US" w:eastAsia="zh-CN"/>
                    </w:rPr>
                  </w:pPr>
                  <w:r>
                    <w:rPr>
                      <w:rFonts w:hint="eastAsia"/>
                      <w:color w:val="auto"/>
                      <w:vertAlign w:val="baseline"/>
                      <w:lang w:val="en-US" w:eastAsia="zh-CN"/>
                    </w:rPr>
                    <w:t>项目委托专业的设计院对厂房布局进行设置，选用低噪设备，采用基础减震、厂房隔声等措施进行噪声控制；厂区内限速行驶，文明装卸货物、禁止鸣笛等措施减少偶发噪声的产生，项目区500m范围外无居民区，生产过程的偶发噪声源对周边居民区影响较小。</w:t>
                  </w:r>
                </w:p>
              </w:tc>
              <w:tc>
                <w:tcPr>
                  <w:tcW w:w="943" w:type="dxa"/>
                  <w:vAlign w:val="center"/>
                </w:tcPr>
                <w:p w14:paraId="5350EB32">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r w14:paraId="78A1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7E0B087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11</w:t>
                  </w:r>
                </w:p>
              </w:tc>
              <w:tc>
                <w:tcPr>
                  <w:tcW w:w="3692" w:type="dxa"/>
                  <w:vAlign w:val="center"/>
                </w:tcPr>
                <w:p w14:paraId="46C89CA9">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严密防控项目环境风险，建立完善的环境风险防控体系，提升环境风险防控能力，确保环境风险防范和应急措施合理、有效。针对项目可能产生的突发环境事件制定有效的风险防范和应急措施，建立项目环境风险防范与应急管理体系，提出运行期突发环境事件应急预案编制要求。</w:t>
                  </w:r>
                </w:p>
              </w:tc>
              <w:tc>
                <w:tcPr>
                  <w:tcW w:w="3610" w:type="dxa"/>
                  <w:vAlign w:val="center"/>
                </w:tcPr>
                <w:p w14:paraId="26B25985">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sz w:val="21"/>
                      <w:szCs w:val="21"/>
                    </w:rPr>
                    <w:t>本</w:t>
                  </w:r>
                  <w:r>
                    <w:rPr>
                      <w:rFonts w:hint="eastAsia"/>
                      <w:color w:val="auto"/>
                      <w:sz w:val="21"/>
                      <w:szCs w:val="21"/>
                      <w:lang w:val="en-US" w:eastAsia="zh-CN"/>
                    </w:rPr>
                    <w:t>次评价</w:t>
                  </w:r>
                  <w:r>
                    <w:rPr>
                      <w:rFonts w:hint="eastAsia"/>
                      <w:color w:val="auto"/>
                      <w:sz w:val="21"/>
                      <w:szCs w:val="21"/>
                    </w:rPr>
                    <w:t>要求项目建成后及时编制突发环境事件应急预案</w:t>
                  </w:r>
                  <w:r>
                    <w:rPr>
                      <w:rFonts w:hint="eastAsia"/>
                      <w:color w:val="auto"/>
                      <w:sz w:val="21"/>
                      <w:szCs w:val="21"/>
                      <w:lang w:eastAsia="zh-CN"/>
                    </w:rPr>
                    <w:t>，</w:t>
                  </w:r>
                  <w:r>
                    <w:rPr>
                      <w:rFonts w:hint="eastAsia"/>
                      <w:color w:val="auto"/>
                      <w:sz w:val="21"/>
                      <w:szCs w:val="21"/>
                      <w:lang w:val="en-US" w:eastAsia="zh-CN"/>
                    </w:rPr>
                    <w:t>严格</w:t>
                  </w:r>
                  <w:r>
                    <w:rPr>
                      <w:rFonts w:hint="eastAsia"/>
                      <w:color w:val="auto"/>
                      <w:vertAlign w:val="baseline"/>
                      <w:lang w:val="en-US" w:eastAsia="zh-CN"/>
                    </w:rPr>
                    <w:t>防控项目环境风险，建立完善的环境风险防控体系，提升环境风险防控能力，确保环境风险防范和应急措施合理、有效。</w:t>
                  </w:r>
                  <w:r>
                    <w:rPr>
                      <w:rFonts w:hint="eastAsia"/>
                      <w:color w:val="auto"/>
                      <w:sz w:val="21"/>
                      <w:szCs w:val="21"/>
                      <w:lang w:val="en-US" w:eastAsia="zh-CN"/>
                    </w:rPr>
                    <w:t>并定期展开应急演练，确保预案制定的程序、提出的措施可行</w:t>
                  </w:r>
                  <w:r>
                    <w:rPr>
                      <w:rFonts w:hint="eastAsia"/>
                      <w:sz w:val="21"/>
                      <w:szCs w:val="21"/>
                      <w:lang w:eastAsia="zh-CN"/>
                    </w:rPr>
                    <w:t>。</w:t>
                  </w:r>
                </w:p>
              </w:tc>
              <w:tc>
                <w:tcPr>
                  <w:tcW w:w="943" w:type="dxa"/>
                  <w:vAlign w:val="center"/>
                </w:tcPr>
                <w:p w14:paraId="74BE404B">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r w14:paraId="6118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571E10F6">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12</w:t>
                  </w:r>
                </w:p>
              </w:tc>
              <w:tc>
                <w:tcPr>
                  <w:tcW w:w="3692" w:type="dxa"/>
                  <w:vAlign w:val="center"/>
                </w:tcPr>
                <w:p w14:paraId="1C82605F">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eastAsia"/>
                      <w:color w:val="auto"/>
                      <w:vertAlign w:val="baseline"/>
                      <w:lang w:val="en-US" w:eastAsia="zh-CN"/>
                    </w:rPr>
                  </w:pPr>
                  <w:r>
                    <w:rPr>
                      <w:rFonts w:hint="eastAsia"/>
                      <w:color w:val="auto"/>
                      <w:vertAlign w:val="baseline"/>
                      <w:lang w:val="en-US" w:eastAsia="zh-CN"/>
                    </w:rPr>
                    <w:t>明确项目实施后的环境管理要求和环境监测计划。根据自行监测技术指南和排污许可证申请与核发技术规范要求，制定废水、废气污染物排放及厂界环境噪声监测计划并开展监测，监测位置应符合技术规范要求。</w:t>
                  </w:r>
                </w:p>
              </w:tc>
              <w:tc>
                <w:tcPr>
                  <w:tcW w:w="3610" w:type="dxa"/>
                  <w:vAlign w:val="center"/>
                </w:tcPr>
                <w:p w14:paraId="59AC42BD">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本次评价对照《排污许可证申请与核发技术规范电池工业》（HJ967-2018）《排污单位自行监测技术指南总则》（HJ8192017）和《排污单位自行监测技术指南电池工业》(HJ1204-2021)制定了自行监测方案，企业应委托具有资质的单位定期开展监测。</w:t>
                  </w:r>
                </w:p>
              </w:tc>
              <w:tc>
                <w:tcPr>
                  <w:tcW w:w="943" w:type="dxa"/>
                  <w:vAlign w:val="center"/>
                </w:tcPr>
                <w:p w14:paraId="60274DA5">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r w14:paraId="179C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45" w:type="dxa"/>
                  <w:vAlign w:val="center"/>
                </w:tcPr>
                <w:p w14:paraId="4933E46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vertAlign w:val="baseline"/>
                      <w:lang w:val="en-US" w:eastAsia="zh-CN"/>
                    </w:rPr>
                  </w:pPr>
                  <w:r>
                    <w:rPr>
                      <w:rFonts w:hint="eastAsia"/>
                      <w:color w:val="auto"/>
                      <w:vertAlign w:val="baseline"/>
                      <w:lang w:val="en-US" w:eastAsia="zh-CN"/>
                    </w:rPr>
                    <w:t>13</w:t>
                  </w:r>
                </w:p>
              </w:tc>
              <w:tc>
                <w:tcPr>
                  <w:tcW w:w="3692" w:type="dxa"/>
                  <w:vAlign w:val="center"/>
                </w:tcPr>
                <w:p w14:paraId="7CF52512">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default"/>
                      <w:color w:val="auto"/>
                      <w:vertAlign w:val="baseline"/>
                      <w:lang w:val="en-US" w:eastAsia="zh-CN"/>
                    </w:rPr>
                  </w:pPr>
                  <w:r>
                    <w:rPr>
                      <w:rFonts w:hint="eastAsia"/>
                      <w:color w:val="auto"/>
                      <w:vertAlign w:val="baseline"/>
                      <w:lang w:val="en-US" w:eastAsia="zh-CN"/>
                    </w:rPr>
                    <w:t>项目污染防治设施建设依照《中华人民共和国安全生产法》有关规定接受监督。</w:t>
                  </w:r>
                </w:p>
              </w:tc>
              <w:tc>
                <w:tcPr>
                  <w:tcW w:w="3610" w:type="dxa"/>
                  <w:vAlign w:val="center"/>
                </w:tcPr>
                <w:p w14:paraId="6A04C65E">
                  <w:pPr>
                    <w:keepNext w:val="0"/>
                    <w:keepLines w:val="0"/>
                    <w:pageBreakBefore w:val="0"/>
                    <w:widowControl w:val="0"/>
                    <w:kinsoku/>
                    <w:wordWrap/>
                    <w:overflowPunct/>
                    <w:topLinePunct w:val="0"/>
                    <w:autoSpaceDE/>
                    <w:autoSpaceDN/>
                    <w:bidi w:val="0"/>
                    <w:adjustRightInd/>
                    <w:snapToGrid w:val="0"/>
                    <w:spacing w:before="95" w:beforeLines="30" w:after="95" w:afterLines="30"/>
                    <w:jc w:val="both"/>
                    <w:textAlignment w:val="auto"/>
                    <w:rPr>
                      <w:rFonts w:hint="default"/>
                      <w:color w:val="auto"/>
                      <w:vertAlign w:val="baseline"/>
                      <w:lang w:val="en-US" w:eastAsia="zh-CN"/>
                    </w:rPr>
                  </w:pPr>
                  <w:r>
                    <w:rPr>
                      <w:rFonts w:hint="eastAsia"/>
                      <w:color w:val="auto"/>
                      <w:vertAlign w:val="baseline"/>
                      <w:lang w:val="en-US" w:eastAsia="zh-CN"/>
                    </w:rPr>
                    <w:t>企业应依法开展安全“三同时，”在应急管理局的监督下安全生产。</w:t>
                  </w:r>
                </w:p>
              </w:tc>
              <w:tc>
                <w:tcPr>
                  <w:tcW w:w="943" w:type="dxa"/>
                  <w:vAlign w:val="center"/>
                </w:tcPr>
                <w:p w14:paraId="49328A5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vertAlign w:val="baseline"/>
                      <w:lang w:val="en-US" w:eastAsia="zh-CN"/>
                    </w:rPr>
                  </w:pPr>
                  <w:r>
                    <w:rPr>
                      <w:rFonts w:hint="eastAsia"/>
                      <w:color w:val="auto"/>
                      <w:vertAlign w:val="baseline"/>
                      <w:lang w:val="en-US" w:eastAsia="zh-CN"/>
                    </w:rPr>
                    <w:t>符合</w:t>
                  </w:r>
                </w:p>
              </w:tc>
            </w:tr>
          </w:tbl>
          <w:p w14:paraId="6589206D">
            <w:pPr>
              <w:rPr>
                <w:rFonts w:hint="eastAsia"/>
                <w:color w:val="auto"/>
                <w:lang w:val="en-US" w:eastAsia="zh-CN"/>
              </w:rPr>
            </w:pPr>
          </w:p>
          <w:p w14:paraId="79DCDBDD">
            <w:pPr>
              <w:rPr>
                <w:rFonts w:hint="eastAsia"/>
                <w:color w:val="auto"/>
                <w:lang w:val="en-US" w:eastAsia="zh-CN"/>
              </w:rPr>
            </w:pPr>
          </w:p>
          <w:p w14:paraId="69C4A1C1">
            <w:pPr>
              <w:rPr>
                <w:rFonts w:hint="eastAsia"/>
                <w:color w:val="auto"/>
                <w:lang w:val="en-US" w:eastAsia="zh-CN"/>
              </w:rPr>
            </w:pPr>
          </w:p>
          <w:p w14:paraId="2CDFC4FB">
            <w:pPr>
              <w:rPr>
                <w:rFonts w:hint="eastAsia"/>
                <w:color w:val="auto"/>
                <w:lang w:val="en-US" w:eastAsia="zh-CN"/>
              </w:rPr>
            </w:pPr>
          </w:p>
          <w:p w14:paraId="02508E5A">
            <w:pPr>
              <w:rPr>
                <w:rFonts w:hint="eastAsia"/>
                <w:color w:val="auto"/>
                <w:lang w:val="en-US" w:eastAsia="zh-CN"/>
              </w:rPr>
            </w:pPr>
          </w:p>
          <w:p w14:paraId="0D8FFEDA">
            <w:pPr>
              <w:rPr>
                <w:rFonts w:hint="eastAsia"/>
                <w:color w:val="auto"/>
                <w:lang w:val="en-US" w:eastAsia="zh-CN"/>
              </w:rPr>
            </w:pPr>
          </w:p>
          <w:p w14:paraId="4BAEDF2D">
            <w:pPr>
              <w:rPr>
                <w:rFonts w:hint="eastAsia"/>
                <w:color w:val="auto"/>
                <w:lang w:val="en-US" w:eastAsia="zh-CN"/>
              </w:rPr>
            </w:pPr>
          </w:p>
          <w:p w14:paraId="10EA9668">
            <w:pPr>
              <w:rPr>
                <w:rFonts w:hint="eastAsia"/>
                <w:color w:val="auto"/>
                <w:lang w:val="en-US" w:eastAsia="zh-CN"/>
              </w:rPr>
            </w:pPr>
          </w:p>
          <w:p w14:paraId="76173AAA">
            <w:pPr>
              <w:rPr>
                <w:rFonts w:hint="eastAsia"/>
                <w:color w:val="auto"/>
                <w:lang w:val="en-US" w:eastAsia="zh-CN"/>
              </w:rPr>
            </w:pPr>
          </w:p>
          <w:p w14:paraId="4A417602">
            <w:pPr>
              <w:rPr>
                <w:rFonts w:hint="eastAsia"/>
                <w:color w:val="auto"/>
                <w:lang w:val="en-US" w:eastAsia="zh-CN"/>
              </w:rPr>
            </w:pPr>
          </w:p>
          <w:p w14:paraId="214D5677">
            <w:pPr>
              <w:rPr>
                <w:rFonts w:hint="eastAsia"/>
                <w:color w:val="auto"/>
                <w:lang w:val="en-US" w:eastAsia="zh-CN"/>
              </w:rPr>
            </w:pPr>
          </w:p>
          <w:p w14:paraId="2D6AAA30">
            <w:pPr>
              <w:rPr>
                <w:rFonts w:hint="eastAsia"/>
                <w:color w:val="auto"/>
                <w:lang w:val="en-US" w:eastAsia="zh-CN"/>
              </w:rPr>
            </w:pPr>
          </w:p>
          <w:p w14:paraId="5348D6F2">
            <w:pPr>
              <w:rPr>
                <w:rFonts w:hint="eastAsia"/>
                <w:color w:val="auto"/>
                <w:lang w:val="en-US" w:eastAsia="zh-CN"/>
              </w:rPr>
            </w:pPr>
          </w:p>
          <w:p w14:paraId="37E4F298">
            <w:pPr>
              <w:rPr>
                <w:rFonts w:hint="eastAsia"/>
                <w:color w:val="auto"/>
                <w:lang w:val="en-US" w:eastAsia="zh-CN"/>
              </w:rPr>
            </w:pPr>
          </w:p>
          <w:p w14:paraId="699E0E85">
            <w:pPr>
              <w:rPr>
                <w:rFonts w:hint="eastAsia"/>
                <w:color w:val="auto"/>
                <w:lang w:val="en-US" w:eastAsia="zh-CN"/>
              </w:rPr>
            </w:pPr>
          </w:p>
          <w:p w14:paraId="448072E3">
            <w:pPr>
              <w:rPr>
                <w:rFonts w:hint="eastAsia"/>
                <w:color w:val="auto"/>
                <w:lang w:val="en-US" w:eastAsia="zh-CN"/>
              </w:rPr>
            </w:pPr>
          </w:p>
          <w:p w14:paraId="0ABC9BB7">
            <w:pPr>
              <w:rPr>
                <w:rFonts w:hint="eastAsia"/>
                <w:color w:val="auto"/>
                <w:lang w:val="en-US" w:eastAsia="zh-CN"/>
              </w:rPr>
            </w:pPr>
          </w:p>
          <w:p w14:paraId="27020939">
            <w:pPr>
              <w:rPr>
                <w:rFonts w:hint="eastAsia"/>
                <w:color w:val="auto"/>
                <w:lang w:val="en-US" w:eastAsia="zh-CN"/>
              </w:rPr>
            </w:pPr>
          </w:p>
          <w:p w14:paraId="3428BA60">
            <w:pPr>
              <w:rPr>
                <w:rFonts w:hint="eastAsia"/>
                <w:color w:val="auto"/>
                <w:lang w:val="en-US" w:eastAsia="zh-CN"/>
              </w:rPr>
            </w:pPr>
          </w:p>
          <w:p w14:paraId="25983B27">
            <w:pPr>
              <w:rPr>
                <w:rFonts w:hint="eastAsia"/>
                <w:color w:val="auto"/>
                <w:lang w:val="en-US" w:eastAsia="zh-CN"/>
              </w:rPr>
            </w:pPr>
          </w:p>
          <w:p w14:paraId="1D5B54D6">
            <w:pPr>
              <w:rPr>
                <w:rFonts w:hint="eastAsia"/>
                <w:color w:val="auto"/>
                <w:lang w:val="en-US" w:eastAsia="zh-CN"/>
              </w:rPr>
            </w:pPr>
          </w:p>
          <w:p w14:paraId="604879F3">
            <w:pPr>
              <w:rPr>
                <w:rFonts w:hint="eastAsia"/>
                <w:color w:val="auto"/>
                <w:lang w:val="en-US" w:eastAsia="zh-CN"/>
              </w:rPr>
            </w:pPr>
          </w:p>
          <w:p w14:paraId="62618375">
            <w:pPr>
              <w:rPr>
                <w:rFonts w:hint="eastAsia"/>
                <w:color w:val="auto"/>
                <w:lang w:val="en-US" w:eastAsia="zh-CN"/>
              </w:rPr>
            </w:pPr>
          </w:p>
          <w:p w14:paraId="5615CDDE">
            <w:pPr>
              <w:rPr>
                <w:rFonts w:hint="eastAsia"/>
                <w:color w:val="auto"/>
                <w:lang w:val="en-US" w:eastAsia="zh-CN"/>
              </w:rPr>
            </w:pPr>
          </w:p>
          <w:p w14:paraId="28DA4779">
            <w:pPr>
              <w:rPr>
                <w:rFonts w:hint="eastAsia"/>
                <w:color w:val="auto"/>
                <w:lang w:val="en-US" w:eastAsia="zh-CN"/>
              </w:rPr>
            </w:pPr>
          </w:p>
          <w:p w14:paraId="154882DA">
            <w:pPr>
              <w:rPr>
                <w:rFonts w:hint="eastAsia"/>
                <w:color w:val="auto"/>
                <w:lang w:val="en-US" w:eastAsia="zh-CN"/>
              </w:rPr>
            </w:pPr>
          </w:p>
          <w:p w14:paraId="6482A790">
            <w:pPr>
              <w:rPr>
                <w:rFonts w:hint="eastAsia"/>
                <w:color w:val="auto"/>
                <w:lang w:val="en-US" w:eastAsia="zh-CN"/>
              </w:rPr>
            </w:pPr>
          </w:p>
          <w:p w14:paraId="6C946B64">
            <w:pPr>
              <w:rPr>
                <w:rFonts w:hint="eastAsia"/>
                <w:color w:val="auto"/>
                <w:lang w:val="en-US" w:eastAsia="zh-CN"/>
              </w:rPr>
            </w:pPr>
          </w:p>
          <w:p w14:paraId="075CB092">
            <w:pPr>
              <w:rPr>
                <w:rFonts w:hint="eastAsia"/>
                <w:color w:val="auto"/>
                <w:lang w:val="en-US" w:eastAsia="zh-CN"/>
              </w:rPr>
            </w:pPr>
          </w:p>
          <w:p w14:paraId="5559C165">
            <w:pPr>
              <w:rPr>
                <w:rFonts w:hint="eastAsia"/>
                <w:color w:val="auto"/>
                <w:lang w:val="en-US" w:eastAsia="zh-CN"/>
              </w:rPr>
            </w:pPr>
          </w:p>
          <w:p w14:paraId="4CADB798">
            <w:pPr>
              <w:rPr>
                <w:rFonts w:hint="eastAsia"/>
                <w:color w:val="auto"/>
                <w:lang w:val="en-US" w:eastAsia="zh-CN"/>
              </w:rPr>
            </w:pPr>
          </w:p>
          <w:p w14:paraId="75226212">
            <w:pPr>
              <w:rPr>
                <w:rFonts w:hint="eastAsia"/>
                <w:color w:val="auto"/>
                <w:lang w:val="en-US" w:eastAsia="zh-CN"/>
              </w:rPr>
            </w:pPr>
          </w:p>
          <w:p w14:paraId="1CB53618">
            <w:pPr>
              <w:rPr>
                <w:rFonts w:hint="eastAsia"/>
                <w:color w:val="auto"/>
                <w:lang w:val="en-US" w:eastAsia="zh-CN"/>
              </w:rPr>
            </w:pPr>
          </w:p>
          <w:p w14:paraId="60FCD513">
            <w:pPr>
              <w:rPr>
                <w:rFonts w:hint="eastAsia"/>
                <w:color w:val="auto"/>
                <w:lang w:val="en-US" w:eastAsia="zh-CN"/>
              </w:rPr>
            </w:pPr>
          </w:p>
          <w:p w14:paraId="1A40E29B">
            <w:pPr>
              <w:rPr>
                <w:rFonts w:hint="eastAsia"/>
                <w:color w:val="auto"/>
                <w:lang w:val="en-US" w:eastAsia="zh-CN"/>
              </w:rPr>
            </w:pPr>
          </w:p>
          <w:p w14:paraId="195E0FDE">
            <w:pPr>
              <w:rPr>
                <w:rFonts w:hint="eastAsia"/>
                <w:color w:val="auto"/>
                <w:lang w:val="en-US" w:eastAsia="zh-CN"/>
              </w:rPr>
            </w:pPr>
          </w:p>
          <w:p w14:paraId="4C92A8B9">
            <w:pPr>
              <w:rPr>
                <w:rFonts w:hint="eastAsia"/>
                <w:color w:val="auto"/>
                <w:lang w:val="en-US" w:eastAsia="zh-CN"/>
              </w:rPr>
            </w:pPr>
          </w:p>
          <w:p w14:paraId="14512B32">
            <w:pPr>
              <w:rPr>
                <w:rFonts w:hint="eastAsia"/>
                <w:color w:val="auto"/>
                <w:lang w:val="en-US" w:eastAsia="zh-CN"/>
              </w:rPr>
            </w:pPr>
          </w:p>
          <w:p w14:paraId="2762359E">
            <w:pPr>
              <w:rPr>
                <w:rFonts w:hint="eastAsia"/>
                <w:color w:val="auto"/>
                <w:lang w:val="en-US" w:eastAsia="zh-CN"/>
              </w:rPr>
            </w:pPr>
          </w:p>
          <w:p w14:paraId="1EDF003C">
            <w:pPr>
              <w:rPr>
                <w:rFonts w:hint="eastAsia"/>
                <w:color w:val="auto"/>
                <w:lang w:val="en-US" w:eastAsia="zh-CN"/>
              </w:rPr>
            </w:pPr>
          </w:p>
          <w:p w14:paraId="0EA8440A">
            <w:pPr>
              <w:rPr>
                <w:rFonts w:hint="eastAsia"/>
                <w:color w:val="auto"/>
                <w:lang w:val="en-US" w:eastAsia="zh-CN"/>
              </w:rPr>
            </w:pPr>
          </w:p>
          <w:p w14:paraId="0B8DCB66">
            <w:pPr>
              <w:rPr>
                <w:rFonts w:hint="eastAsia"/>
                <w:color w:val="auto"/>
                <w:lang w:val="en-US" w:eastAsia="zh-CN"/>
              </w:rPr>
            </w:pPr>
          </w:p>
          <w:p w14:paraId="6C96860B">
            <w:pPr>
              <w:rPr>
                <w:rFonts w:hint="eastAsia"/>
                <w:color w:val="auto"/>
                <w:lang w:val="en-US" w:eastAsia="zh-CN"/>
              </w:rPr>
            </w:pPr>
          </w:p>
          <w:p w14:paraId="4CEE9DAE">
            <w:pPr>
              <w:rPr>
                <w:rFonts w:hint="default"/>
                <w:color w:val="auto"/>
                <w:lang w:val="en-US" w:eastAsia="zh-CN"/>
              </w:rPr>
            </w:pPr>
          </w:p>
        </w:tc>
      </w:tr>
    </w:tbl>
    <w:p w14:paraId="4D6C1121">
      <w:pPr>
        <w:spacing w:line="360" w:lineRule="auto"/>
        <w:outlineLvl w:val="9"/>
        <w:rPr>
          <w:rFonts w:hint="default" w:ascii="Times New Roman" w:hAnsi="Times New Roman" w:eastAsia="宋体" w:cs="Times New Roman"/>
          <w:color w:val="auto"/>
          <w:sz w:val="30"/>
          <w:lang w:eastAsia="zh-CN"/>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14469"/>
      </w:tblGrid>
      <w:tr w14:paraId="0090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14:paraId="68DDD6FC">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其它符合性分析</w:t>
            </w:r>
          </w:p>
        </w:tc>
        <w:tc>
          <w:tcPr>
            <w:tcW w:w="14196" w:type="dxa"/>
          </w:tcPr>
          <w:p w14:paraId="7458B8ED">
            <w:pPr>
              <w:numPr>
                <w:ilvl w:val="0"/>
                <w:numId w:val="0"/>
              </w:numPr>
              <w:spacing w:line="360" w:lineRule="auto"/>
              <w:ind w:firstLine="422" w:firstLineChars="200"/>
              <w:outlineLvl w:val="9"/>
              <w:rPr>
                <w:rFonts w:hint="eastAsia" w:cs="Times New Roman"/>
                <w:b/>
                <w:bCs/>
                <w:color w:val="auto"/>
                <w:sz w:val="21"/>
                <w:szCs w:val="21"/>
                <w:vertAlign w:val="baseline"/>
                <w:lang w:val="en-US" w:eastAsia="zh-CN"/>
              </w:rPr>
            </w:pPr>
            <w:r>
              <w:rPr>
                <w:rFonts w:hint="eastAsia" w:ascii="Times New Roman" w:hAnsi="Times New Roman" w:eastAsia="宋体" w:cs="Times New Roman"/>
                <w:b/>
                <w:bCs/>
                <w:color w:val="auto"/>
                <w:kern w:val="2"/>
                <w:sz w:val="21"/>
                <w:szCs w:val="21"/>
                <w:vertAlign w:val="baseline"/>
                <w:lang w:val="en-US" w:eastAsia="zh-CN" w:bidi="ar-SA"/>
              </w:rPr>
              <w:t>1</w:t>
            </w:r>
            <w:r>
              <w:rPr>
                <w:rFonts w:hint="eastAsia" w:cs="Times New Roman"/>
                <w:b/>
                <w:bCs/>
                <w:color w:val="auto"/>
                <w:kern w:val="2"/>
                <w:sz w:val="21"/>
                <w:szCs w:val="21"/>
                <w:vertAlign w:val="baseline"/>
                <w:lang w:val="en-US" w:eastAsia="zh-CN" w:bidi="ar-SA"/>
              </w:rPr>
              <w:t>6</w:t>
            </w:r>
            <w:r>
              <w:rPr>
                <w:rFonts w:hint="eastAsia" w:ascii="Times New Roman" w:hAnsi="Times New Roman" w:eastAsia="宋体" w:cs="Times New Roman"/>
                <w:b/>
                <w:bCs/>
                <w:color w:val="auto"/>
                <w:kern w:val="2"/>
                <w:sz w:val="21"/>
                <w:szCs w:val="21"/>
                <w:vertAlign w:val="baseline"/>
                <w:lang w:val="en-US" w:eastAsia="zh-CN" w:bidi="ar-SA"/>
              </w:rPr>
              <w:t>、</w:t>
            </w:r>
            <w:r>
              <w:rPr>
                <w:rFonts w:hint="eastAsia" w:cs="Times New Roman"/>
                <w:b/>
                <w:bCs/>
                <w:color w:val="auto"/>
                <w:sz w:val="21"/>
                <w:szCs w:val="21"/>
                <w:vertAlign w:val="baseline"/>
                <w:lang w:val="en-US" w:eastAsia="zh-CN"/>
              </w:rPr>
              <w:t>与《电池行业清洁生产评价指标体系》符合性分析</w:t>
            </w:r>
          </w:p>
          <w:p w14:paraId="45B4FC29">
            <w:pPr>
              <w:numPr>
                <w:ilvl w:val="0"/>
                <w:numId w:val="0"/>
              </w:numPr>
              <w:spacing w:line="360" w:lineRule="auto"/>
              <w:ind w:firstLine="420" w:firstLineChars="200"/>
              <w:jc w:val="both"/>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根据《电池行业清洁生产评价指标体系》，本项目属于锂离子电池制造企业，清洁生产企业指标项目、权重及基准值见下表：</w:t>
            </w:r>
          </w:p>
          <w:p w14:paraId="51DB8C25">
            <w:pPr>
              <w:numPr>
                <w:ilvl w:val="0"/>
                <w:numId w:val="0"/>
              </w:numPr>
              <w:spacing w:line="360" w:lineRule="auto"/>
              <w:jc w:val="center"/>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表1-17-1  锂离子电池/锂原电池企业指标项目、权重及基准值</w:t>
            </w:r>
          </w:p>
          <w:p w14:paraId="41BEAEA1">
            <w:pPr>
              <w:numPr>
                <w:ilvl w:val="0"/>
                <w:numId w:val="0"/>
              </w:numPr>
              <w:spacing w:line="360" w:lineRule="auto"/>
              <w:outlineLvl w:val="9"/>
              <w:rPr>
                <w:rFonts w:hint="eastAsia" w:cs="Times New Roman"/>
                <w:b w:val="0"/>
                <w:bCs w:val="0"/>
                <w:color w:val="auto"/>
                <w:sz w:val="21"/>
                <w:szCs w:val="21"/>
                <w:vertAlign w:val="baseline"/>
                <w:lang w:val="en-US" w:eastAsia="zh-CN"/>
              </w:rPr>
            </w:pPr>
            <w:r>
              <w:drawing>
                <wp:inline distT="0" distB="0" distL="114300" distR="114300">
                  <wp:extent cx="9071610" cy="2411095"/>
                  <wp:effectExtent l="0" t="0" r="15240" b="825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1"/>
                          <a:stretch>
                            <a:fillRect/>
                          </a:stretch>
                        </pic:blipFill>
                        <pic:spPr>
                          <a:xfrm>
                            <a:off x="0" y="0"/>
                            <a:ext cx="9071610" cy="2411095"/>
                          </a:xfrm>
                          <a:prstGeom prst="rect">
                            <a:avLst/>
                          </a:prstGeom>
                          <a:noFill/>
                          <a:ln>
                            <a:noFill/>
                          </a:ln>
                        </pic:spPr>
                      </pic:pic>
                    </a:graphicData>
                  </a:graphic>
                </wp:inline>
              </w:drawing>
            </w:r>
          </w:p>
          <w:p w14:paraId="64BF470B">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26334368">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2E4ECF84">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089119B1">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759D9F8C">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71A4354B">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3874D632">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2CDDC9BA">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1506D401">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4028E7E8">
            <w:pPr>
              <w:numPr>
                <w:ilvl w:val="0"/>
                <w:numId w:val="0"/>
              </w:numPr>
              <w:spacing w:line="360" w:lineRule="auto"/>
              <w:jc w:val="center"/>
              <w:outlineLvl w:val="9"/>
              <w:rPr>
                <w:rFonts w:hint="eastAsia" w:cs="Times New Roman"/>
                <w:b/>
                <w:bCs/>
                <w:color w:val="auto"/>
                <w:sz w:val="21"/>
                <w:szCs w:val="21"/>
                <w:vertAlign w:val="baseline"/>
                <w:lang w:val="en-US" w:eastAsia="zh-CN"/>
              </w:rPr>
            </w:pPr>
          </w:p>
          <w:p w14:paraId="2E14DD0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outlineLvl w:val="9"/>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表1-17-2电池企业清洁生产管理指标项目基准值</w:t>
            </w:r>
          </w:p>
          <w:p w14:paraId="38B5371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outlineLvl w:val="9"/>
              <w:rPr>
                <w:rFonts w:hint="eastAsia" w:cs="Times New Roman"/>
                <w:b w:val="0"/>
                <w:bCs w:val="0"/>
                <w:color w:val="auto"/>
                <w:sz w:val="21"/>
                <w:szCs w:val="21"/>
                <w:vertAlign w:val="baseline"/>
                <w:lang w:val="en-US" w:eastAsia="zh-CN"/>
              </w:rPr>
            </w:pPr>
            <w:r>
              <w:drawing>
                <wp:inline distT="0" distB="0" distL="114300" distR="114300">
                  <wp:extent cx="8924925" cy="5469255"/>
                  <wp:effectExtent l="0" t="0" r="9525" b="1714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2"/>
                          <a:stretch>
                            <a:fillRect/>
                          </a:stretch>
                        </pic:blipFill>
                        <pic:spPr>
                          <a:xfrm>
                            <a:off x="0" y="0"/>
                            <a:ext cx="8924925" cy="5469255"/>
                          </a:xfrm>
                          <a:prstGeom prst="rect">
                            <a:avLst/>
                          </a:prstGeom>
                          <a:noFill/>
                          <a:ln>
                            <a:noFill/>
                          </a:ln>
                        </pic:spPr>
                      </pic:pic>
                    </a:graphicData>
                  </a:graphic>
                </wp:inline>
              </w:drawing>
            </w:r>
          </w:p>
          <w:p w14:paraId="38EEDC12">
            <w:pPr>
              <w:numPr>
                <w:ilvl w:val="0"/>
                <w:numId w:val="0"/>
              </w:numPr>
              <w:spacing w:line="360" w:lineRule="auto"/>
              <w:ind w:firstLine="420" w:firstLineChars="200"/>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对照表1-17-1，根据企业提供的数据和机械工业第六设计研究院有限公司为企业设计和编制的《星链正储(玉溪)新能源科技有限公司 12GWh 电池储能舱及其配套10GWh 磷酸铁锂电芯智能制造项目（一期)设计方案》本项目清洁生产指标项目、权重及基准值见表1-17-3；企业清洁生产管理指标项目基准值见表1-17-4。</w:t>
            </w:r>
          </w:p>
          <w:p w14:paraId="77446E7C">
            <w:pPr>
              <w:numPr>
                <w:ilvl w:val="0"/>
                <w:numId w:val="0"/>
              </w:numPr>
              <w:spacing w:line="360" w:lineRule="auto"/>
              <w:jc w:val="center"/>
              <w:outlineLvl w:val="9"/>
              <w:rPr>
                <w:rFonts w:hint="default"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表1-17-3  本项目指标项目、权重及基准值表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613"/>
              <w:gridCol w:w="1525"/>
              <w:gridCol w:w="3462"/>
              <w:gridCol w:w="1492"/>
              <w:gridCol w:w="1508"/>
              <w:gridCol w:w="2250"/>
              <w:gridCol w:w="1585"/>
            </w:tblGrid>
            <w:tr w14:paraId="23DF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00F64CD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613" w:type="dxa"/>
                  <w:vAlign w:val="center"/>
                </w:tcPr>
                <w:p w14:paraId="5D6DFE5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一级指标</w:t>
                  </w:r>
                </w:p>
              </w:tc>
              <w:tc>
                <w:tcPr>
                  <w:tcW w:w="1525" w:type="dxa"/>
                  <w:vAlign w:val="center"/>
                </w:tcPr>
                <w:p w14:paraId="49EDB3B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一级指标权重</w:t>
                  </w:r>
                </w:p>
              </w:tc>
              <w:tc>
                <w:tcPr>
                  <w:tcW w:w="3462" w:type="dxa"/>
                  <w:vAlign w:val="center"/>
                </w:tcPr>
                <w:p w14:paraId="5838E5D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二级指标</w:t>
                  </w:r>
                </w:p>
              </w:tc>
              <w:tc>
                <w:tcPr>
                  <w:tcW w:w="1492" w:type="dxa"/>
                  <w:vAlign w:val="center"/>
                </w:tcPr>
                <w:p w14:paraId="0493E29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单位</w:t>
                  </w:r>
                </w:p>
              </w:tc>
              <w:tc>
                <w:tcPr>
                  <w:tcW w:w="1508" w:type="dxa"/>
                  <w:vAlign w:val="center"/>
                </w:tcPr>
                <w:p w14:paraId="0A8A73C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二级指标权重</w:t>
                  </w:r>
                </w:p>
              </w:tc>
              <w:tc>
                <w:tcPr>
                  <w:tcW w:w="2250" w:type="dxa"/>
                  <w:vAlign w:val="center"/>
                </w:tcPr>
                <w:p w14:paraId="6226B37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本项目基准值</w:t>
                  </w:r>
                </w:p>
              </w:tc>
              <w:tc>
                <w:tcPr>
                  <w:tcW w:w="1585" w:type="dxa"/>
                  <w:vAlign w:val="center"/>
                </w:tcPr>
                <w:p w14:paraId="7B64201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对应基准等级</w:t>
                  </w:r>
                </w:p>
              </w:tc>
            </w:tr>
            <w:tr w14:paraId="2A56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3ADBD41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1613" w:type="dxa"/>
                  <w:vMerge w:val="restart"/>
                  <w:vAlign w:val="center"/>
                </w:tcPr>
                <w:p w14:paraId="5EFCC817">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生产工艺及设备要求</w:t>
                  </w:r>
                </w:p>
              </w:tc>
              <w:tc>
                <w:tcPr>
                  <w:tcW w:w="1525" w:type="dxa"/>
                  <w:vMerge w:val="restart"/>
                  <w:vAlign w:val="center"/>
                </w:tcPr>
                <w:p w14:paraId="7A1F06F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w:t>
                  </w:r>
                </w:p>
              </w:tc>
              <w:tc>
                <w:tcPr>
                  <w:tcW w:w="4954" w:type="dxa"/>
                  <w:gridSpan w:val="2"/>
                  <w:vAlign w:val="center"/>
                </w:tcPr>
                <w:p w14:paraId="0B8AA10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合浆</w:t>
                  </w:r>
                </w:p>
              </w:tc>
              <w:tc>
                <w:tcPr>
                  <w:tcW w:w="1508" w:type="dxa"/>
                  <w:vAlign w:val="center"/>
                </w:tcPr>
                <w:p w14:paraId="66C93CD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w:t>
                  </w:r>
                </w:p>
              </w:tc>
              <w:tc>
                <w:tcPr>
                  <w:tcW w:w="2250" w:type="dxa"/>
                  <w:vAlign w:val="center"/>
                </w:tcPr>
                <w:p w14:paraId="51D15ED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负压密闭进料</w:t>
                  </w:r>
                </w:p>
              </w:tc>
              <w:tc>
                <w:tcPr>
                  <w:tcW w:w="1585" w:type="dxa"/>
                  <w:vAlign w:val="center"/>
                </w:tcPr>
                <w:p w14:paraId="5E5A94C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2EB6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060D187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w:t>
                  </w:r>
                </w:p>
              </w:tc>
              <w:tc>
                <w:tcPr>
                  <w:tcW w:w="1613" w:type="dxa"/>
                  <w:vMerge w:val="continue"/>
                  <w:vAlign w:val="center"/>
                </w:tcPr>
                <w:p w14:paraId="525D1C2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525" w:type="dxa"/>
                  <w:vMerge w:val="continue"/>
                  <w:vAlign w:val="center"/>
                </w:tcPr>
                <w:p w14:paraId="2205339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4954" w:type="dxa"/>
                  <w:gridSpan w:val="2"/>
                  <w:vAlign w:val="center"/>
                </w:tcPr>
                <w:p w14:paraId="3C4F5CE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涂布</w:t>
                  </w:r>
                </w:p>
              </w:tc>
              <w:tc>
                <w:tcPr>
                  <w:tcW w:w="1508" w:type="dxa"/>
                  <w:vAlign w:val="center"/>
                </w:tcPr>
                <w:p w14:paraId="6D49CA5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2250" w:type="dxa"/>
                  <w:vAlign w:val="center"/>
                </w:tcPr>
                <w:p w14:paraId="15F43C27">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间歇式涂布</w:t>
                  </w:r>
                </w:p>
              </w:tc>
              <w:tc>
                <w:tcPr>
                  <w:tcW w:w="1585" w:type="dxa"/>
                  <w:vAlign w:val="center"/>
                </w:tcPr>
                <w:p w14:paraId="6ECF6FC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340D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0873506F">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p>
              </w:tc>
              <w:tc>
                <w:tcPr>
                  <w:tcW w:w="1613" w:type="dxa"/>
                  <w:vMerge w:val="continue"/>
                  <w:vAlign w:val="center"/>
                </w:tcPr>
                <w:p w14:paraId="246ACD5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525" w:type="dxa"/>
                  <w:vMerge w:val="continue"/>
                  <w:vAlign w:val="center"/>
                </w:tcPr>
                <w:p w14:paraId="0AEC61A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4954" w:type="dxa"/>
                  <w:gridSpan w:val="2"/>
                  <w:vAlign w:val="center"/>
                </w:tcPr>
                <w:p w14:paraId="561ED88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放电</w:t>
                  </w:r>
                </w:p>
              </w:tc>
              <w:tc>
                <w:tcPr>
                  <w:tcW w:w="1508" w:type="dxa"/>
                  <w:vAlign w:val="center"/>
                </w:tcPr>
                <w:p w14:paraId="4708CD2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0.4</w:t>
                  </w:r>
                </w:p>
              </w:tc>
              <w:tc>
                <w:tcPr>
                  <w:tcW w:w="2250" w:type="dxa"/>
                  <w:vAlign w:val="center"/>
                </w:tcPr>
                <w:p w14:paraId="0E05999F">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能量回馈式</w:t>
                  </w:r>
                </w:p>
              </w:tc>
              <w:tc>
                <w:tcPr>
                  <w:tcW w:w="1585" w:type="dxa"/>
                  <w:vAlign w:val="center"/>
                </w:tcPr>
                <w:p w14:paraId="510F07A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6757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66E1A73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w:t>
                  </w:r>
                </w:p>
              </w:tc>
              <w:tc>
                <w:tcPr>
                  <w:tcW w:w="1613" w:type="dxa"/>
                  <w:vMerge w:val="restart"/>
                  <w:vAlign w:val="center"/>
                </w:tcPr>
                <w:p w14:paraId="63FABB5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资源和能源消耗指标</w:t>
                  </w:r>
                </w:p>
              </w:tc>
              <w:tc>
                <w:tcPr>
                  <w:tcW w:w="1525" w:type="dxa"/>
                  <w:vMerge w:val="restart"/>
                  <w:vAlign w:val="center"/>
                </w:tcPr>
                <w:p w14:paraId="2EC0238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w:t>
                  </w:r>
                </w:p>
              </w:tc>
              <w:tc>
                <w:tcPr>
                  <w:tcW w:w="3462" w:type="dxa"/>
                  <w:vAlign w:val="center"/>
                </w:tcPr>
                <w:p w14:paraId="11DB650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*单位产品取水量</w:t>
                  </w:r>
                </w:p>
              </w:tc>
              <w:tc>
                <w:tcPr>
                  <w:tcW w:w="1492" w:type="dxa"/>
                  <w:vAlign w:val="center"/>
                </w:tcPr>
                <w:p w14:paraId="3B76EF3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m³/万Ah</w:t>
                  </w:r>
                </w:p>
              </w:tc>
              <w:tc>
                <w:tcPr>
                  <w:tcW w:w="1508" w:type="dxa"/>
                  <w:vAlign w:val="center"/>
                </w:tcPr>
                <w:p w14:paraId="5D7F125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2250" w:type="dxa"/>
                  <w:vAlign w:val="center"/>
                </w:tcPr>
                <w:p w14:paraId="12533B0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1.4m³</w:t>
                  </w:r>
                </w:p>
              </w:tc>
              <w:tc>
                <w:tcPr>
                  <w:tcW w:w="1585" w:type="dxa"/>
                  <w:vAlign w:val="center"/>
                </w:tcPr>
                <w:p w14:paraId="0263B8C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36C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6F747C5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1613" w:type="dxa"/>
                  <w:vMerge w:val="continue"/>
                  <w:vAlign w:val="center"/>
                </w:tcPr>
                <w:p w14:paraId="7354837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525" w:type="dxa"/>
                  <w:vMerge w:val="continue"/>
                  <w:vAlign w:val="center"/>
                </w:tcPr>
                <w:p w14:paraId="07634D7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3462" w:type="dxa"/>
                  <w:vAlign w:val="center"/>
                </w:tcPr>
                <w:p w14:paraId="3FBD11D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*单位产品综合能耗</w:t>
                  </w:r>
                </w:p>
              </w:tc>
              <w:tc>
                <w:tcPr>
                  <w:tcW w:w="1492" w:type="dxa"/>
                  <w:vAlign w:val="center"/>
                </w:tcPr>
                <w:p w14:paraId="03D6BCF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kgce/万Ah</w:t>
                  </w:r>
                </w:p>
              </w:tc>
              <w:tc>
                <w:tcPr>
                  <w:tcW w:w="1508" w:type="dxa"/>
                  <w:vAlign w:val="center"/>
                </w:tcPr>
                <w:p w14:paraId="3207942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2250" w:type="dxa"/>
                  <w:vAlign w:val="center"/>
                </w:tcPr>
                <w:p w14:paraId="045E889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385</w:t>
                  </w:r>
                </w:p>
              </w:tc>
              <w:tc>
                <w:tcPr>
                  <w:tcW w:w="1585" w:type="dxa"/>
                  <w:vAlign w:val="center"/>
                </w:tcPr>
                <w:p w14:paraId="769A4FD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199D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2289282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w:t>
                  </w:r>
                </w:p>
              </w:tc>
              <w:tc>
                <w:tcPr>
                  <w:tcW w:w="1613" w:type="dxa"/>
                  <w:vMerge w:val="restart"/>
                  <w:vAlign w:val="center"/>
                </w:tcPr>
                <w:p w14:paraId="42E114F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资源综合利用指标</w:t>
                  </w:r>
                </w:p>
              </w:tc>
              <w:tc>
                <w:tcPr>
                  <w:tcW w:w="1525" w:type="dxa"/>
                  <w:vMerge w:val="restart"/>
                  <w:vAlign w:val="center"/>
                </w:tcPr>
                <w:p w14:paraId="0EA0E5E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w:t>
                  </w:r>
                </w:p>
              </w:tc>
              <w:tc>
                <w:tcPr>
                  <w:tcW w:w="3462" w:type="dxa"/>
                  <w:vAlign w:val="center"/>
                </w:tcPr>
                <w:p w14:paraId="103D33F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水重复利用率</w:t>
                  </w:r>
                </w:p>
              </w:tc>
              <w:tc>
                <w:tcPr>
                  <w:tcW w:w="1492" w:type="dxa"/>
                  <w:vAlign w:val="center"/>
                </w:tcPr>
                <w:p w14:paraId="4968A71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508" w:type="dxa"/>
                  <w:vAlign w:val="center"/>
                </w:tcPr>
                <w:p w14:paraId="7EC3F79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2250" w:type="dxa"/>
                  <w:vAlign w:val="center"/>
                </w:tcPr>
                <w:p w14:paraId="5D8B01F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49.74%</w:t>
                  </w:r>
                </w:p>
              </w:tc>
              <w:tc>
                <w:tcPr>
                  <w:tcW w:w="1585" w:type="dxa"/>
                  <w:vAlign w:val="center"/>
                </w:tcPr>
                <w:p w14:paraId="053EEF4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Ⅲ级</w:t>
                  </w:r>
                </w:p>
              </w:tc>
            </w:tr>
            <w:tr w14:paraId="2BD7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64EC48A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w:t>
                  </w:r>
                </w:p>
              </w:tc>
              <w:tc>
                <w:tcPr>
                  <w:tcW w:w="1613" w:type="dxa"/>
                  <w:vMerge w:val="continue"/>
                  <w:vAlign w:val="center"/>
                </w:tcPr>
                <w:p w14:paraId="1CAD975F">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525" w:type="dxa"/>
                  <w:vMerge w:val="continue"/>
                  <w:vAlign w:val="center"/>
                </w:tcPr>
                <w:p w14:paraId="5B5C2FC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3462" w:type="dxa"/>
                  <w:vAlign w:val="center"/>
                </w:tcPr>
                <w:p w14:paraId="525BD14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*NMP（N-甲基吡咯烷酮）回收率</w:t>
                  </w:r>
                </w:p>
              </w:tc>
              <w:tc>
                <w:tcPr>
                  <w:tcW w:w="1492" w:type="dxa"/>
                  <w:vAlign w:val="center"/>
                </w:tcPr>
                <w:p w14:paraId="32F7263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508" w:type="dxa"/>
                  <w:vAlign w:val="center"/>
                </w:tcPr>
                <w:p w14:paraId="3DF935E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2250" w:type="dxa"/>
                  <w:vAlign w:val="center"/>
                </w:tcPr>
                <w:p w14:paraId="28CFDFE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99%</w:t>
                  </w:r>
                </w:p>
              </w:tc>
              <w:tc>
                <w:tcPr>
                  <w:tcW w:w="1585" w:type="dxa"/>
                  <w:vAlign w:val="center"/>
                </w:tcPr>
                <w:p w14:paraId="67789A1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Ⅰ级</w:t>
                  </w:r>
                </w:p>
              </w:tc>
            </w:tr>
            <w:tr w14:paraId="7790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64CAADC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w:t>
                  </w:r>
                </w:p>
              </w:tc>
              <w:tc>
                <w:tcPr>
                  <w:tcW w:w="1613" w:type="dxa"/>
                  <w:vMerge w:val="restart"/>
                  <w:vAlign w:val="center"/>
                </w:tcPr>
                <w:p w14:paraId="091A679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污染物产生指标</w:t>
                  </w:r>
                </w:p>
              </w:tc>
              <w:tc>
                <w:tcPr>
                  <w:tcW w:w="1525" w:type="dxa"/>
                  <w:vMerge w:val="restart"/>
                  <w:vAlign w:val="center"/>
                </w:tcPr>
                <w:p w14:paraId="7C6BDDB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w:t>
                  </w:r>
                </w:p>
              </w:tc>
              <w:tc>
                <w:tcPr>
                  <w:tcW w:w="3462" w:type="dxa"/>
                  <w:vAlign w:val="center"/>
                </w:tcPr>
                <w:p w14:paraId="71FECFD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*单位产品废水产生量</w:t>
                  </w:r>
                </w:p>
              </w:tc>
              <w:tc>
                <w:tcPr>
                  <w:tcW w:w="1492" w:type="dxa"/>
                  <w:vAlign w:val="center"/>
                </w:tcPr>
                <w:p w14:paraId="1FE70D2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m³/万Ah</w:t>
                  </w:r>
                </w:p>
              </w:tc>
              <w:tc>
                <w:tcPr>
                  <w:tcW w:w="1508" w:type="dxa"/>
                  <w:vAlign w:val="center"/>
                </w:tcPr>
                <w:p w14:paraId="7E52F87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w:t>
                  </w:r>
                </w:p>
              </w:tc>
              <w:tc>
                <w:tcPr>
                  <w:tcW w:w="2250" w:type="dxa"/>
                  <w:vAlign w:val="center"/>
                </w:tcPr>
                <w:p w14:paraId="273A67FF">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0.93</w:t>
                  </w:r>
                </w:p>
              </w:tc>
              <w:tc>
                <w:tcPr>
                  <w:tcW w:w="1585" w:type="dxa"/>
                  <w:vAlign w:val="center"/>
                </w:tcPr>
                <w:p w14:paraId="3B53C65F">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20B8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4ED18F5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w:t>
                  </w:r>
                </w:p>
              </w:tc>
              <w:tc>
                <w:tcPr>
                  <w:tcW w:w="1613" w:type="dxa"/>
                  <w:vMerge w:val="continue"/>
                  <w:vAlign w:val="center"/>
                </w:tcPr>
                <w:p w14:paraId="387F0CC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525" w:type="dxa"/>
                  <w:vMerge w:val="continue"/>
                  <w:vAlign w:val="center"/>
                </w:tcPr>
                <w:p w14:paraId="69EB9C6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3462" w:type="dxa"/>
                  <w:vAlign w:val="center"/>
                </w:tcPr>
                <w:p w14:paraId="70183E5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*单位产品 CODCr 产生量</w:t>
                  </w:r>
                </w:p>
              </w:tc>
              <w:tc>
                <w:tcPr>
                  <w:tcW w:w="1492" w:type="dxa"/>
                  <w:vAlign w:val="center"/>
                </w:tcPr>
                <w:p w14:paraId="4DADAD6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kg/万Ah</w:t>
                  </w:r>
                </w:p>
              </w:tc>
              <w:tc>
                <w:tcPr>
                  <w:tcW w:w="1508" w:type="dxa"/>
                  <w:vAlign w:val="center"/>
                </w:tcPr>
                <w:p w14:paraId="284C7B9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0.25</w:t>
                  </w:r>
                </w:p>
              </w:tc>
              <w:tc>
                <w:tcPr>
                  <w:tcW w:w="2250" w:type="dxa"/>
                  <w:vAlign w:val="center"/>
                </w:tcPr>
                <w:p w14:paraId="77CF1BE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0.23</w:t>
                  </w:r>
                </w:p>
              </w:tc>
              <w:tc>
                <w:tcPr>
                  <w:tcW w:w="1585" w:type="dxa"/>
                  <w:vAlign w:val="center"/>
                </w:tcPr>
                <w:p w14:paraId="6766EBA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4926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3FA2A63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w:t>
                  </w:r>
                </w:p>
              </w:tc>
              <w:tc>
                <w:tcPr>
                  <w:tcW w:w="1613" w:type="dxa"/>
                  <w:vMerge w:val="continue"/>
                  <w:vAlign w:val="center"/>
                </w:tcPr>
                <w:p w14:paraId="33E017B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525" w:type="dxa"/>
                  <w:vMerge w:val="continue"/>
                  <w:vAlign w:val="center"/>
                </w:tcPr>
                <w:p w14:paraId="6CB44BE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3462" w:type="dxa"/>
                  <w:vAlign w:val="center"/>
                </w:tcPr>
                <w:p w14:paraId="795C1E1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*总钴产生量</w:t>
                  </w:r>
                </w:p>
              </w:tc>
              <w:tc>
                <w:tcPr>
                  <w:tcW w:w="1492" w:type="dxa"/>
                  <w:vAlign w:val="center"/>
                </w:tcPr>
                <w:p w14:paraId="1512905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g/万Ah</w:t>
                  </w:r>
                </w:p>
              </w:tc>
              <w:tc>
                <w:tcPr>
                  <w:tcW w:w="1508" w:type="dxa"/>
                  <w:vAlign w:val="center"/>
                </w:tcPr>
                <w:p w14:paraId="662A24E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0.25</w:t>
                  </w:r>
                </w:p>
              </w:tc>
              <w:tc>
                <w:tcPr>
                  <w:tcW w:w="2250" w:type="dxa"/>
                  <w:vAlign w:val="center"/>
                </w:tcPr>
                <w:p w14:paraId="47854FA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0（不使用含钴物料）</w:t>
                  </w:r>
                </w:p>
              </w:tc>
              <w:tc>
                <w:tcPr>
                  <w:tcW w:w="1585" w:type="dxa"/>
                  <w:vAlign w:val="center"/>
                </w:tcPr>
                <w:p w14:paraId="18757EC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Ⅰ级</w:t>
                  </w:r>
                </w:p>
              </w:tc>
            </w:tr>
            <w:tr w14:paraId="313F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43DC472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w:t>
                  </w:r>
                </w:p>
              </w:tc>
              <w:tc>
                <w:tcPr>
                  <w:tcW w:w="1613" w:type="dxa"/>
                  <w:vAlign w:val="center"/>
                </w:tcPr>
                <w:p w14:paraId="29C1E2F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清洁生产管理指标</w:t>
                  </w:r>
                </w:p>
              </w:tc>
              <w:tc>
                <w:tcPr>
                  <w:tcW w:w="1525" w:type="dxa"/>
                  <w:vAlign w:val="center"/>
                </w:tcPr>
                <w:p w14:paraId="03F59B5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w:t>
                  </w:r>
                </w:p>
              </w:tc>
              <w:tc>
                <w:tcPr>
                  <w:tcW w:w="10297" w:type="dxa"/>
                  <w:gridSpan w:val="5"/>
                  <w:vAlign w:val="center"/>
                </w:tcPr>
                <w:p w14:paraId="347C792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见表1-17-4</w:t>
                  </w:r>
                </w:p>
              </w:tc>
            </w:tr>
          </w:tbl>
          <w:p w14:paraId="1CF3276B">
            <w:pPr>
              <w:numPr>
                <w:ilvl w:val="0"/>
                <w:numId w:val="0"/>
              </w:numPr>
              <w:spacing w:line="360" w:lineRule="auto"/>
              <w:outlineLvl w:val="9"/>
              <w:rPr>
                <w:rFonts w:hint="eastAsia" w:cs="Times New Roman"/>
                <w:b w:val="0"/>
                <w:bCs w:val="0"/>
                <w:color w:val="auto"/>
                <w:sz w:val="21"/>
                <w:szCs w:val="21"/>
                <w:vertAlign w:val="baseline"/>
                <w:lang w:val="en-US" w:eastAsia="zh-CN"/>
              </w:rPr>
            </w:pPr>
          </w:p>
          <w:p w14:paraId="231801DB">
            <w:pPr>
              <w:numPr>
                <w:ilvl w:val="0"/>
                <w:numId w:val="0"/>
              </w:numPr>
              <w:spacing w:line="360" w:lineRule="auto"/>
              <w:outlineLvl w:val="9"/>
              <w:rPr>
                <w:rFonts w:hint="eastAsia" w:cs="Times New Roman"/>
                <w:b w:val="0"/>
                <w:bCs w:val="0"/>
                <w:color w:val="auto"/>
                <w:sz w:val="21"/>
                <w:szCs w:val="21"/>
                <w:vertAlign w:val="baseline"/>
                <w:lang w:val="en-US" w:eastAsia="zh-CN"/>
              </w:rPr>
            </w:pPr>
          </w:p>
          <w:p w14:paraId="5AEE75FD">
            <w:pPr>
              <w:numPr>
                <w:ilvl w:val="0"/>
                <w:numId w:val="0"/>
              </w:numPr>
              <w:spacing w:line="360" w:lineRule="auto"/>
              <w:outlineLvl w:val="9"/>
              <w:rPr>
                <w:rFonts w:hint="eastAsia" w:cs="Times New Roman"/>
                <w:b w:val="0"/>
                <w:bCs w:val="0"/>
                <w:color w:val="auto"/>
                <w:sz w:val="21"/>
                <w:szCs w:val="21"/>
                <w:vertAlign w:val="baseline"/>
                <w:lang w:val="en-US" w:eastAsia="zh-CN"/>
              </w:rPr>
            </w:pPr>
          </w:p>
          <w:p w14:paraId="694785E4">
            <w:pPr>
              <w:numPr>
                <w:ilvl w:val="0"/>
                <w:numId w:val="0"/>
              </w:numPr>
              <w:spacing w:line="360" w:lineRule="auto"/>
              <w:outlineLvl w:val="9"/>
              <w:rPr>
                <w:rFonts w:hint="eastAsia" w:cs="Times New Roman"/>
                <w:b w:val="0"/>
                <w:bCs w:val="0"/>
                <w:color w:val="auto"/>
                <w:sz w:val="21"/>
                <w:szCs w:val="21"/>
                <w:vertAlign w:val="baseline"/>
                <w:lang w:val="en-US" w:eastAsia="zh-CN"/>
              </w:rPr>
            </w:pPr>
          </w:p>
          <w:p w14:paraId="6962E7CA">
            <w:pPr>
              <w:numPr>
                <w:ilvl w:val="0"/>
                <w:numId w:val="0"/>
              </w:numPr>
              <w:spacing w:line="360" w:lineRule="auto"/>
              <w:outlineLvl w:val="9"/>
              <w:rPr>
                <w:rFonts w:hint="eastAsia" w:cs="Times New Roman"/>
                <w:b w:val="0"/>
                <w:bCs w:val="0"/>
                <w:color w:val="auto"/>
                <w:sz w:val="21"/>
                <w:szCs w:val="21"/>
                <w:vertAlign w:val="baseline"/>
                <w:lang w:val="en-US" w:eastAsia="zh-CN"/>
              </w:rPr>
            </w:pPr>
          </w:p>
          <w:p w14:paraId="6B1865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表1-17-4  企业清洁生产管理指标项目基准值表</w:t>
            </w:r>
          </w:p>
          <w:tbl>
            <w:tblPr>
              <w:tblStyle w:val="26"/>
              <w:tblW w:w="142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362"/>
              <w:gridCol w:w="1225"/>
              <w:gridCol w:w="1638"/>
              <w:gridCol w:w="1537"/>
              <w:gridCol w:w="6175"/>
              <w:gridCol w:w="1613"/>
            </w:tblGrid>
            <w:tr w14:paraId="454E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6A89556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362" w:type="dxa"/>
                  <w:vAlign w:val="center"/>
                </w:tcPr>
                <w:p w14:paraId="597CF7B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left="0" w:leftChars="0" w:firstLine="0" w:firstLineChars="0"/>
                    <w:jc w:val="center"/>
                    <w:textAlignment w:val="auto"/>
                    <w:outlineLvl w:val="9"/>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一级指标</w:t>
                  </w:r>
                </w:p>
              </w:tc>
              <w:tc>
                <w:tcPr>
                  <w:tcW w:w="2863" w:type="dxa"/>
                  <w:gridSpan w:val="2"/>
                  <w:vAlign w:val="center"/>
                </w:tcPr>
                <w:p w14:paraId="1E43FE6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left="0" w:leftChars="0" w:firstLine="0" w:firstLineChars="0"/>
                    <w:jc w:val="center"/>
                    <w:textAlignment w:val="auto"/>
                    <w:outlineLvl w:val="9"/>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二级指标</w:t>
                  </w:r>
                </w:p>
              </w:tc>
              <w:tc>
                <w:tcPr>
                  <w:tcW w:w="1537" w:type="dxa"/>
                  <w:vAlign w:val="center"/>
                </w:tcPr>
                <w:p w14:paraId="2018B66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left="0" w:leftChars="0" w:firstLine="0" w:firstLineChars="0"/>
                    <w:jc w:val="center"/>
                    <w:textAlignment w:val="auto"/>
                    <w:outlineLvl w:val="9"/>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二级指标权重</w:t>
                  </w:r>
                </w:p>
              </w:tc>
              <w:tc>
                <w:tcPr>
                  <w:tcW w:w="6175" w:type="dxa"/>
                  <w:vAlign w:val="center"/>
                </w:tcPr>
                <w:p w14:paraId="2E94F76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left="0" w:leftChars="0" w:firstLine="0" w:firstLineChars="0"/>
                    <w:jc w:val="center"/>
                    <w:textAlignment w:val="auto"/>
                    <w:outlineLvl w:val="9"/>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本项目基准值</w:t>
                  </w:r>
                </w:p>
              </w:tc>
              <w:tc>
                <w:tcPr>
                  <w:tcW w:w="1613" w:type="dxa"/>
                  <w:vAlign w:val="center"/>
                </w:tcPr>
                <w:p w14:paraId="2971479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left="0" w:leftChars="0" w:firstLine="0" w:firstLineChars="0"/>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对应基准等级</w:t>
                  </w:r>
                </w:p>
              </w:tc>
            </w:tr>
            <w:tr w14:paraId="31F2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3F1ADAD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1362" w:type="dxa"/>
                  <w:vMerge w:val="restart"/>
                  <w:vAlign w:val="center"/>
                </w:tcPr>
                <w:p w14:paraId="24B1568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清洁生产管理指标</w:t>
                  </w:r>
                </w:p>
              </w:tc>
              <w:tc>
                <w:tcPr>
                  <w:tcW w:w="2863" w:type="dxa"/>
                  <w:gridSpan w:val="2"/>
                  <w:vAlign w:val="center"/>
                </w:tcPr>
                <w:p w14:paraId="73DC509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*环境法律法规标准执行情况</w:t>
                  </w:r>
                </w:p>
              </w:tc>
              <w:tc>
                <w:tcPr>
                  <w:tcW w:w="1537" w:type="dxa"/>
                  <w:vAlign w:val="center"/>
                </w:tcPr>
                <w:p w14:paraId="0F5347A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w:t>
                  </w:r>
                </w:p>
              </w:tc>
              <w:tc>
                <w:tcPr>
                  <w:tcW w:w="6175" w:type="dxa"/>
                  <w:vAlign w:val="center"/>
                </w:tcPr>
                <w:p w14:paraId="3A78214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目前企业根据《中华人民共和国环境影响评价法》（2018年修订）正在履行环保“三同时”，本次评价结合《建设项目环境影响报告表编制技术指南（污染影响类）（试行）》、《排污许可证申请与核发技术规范电池工业》（HJ967-2018）《排污单位自行监测技术指南总则》（HJ8192017）和《排污单位自行监测技术指南电池工业》(HJ1204-2021)等法律法规为企业制定了废水、废气、噪声等污染物排放标准；提出的了废水、废气、噪声治理措施为可行性技术方案，排污达到国家和地方污染物排放总量控制指标和排污许可证管理要求。</w:t>
                  </w:r>
                </w:p>
              </w:tc>
              <w:tc>
                <w:tcPr>
                  <w:tcW w:w="1613" w:type="dxa"/>
                  <w:vAlign w:val="center"/>
                </w:tcPr>
                <w:p w14:paraId="6910D47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7249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4B9BC79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w:t>
                  </w:r>
                </w:p>
              </w:tc>
              <w:tc>
                <w:tcPr>
                  <w:tcW w:w="1362" w:type="dxa"/>
                  <w:vMerge w:val="continue"/>
                  <w:vAlign w:val="center"/>
                </w:tcPr>
                <w:p w14:paraId="7F7E517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5EBCB67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*产业政策执行情况</w:t>
                  </w:r>
                </w:p>
              </w:tc>
              <w:tc>
                <w:tcPr>
                  <w:tcW w:w="1537" w:type="dxa"/>
                  <w:vAlign w:val="center"/>
                </w:tcPr>
                <w:p w14:paraId="5E51C36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w:t>
                  </w:r>
                </w:p>
              </w:tc>
              <w:tc>
                <w:tcPr>
                  <w:tcW w:w="6175" w:type="dxa"/>
                  <w:vAlign w:val="center"/>
                </w:tcPr>
                <w:p w14:paraId="07444FA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outlineLvl w:val="9"/>
                    <w:rPr>
                      <w:rFonts w:hint="eastAsia" w:eastAsia="宋体" w:cs="Times New Roman"/>
                      <w:b w:val="0"/>
                      <w:bCs w:val="0"/>
                      <w:color w:val="auto"/>
                      <w:sz w:val="21"/>
                      <w:szCs w:val="21"/>
                      <w:vertAlign w:val="baseline"/>
                      <w:lang w:val="en-US" w:eastAsia="zh-CN"/>
                    </w:rPr>
                  </w:pPr>
                  <w:r>
                    <w:rPr>
                      <w:color w:val="auto"/>
                      <w:szCs w:val="21"/>
                    </w:rPr>
                    <w:t>根据《产业结构调整指导目录（2024年本）》，本项目涉及的产品、工艺和设备均不属于“鼓励类”、“限制类”和“淘汰类”之列，根据《促进产业结构调整暂行规定》（国发〔2005〕40号）第十三条规定，本项目属于“允许类”。</w:t>
                  </w:r>
                  <w:r>
                    <w:rPr>
                      <w:rFonts w:hint="eastAsia"/>
                      <w:color w:val="auto"/>
                      <w:szCs w:val="21"/>
                    </w:rPr>
                    <w:t>项目</w:t>
                  </w:r>
                  <w:r>
                    <w:rPr>
                      <w:rFonts w:hint="eastAsia"/>
                      <w:color w:val="auto"/>
                      <w:kern w:val="0"/>
                      <w:szCs w:val="21"/>
                    </w:rPr>
                    <w:t>所在地块属于九龙片区重点产业中的</w:t>
                  </w:r>
                  <w:r>
                    <w:rPr>
                      <w:rFonts w:hint="eastAsia"/>
                      <w:color w:val="auto"/>
                      <w:kern w:val="0"/>
                      <w:szCs w:val="21"/>
                      <w:lang w:val="en-US" w:eastAsia="zh-CN"/>
                    </w:rPr>
                    <w:t>锂电池产</w:t>
                  </w:r>
                  <w:r>
                    <w:rPr>
                      <w:rFonts w:hint="eastAsia"/>
                      <w:color w:val="auto"/>
                      <w:kern w:val="0"/>
                      <w:szCs w:val="21"/>
                    </w:rPr>
                    <w:t>业，因此本项目符合玉溪高新技术产业开发区总体规划</w:t>
                  </w:r>
                  <w:r>
                    <w:rPr>
                      <w:rFonts w:hint="eastAsia"/>
                      <w:color w:val="auto"/>
                      <w:kern w:val="0"/>
                      <w:szCs w:val="21"/>
                      <w:lang w:eastAsia="zh-CN"/>
                    </w:rPr>
                    <w:t>。</w:t>
                  </w:r>
                </w:p>
              </w:tc>
              <w:tc>
                <w:tcPr>
                  <w:tcW w:w="1613" w:type="dxa"/>
                  <w:vAlign w:val="center"/>
                </w:tcPr>
                <w:p w14:paraId="55B1DB6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471E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001F709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p>
              </w:tc>
              <w:tc>
                <w:tcPr>
                  <w:tcW w:w="1362" w:type="dxa"/>
                  <w:vMerge w:val="continue"/>
                  <w:vAlign w:val="center"/>
                </w:tcPr>
                <w:p w14:paraId="724E88B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6E56E48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*清洁生产审核情况</w:t>
                  </w:r>
                </w:p>
              </w:tc>
              <w:tc>
                <w:tcPr>
                  <w:tcW w:w="1537" w:type="dxa"/>
                  <w:vAlign w:val="center"/>
                </w:tcPr>
                <w:p w14:paraId="0D26B9C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w:t>
                  </w:r>
                </w:p>
              </w:tc>
              <w:tc>
                <w:tcPr>
                  <w:tcW w:w="6175" w:type="dxa"/>
                  <w:vAlign w:val="center"/>
                </w:tcPr>
                <w:p w14:paraId="21EB5E0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企业将根据主管部门要求进行清洁生产审核。</w:t>
                  </w:r>
                </w:p>
              </w:tc>
              <w:tc>
                <w:tcPr>
                  <w:tcW w:w="1613" w:type="dxa"/>
                  <w:vAlign w:val="center"/>
                </w:tcPr>
                <w:p w14:paraId="0B133D8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7B37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6425578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w:t>
                  </w:r>
                </w:p>
              </w:tc>
              <w:tc>
                <w:tcPr>
                  <w:tcW w:w="1362" w:type="dxa"/>
                  <w:vMerge w:val="continue"/>
                  <w:vAlign w:val="center"/>
                </w:tcPr>
                <w:p w14:paraId="206C0E4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3601AAA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环境管理体系</w:t>
                  </w:r>
                </w:p>
              </w:tc>
              <w:tc>
                <w:tcPr>
                  <w:tcW w:w="1537" w:type="dxa"/>
                  <w:vAlign w:val="center"/>
                </w:tcPr>
                <w:p w14:paraId="220F347F">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6175" w:type="dxa"/>
                  <w:vAlign w:val="center"/>
                </w:tcPr>
                <w:p w14:paraId="438A4EF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both"/>
                    <w:textAlignment w:val="auto"/>
                    <w:outlineLvl w:val="9"/>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按照“规范、真实、全面、细致”的原则，建立环境管理台账和</w:t>
                  </w:r>
                  <w:r>
                    <w:rPr>
                      <w:rFonts w:hint="eastAsia" w:cs="Times New Roman"/>
                      <w:color w:val="auto"/>
                      <w:sz w:val="21"/>
                      <w:szCs w:val="21"/>
                      <w:lang w:val="en-US" w:eastAsia="zh-CN"/>
                    </w:rPr>
                    <w:t>管理程序等</w:t>
                  </w:r>
                  <w:r>
                    <w:rPr>
                      <w:rFonts w:hint="default" w:ascii="Times New Roman" w:hAnsi="Times New Roman" w:eastAsia="宋体" w:cs="Times New Roman"/>
                      <w:color w:val="auto"/>
                      <w:sz w:val="21"/>
                      <w:szCs w:val="21"/>
                    </w:rPr>
                    <w:t>资料。企业环境管理档案分类分年度装订，资料和台账完善整齐，装订规范，排污许可证齐全，污染物处理装置日常运行状况和监测记录连续、完整，指标符和环境管理要求。环境管理档案</w:t>
                  </w:r>
                  <w:r>
                    <w:rPr>
                      <w:rFonts w:hint="eastAsia" w:cs="Times New Roman"/>
                      <w:color w:val="auto"/>
                      <w:sz w:val="21"/>
                      <w:szCs w:val="21"/>
                      <w:lang w:eastAsia="zh-CN"/>
                    </w:rPr>
                    <w:t>（</w:t>
                  </w:r>
                  <w:r>
                    <w:rPr>
                      <w:rFonts w:hint="eastAsia" w:cs="Times New Roman"/>
                      <w:color w:val="auto"/>
                      <w:sz w:val="21"/>
                      <w:szCs w:val="21"/>
                      <w:lang w:val="en-US" w:eastAsia="zh-CN"/>
                    </w:rPr>
                    <w:t>特别是危险废物的转移的制度和资料</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有固定场所存放，资料保存应在</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年及以上，确保环保部门执法人员随时调阅检查。</w:t>
                  </w:r>
                </w:p>
              </w:tc>
              <w:tc>
                <w:tcPr>
                  <w:tcW w:w="1613" w:type="dxa"/>
                  <w:vAlign w:val="center"/>
                </w:tcPr>
                <w:p w14:paraId="18C5CD9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6839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443CEED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w:t>
                  </w:r>
                </w:p>
              </w:tc>
              <w:tc>
                <w:tcPr>
                  <w:tcW w:w="1362" w:type="dxa"/>
                  <w:vMerge w:val="continue"/>
                  <w:vAlign w:val="center"/>
                </w:tcPr>
                <w:p w14:paraId="02C7AFE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6421591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*环境应急预案</w:t>
                  </w:r>
                </w:p>
              </w:tc>
              <w:tc>
                <w:tcPr>
                  <w:tcW w:w="1537" w:type="dxa"/>
                  <w:vAlign w:val="center"/>
                </w:tcPr>
                <w:p w14:paraId="41CB3E6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w:t>
                  </w:r>
                </w:p>
              </w:tc>
              <w:tc>
                <w:tcPr>
                  <w:tcW w:w="6175" w:type="dxa"/>
                  <w:vAlign w:val="center"/>
                </w:tcPr>
                <w:p w14:paraId="16EC43D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both"/>
                    <w:textAlignment w:val="auto"/>
                    <w:outlineLvl w:val="9"/>
                    <w:rPr>
                      <w:rFonts w:hint="eastAsia" w:cs="Times New Roman"/>
                      <w:b w:val="0"/>
                      <w:bCs w:val="0"/>
                      <w:color w:val="auto"/>
                      <w:sz w:val="21"/>
                      <w:szCs w:val="21"/>
                      <w:vertAlign w:val="baseline"/>
                      <w:lang w:val="en-US" w:eastAsia="zh-CN"/>
                    </w:rPr>
                  </w:pPr>
                  <w:r>
                    <w:rPr>
                      <w:rFonts w:hint="eastAsia"/>
                      <w:color w:val="auto"/>
                      <w:sz w:val="21"/>
                      <w:szCs w:val="21"/>
                    </w:rPr>
                    <w:t>本</w:t>
                  </w:r>
                  <w:r>
                    <w:rPr>
                      <w:rFonts w:hint="eastAsia"/>
                      <w:color w:val="auto"/>
                      <w:sz w:val="21"/>
                      <w:szCs w:val="21"/>
                      <w:lang w:val="en-US" w:eastAsia="zh-CN"/>
                    </w:rPr>
                    <w:t>次评价</w:t>
                  </w:r>
                  <w:r>
                    <w:rPr>
                      <w:rFonts w:hint="eastAsia"/>
                      <w:color w:val="auto"/>
                      <w:sz w:val="21"/>
                      <w:szCs w:val="21"/>
                    </w:rPr>
                    <w:t>要求项目建成后及时编制突发环境事件应急预案</w:t>
                  </w:r>
                  <w:r>
                    <w:rPr>
                      <w:rFonts w:hint="eastAsia"/>
                      <w:color w:val="auto"/>
                      <w:sz w:val="21"/>
                      <w:szCs w:val="21"/>
                      <w:lang w:eastAsia="zh-CN"/>
                    </w:rPr>
                    <w:t>，</w:t>
                  </w:r>
                  <w:r>
                    <w:rPr>
                      <w:rFonts w:hint="eastAsia"/>
                      <w:color w:val="auto"/>
                      <w:sz w:val="21"/>
                      <w:szCs w:val="21"/>
                      <w:lang w:val="en-US" w:eastAsia="zh-CN"/>
                    </w:rPr>
                    <w:t>严格</w:t>
                  </w:r>
                  <w:r>
                    <w:rPr>
                      <w:rFonts w:hint="eastAsia"/>
                      <w:color w:val="auto"/>
                      <w:vertAlign w:val="baseline"/>
                      <w:lang w:val="en-US" w:eastAsia="zh-CN"/>
                    </w:rPr>
                    <w:t>防控项目环境风险，建立完善的环境风险防控体系，配备一定数量的应急物资，提升环境风险防控能力，确保环境风险防范和应急措施合理、有效；</w:t>
                  </w:r>
                  <w:r>
                    <w:rPr>
                      <w:rFonts w:hint="eastAsia"/>
                      <w:color w:val="auto"/>
                      <w:sz w:val="21"/>
                      <w:szCs w:val="21"/>
                      <w:lang w:val="en-US" w:eastAsia="zh-CN"/>
                    </w:rPr>
                    <w:t>并定期展开应急演练，确保预案制定的程序、提出的措施可行</w:t>
                  </w:r>
                  <w:r>
                    <w:rPr>
                      <w:rFonts w:hint="eastAsia"/>
                      <w:sz w:val="21"/>
                      <w:szCs w:val="21"/>
                      <w:lang w:eastAsia="zh-CN"/>
                    </w:rPr>
                    <w:t>。</w:t>
                  </w:r>
                </w:p>
              </w:tc>
              <w:tc>
                <w:tcPr>
                  <w:tcW w:w="1613" w:type="dxa"/>
                  <w:vAlign w:val="center"/>
                </w:tcPr>
                <w:p w14:paraId="4F35B47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3BCF1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7F942AD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w:t>
                  </w:r>
                </w:p>
              </w:tc>
              <w:tc>
                <w:tcPr>
                  <w:tcW w:w="1362" w:type="dxa"/>
                  <w:vMerge w:val="continue"/>
                  <w:vAlign w:val="center"/>
                </w:tcPr>
                <w:p w14:paraId="7911E6A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6229ABD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*危险化学品管理</w:t>
                  </w:r>
                </w:p>
              </w:tc>
              <w:tc>
                <w:tcPr>
                  <w:tcW w:w="1537" w:type="dxa"/>
                  <w:vAlign w:val="center"/>
                </w:tcPr>
                <w:p w14:paraId="177DB52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6175" w:type="dxa"/>
                  <w:vAlign w:val="center"/>
                </w:tcPr>
                <w:p w14:paraId="1AFD140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both"/>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本项目涉及的危化品按照《危险化学品安全管理条例》相关要求进行管理</w:t>
                  </w:r>
                </w:p>
              </w:tc>
              <w:tc>
                <w:tcPr>
                  <w:tcW w:w="1613" w:type="dxa"/>
                  <w:vAlign w:val="center"/>
                </w:tcPr>
                <w:p w14:paraId="0157664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0448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21" w:type="dxa"/>
                  <w:vMerge w:val="restart"/>
                  <w:vAlign w:val="center"/>
                </w:tcPr>
                <w:p w14:paraId="7A23278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w:t>
                  </w:r>
                </w:p>
              </w:tc>
              <w:tc>
                <w:tcPr>
                  <w:tcW w:w="1362" w:type="dxa"/>
                  <w:vMerge w:val="continue"/>
                  <w:vAlign w:val="center"/>
                </w:tcPr>
                <w:p w14:paraId="08787B7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225" w:type="dxa"/>
                  <w:vMerge w:val="restart"/>
                  <w:vAlign w:val="center"/>
                </w:tcPr>
                <w:p w14:paraId="765232F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水污染物排放管理</w:t>
                  </w:r>
                </w:p>
              </w:tc>
              <w:tc>
                <w:tcPr>
                  <w:tcW w:w="1638" w:type="dxa"/>
                  <w:vAlign w:val="center"/>
                </w:tcPr>
                <w:p w14:paraId="7231017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*雨污分流等。</w:t>
                  </w:r>
                </w:p>
              </w:tc>
              <w:tc>
                <w:tcPr>
                  <w:tcW w:w="1537" w:type="dxa"/>
                  <w:vAlign w:val="center"/>
                </w:tcPr>
                <w:p w14:paraId="6CE0BBF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6175" w:type="dxa"/>
                  <w:vAlign w:val="center"/>
                </w:tcPr>
                <w:p w14:paraId="32E9BDF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olor w:val="auto"/>
                      <w:vertAlign w:val="baseline"/>
                      <w:lang w:val="en-US" w:eastAsia="zh-CN"/>
                    </w:rPr>
                    <w:t>本项目雨污风流，清污分流；雨水通过雨水收集后进入园区雨水管网；</w:t>
                  </w:r>
                  <w:r>
                    <w:rPr>
                      <w:rFonts w:hint="eastAsia" w:cs="Times New Roman"/>
                      <w:color w:val="auto"/>
                      <w:lang w:val="en-US" w:eastAsia="zh-CN"/>
                    </w:rPr>
                    <w:t>设备清洗废水</w:t>
                  </w:r>
                  <w:r>
                    <w:rPr>
                      <w:rFonts w:hint="default" w:ascii="Times New Roman" w:hAnsi="Times New Roman" w:eastAsia="宋体" w:cs="Times New Roman"/>
                      <w:color w:val="auto"/>
                      <w:lang w:val="en-US" w:eastAsia="zh-CN"/>
                    </w:rPr>
                    <w:t>作为危险废物暂存于危废间，定期交由有资质单位处置</w:t>
                  </w:r>
                  <w:r>
                    <w:rPr>
                      <w:rFonts w:hint="eastAsia" w:ascii="Times New Roman" w:hAnsi="Times New Roman" w:eastAsia="宋体" w:cs="Times New Roman"/>
                      <w:color w:val="auto"/>
                      <w:lang w:val="en-US" w:eastAsia="zh-CN"/>
                    </w:rPr>
                    <w:t>；</w:t>
                  </w:r>
                  <w:r>
                    <w:rPr>
                      <w:rFonts w:hint="eastAsia" w:cs="Times New Roman"/>
                      <w:color w:val="auto"/>
                      <w:lang w:val="en-US" w:eastAsia="zh-CN"/>
                    </w:rPr>
                    <w:t>纯水制备浓水</w:t>
                  </w:r>
                  <w:r>
                    <w:rPr>
                      <w:rFonts w:hint="default" w:ascii="Times New Roman" w:hAnsi="Times New Roman" w:eastAsia="宋体" w:cs="Times New Roman"/>
                      <w:color w:val="auto"/>
                      <w:lang w:val="en-US" w:eastAsia="zh-CN"/>
                    </w:rPr>
                    <w:t>作为</w:t>
                  </w:r>
                  <w:r>
                    <w:rPr>
                      <w:rFonts w:hint="eastAsia" w:cs="Times New Roman"/>
                      <w:color w:val="auto"/>
                      <w:lang w:val="en-US" w:eastAsia="zh-CN"/>
                    </w:rPr>
                    <w:t>绿化用水；</w:t>
                  </w:r>
                  <w:r>
                    <w:rPr>
                      <w:rFonts w:hint="default" w:ascii="Times New Roman" w:hAnsi="Times New Roman" w:eastAsia="宋体" w:cs="Times New Roman"/>
                      <w:color w:val="auto"/>
                      <w:szCs w:val="21"/>
                    </w:rPr>
                    <w:t>生活污水</w:t>
                  </w:r>
                  <w:r>
                    <w:rPr>
                      <w:rFonts w:hint="eastAsia" w:ascii="Times New Roman" w:hAnsi="Times New Roman" w:eastAsia="宋体" w:cs="Times New Roman"/>
                      <w:color w:val="auto"/>
                      <w:sz w:val="21"/>
                      <w:szCs w:val="21"/>
                      <w:lang w:val="en-US" w:eastAsia="zh-CN"/>
                    </w:rPr>
                    <w:t>进入</w:t>
                  </w:r>
                  <w:r>
                    <w:rPr>
                      <w:rFonts w:hint="eastAsia" w:cs="Times New Roman"/>
                      <w:color w:val="auto"/>
                      <w:sz w:val="21"/>
                      <w:szCs w:val="21"/>
                      <w:lang w:val="en-US" w:eastAsia="zh-CN"/>
                    </w:rPr>
                    <w:t>6m³/d</w:t>
                  </w:r>
                  <w:r>
                    <w:rPr>
                      <w:rFonts w:hint="eastAsia" w:ascii="Times New Roman" w:hAnsi="Times New Roman" w:eastAsia="宋体" w:cs="Times New Roman"/>
                      <w:color w:val="auto"/>
                      <w:sz w:val="21"/>
                      <w:szCs w:val="21"/>
                      <w:lang w:val="en-US" w:eastAsia="zh-CN"/>
                    </w:rPr>
                    <w:t>的污水处理系统处理后回用于厂区绿化</w:t>
                  </w:r>
                  <w:r>
                    <w:rPr>
                      <w:rFonts w:hint="eastAsia" w:cs="Times New Roman"/>
                      <w:color w:val="auto"/>
                      <w:sz w:val="21"/>
                      <w:szCs w:val="21"/>
                      <w:lang w:val="en-US" w:eastAsia="zh-CN"/>
                    </w:rPr>
                    <w:t>。</w:t>
                  </w:r>
                </w:p>
              </w:tc>
              <w:tc>
                <w:tcPr>
                  <w:tcW w:w="1613" w:type="dxa"/>
                  <w:vAlign w:val="center"/>
                </w:tcPr>
                <w:p w14:paraId="2188EBB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222B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1" w:type="dxa"/>
                  <w:vMerge w:val="continue"/>
                  <w:vAlign w:val="center"/>
                </w:tcPr>
                <w:p w14:paraId="57ED069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362" w:type="dxa"/>
                  <w:vMerge w:val="continue"/>
                  <w:vAlign w:val="center"/>
                </w:tcPr>
                <w:p w14:paraId="7C07A77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225" w:type="dxa"/>
                  <w:vMerge w:val="continue"/>
                  <w:vAlign w:val="center"/>
                </w:tcPr>
                <w:p w14:paraId="26A0AB5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638" w:type="dxa"/>
                  <w:vAlign w:val="center"/>
                </w:tcPr>
                <w:p w14:paraId="434C1F1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含盐废水有效处理</w:t>
                  </w:r>
                </w:p>
              </w:tc>
              <w:tc>
                <w:tcPr>
                  <w:tcW w:w="1537" w:type="dxa"/>
                  <w:vAlign w:val="center"/>
                </w:tcPr>
                <w:p w14:paraId="5FE4E9F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c>
                <w:tcPr>
                  <w:tcW w:w="6175" w:type="dxa"/>
                  <w:vAlign w:val="center"/>
                </w:tcPr>
                <w:p w14:paraId="037E087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不涉及</w:t>
                  </w:r>
                </w:p>
              </w:tc>
              <w:tc>
                <w:tcPr>
                  <w:tcW w:w="1613" w:type="dxa"/>
                  <w:vAlign w:val="center"/>
                </w:tcPr>
                <w:p w14:paraId="7D49CCC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Ⅲ级</w:t>
                  </w:r>
                </w:p>
              </w:tc>
            </w:tr>
            <w:tr w14:paraId="75FE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3555BA8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w:t>
                  </w:r>
                </w:p>
              </w:tc>
              <w:tc>
                <w:tcPr>
                  <w:tcW w:w="1362" w:type="dxa"/>
                  <w:vMerge w:val="continue"/>
                  <w:vAlign w:val="center"/>
                </w:tcPr>
                <w:p w14:paraId="578BE187">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225" w:type="dxa"/>
                  <w:vMerge w:val="restart"/>
                  <w:vAlign w:val="center"/>
                </w:tcPr>
                <w:p w14:paraId="3B06450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污染物排放监测</w:t>
                  </w:r>
                </w:p>
              </w:tc>
              <w:tc>
                <w:tcPr>
                  <w:tcW w:w="1638" w:type="dxa"/>
                  <w:vAlign w:val="center"/>
                </w:tcPr>
                <w:p w14:paraId="3B44DF2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在线监测设备</w:t>
                  </w:r>
                </w:p>
              </w:tc>
              <w:tc>
                <w:tcPr>
                  <w:tcW w:w="1537" w:type="dxa"/>
                  <w:vAlign w:val="center"/>
                </w:tcPr>
                <w:p w14:paraId="61A2D8D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c>
                <w:tcPr>
                  <w:tcW w:w="6175" w:type="dxa"/>
                  <w:vAlign w:val="center"/>
                </w:tcPr>
                <w:p w14:paraId="7583BE6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both"/>
                    <w:textAlignment w:val="auto"/>
                    <w:outlineLvl w:val="9"/>
                    <w:rPr>
                      <w:rFonts w:hint="default"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rPr>
                    <w:t>根据《固定污染源排污许可分类管理名录》（2019版）本项目属于“</w:t>
                  </w:r>
                  <w:r>
                    <w:rPr>
                      <w:rFonts w:hint="eastAsia" w:cs="Times New Roman"/>
                      <w:color w:val="auto"/>
                      <w:lang w:val="en-US" w:eastAsia="zh-CN"/>
                    </w:rPr>
                    <w:t>88项-384电池制造-3841锂离子电池制造</w:t>
                  </w:r>
                  <w:r>
                    <w:rPr>
                      <w:rFonts w:hint="default" w:ascii="Times New Roman" w:hAnsi="Times New Roman" w:eastAsia="宋体" w:cs="Times New Roman"/>
                      <w:color w:val="auto"/>
                    </w:rPr>
                    <w:t>”，属于简化管理企业</w:t>
                  </w:r>
                  <w:r>
                    <w:rPr>
                      <w:rFonts w:hint="eastAsia" w:cs="Times New Roman"/>
                      <w:color w:val="auto"/>
                      <w:lang w:eastAsia="zh-CN"/>
                    </w:rPr>
                    <w:t>；</w:t>
                  </w:r>
                  <w:r>
                    <w:rPr>
                      <w:rFonts w:hint="eastAsia" w:cs="Times New Roman"/>
                      <w:color w:val="auto"/>
                      <w:lang w:val="en-US" w:eastAsia="zh-CN"/>
                    </w:rPr>
                    <w:t>对照</w:t>
                  </w:r>
                  <w:r>
                    <w:rPr>
                      <w:rFonts w:hint="eastAsia" w:cs="Times New Roman"/>
                      <w:b w:val="0"/>
                      <w:bCs w:val="0"/>
                      <w:color w:val="auto"/>
                      <w:sz w:val="21"/>
                      <w:szCs w:val="21"/>
                      <w:vertAlign w:val="baseline"/>
                      <w:lang w:val="en-US" w:eastAsia="zh-CN"/>
                    </w:rPr>
                    <w:t>《排污许可证申请与核发技术规范电池工业》（HJ967-2018）本项目不需要安装在线监测设备。</w:t>
                  </w:r>
                </w:p>
              </w:tc>
              <w:tc>
                <w:tcPr>
                  <w:tcW w:w="1613" w:type="dxa"/>
                  <w:vAlign w:val="center"/>
                </w:tcPr>
                <w:p w14:paraId="4CC04C3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Ⅲ级</w:t>
                  </w:r>
                </w:p>
              </w:tc>
            </w:tr>
            <w:tr w14:paraId="77A4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29CCEA6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9</w:t>
                  </w:r>
                </w:p>
              </w:tc>
              <w:tc>
                <w:tcPr>
                  <w:tcW w:w="1362" w:type="dxa"/>
                  <w:vMerge w:val="continue"/>
                  <w:vAlign w:val="center"/>
                </w:tcPr>
                <w:p w14:paraId="4A861D9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225" w:type="dxa"/>
                  <w:vMerge w:val="continue"/>
                  <w:vAlign w:val="center"/>
                </w:tcPr>
                <w:p w14:paraId="25875CB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638" w:type="dxa"/>
                  <w:vAlign w:val="center"/>
                </w:tcPr>
                <w:p w14:paraId="0BF7717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监测能力建设</w:t>
                  </w:r>
                </w:p>
              </w:tc>
              <w:tc>
                <w:tcPr>
                  <w:tcW w:w="1537" w:type="dxa"/>
                  <w:vAlign w:val="center"/>
                </w:tcPr>
                <w:p w14:paraId="37595A72">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0.03</w:t>
                  </w:r>
                </w:p>
              </w:tc>
              <w:tc>
                <w:tcPr>
                  <w:tcW w:w="6175" w:type="dxa"/>
                  <w:vAlign w:val="center"/>
                </w:tcPr>
                <w:p w14:paraId="4A73049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本项目委托第三方进行污染物排放监测，不具备监测能力</w:t>
                  </w:r>
                </w:p>
              </w:tc>
              <w:tc>
                <w:tcPr>
                  <w:tcW w:w="1613" w:type="dxa"/>
                  <w:vAlign w:val="center"/>
                </w:tcPr>
                <w:p w14:paraId="5837584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Ⅲ级</w:t>
                  </w:r>
                </w:p>
              </w:tc>
            </w:tr>
            <w:tr w14:paraId="45EF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2F1018D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w:t>
                  </w:r>
                </w:p>
              </w:tc>
              <w:tc>
                <w:tcPr>
                  <w:tcW w:w="1362" w:type="dxa"/>
                  <w:vMerge w:val="continue"/>
                  <w:vAlign w:val="center"/>
                </w:tcPr>
                <w:p w14:paraId="4E4B38F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338402E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*排放口管理</w:t>
                  </w:r>
                </w:p>
              </w:tc>
              <w:tc>
                <w:tcPr>
                  <w:tcW w:w="1537" w:type="dxa"/>
                  <w:vAlign w:val="center"/>
                </w:tcPr>
                <w:p w14:paraId="192ED067">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6175" w:type="dxa"/>
                  <w:vAlign w:val="center"/>
                </w:tcPr>
                <w:p w14:paraId="3F429FE8">
                  <w:pPr>
                    <w:pStyle w:val="70"/>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运营</w:t>
                  </w:r>
                  <w:r>
                    <w:rPr>
                      <w:rFonts w:hint="default" w:ascii="Times New Roman" w:hAnsi="Times New Roman" w:eastAsia="宋体" w:cs="Times New Roman"/>
                      <w:color w:val="auto"/>
                      <w:sz w:val="21"/>
                      <w:szCs w:val="21"/>
                    </w:rPr>
                    <w:t>过程主要污染影响包括废气、废水、固废和厂界噪声等，</w:t>
                  </w:r>
                  <w:r>
                    <w:rPr>
                      <w:rFonts w:hint="default" w:ascii="Times New Roman" w:hAnsi="Times New Roman" w:eastAsia="宋体" w:cs="Times New Roman"/>
                      <w:color w:val="auto"/>
                      <w:sz w:val="21"/>
                      <w:szCs w:val="21"/>
                      <w:lang w:eastAsia="zh-CN"/>
                    </w:rPr>
                    <w:t>根据项目实际情况，</w:t>
                  </w:r>
                  <w:r>
                    <w:rPr>
                      <w:rFonts w:hint="default" w:ascii="Times New Roman" w:hAnsi="Times New Roman" w:eastAsia="宋体" w:cs="Times New Roman"/>
                      <w:color w:val="auto"/>
                      <w:sz w:val="21"/>
                      <w:szCs w:val="21"/>
                    </w:rPr>
                    <w:t>必须重点</w:t>
                  </w:r>
                  <w:r>
                    <w:rPr>
                      <w:rFonts w:hint="default" w:ascii="Times New Roman" w:hAnsi="Times New Roman" w:eastAsia="宋体" w:cs="Times New Roman"/>
                      <w:color w:val="auto"/>
                      <w:sz w:val="21"/>
                      <w:szCs w:val="21"/>
                      <w:lang w:eastAsia="zh-CN"/>
                    </w:rPr>
                    <w:t>做好</w:t>
                  </w:r>
                  <w:r>
                    <w:rPr>
                      <w:rFonts w:hint="default" w:ascii="Times New Roman" w:hAnsi="Times New Roman" w:eastAsia="宋体" w:cs="Times New Roman"/>
                      <w:color w:val="auto"/>
                      <w:sz w:val="21"/>
                      <w:szCs w:val="21"/>
                    </w:rPr>
                    <w:t>废气、</w:t>
                  </w:r>
                  <w:r>
                    <w:rPr>
                      <w:rFonts w:hint="default"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噪声的监测工作。按照《环境保护部办公厅关于做好环境影响评价制度和排污许可制衔接相关工作的通知》（环办环评〔2017〕84号）的要求，</w:t>
                  </w:r>
                  <w:r>
                    <w:rPr>
                      <w:rFonts w:hint="default" w:ascii="Times New Roman" w:hAnsi="Times New Roman" w:eastAsia="宋体" w:cs="Times New Roman"/>
                      <w:color w:val="auto"/>
                      <w:sz w:val="21"/>
                      <w:szCs w:val="21"/>
                      <w:lang w:eastAsia="zh-CN"/>
                    </w:rPr>
                    <w:t>建设单位应按照相关文件要求</w:t>
                  </w:r>
                  <w:r>
                    <w:rPr>
                      <w:rFonts w:hint="default" w:ascii="Times New Roman" w:hAnsi="Times New Roman" w:eastAsia="宋体" w:cs="Times New Roman"/>
                      <w:color w:val="auto"/>
                      <w:sz w:val="21"/>
                      <w:szCs w:val="21"/>
                    </w:rPr>
                    <w:t>完成排污许可申请，同时，建设单位应在本项目排污口安装排放口标牌，标牌内容应包含单位名称、排污口编号和污染物种类。</w:t>
                  </w:r>
                </w:p>
              </w:tc>
              <w:tc>
                <w:tcPr>
                  <w:tcW w:w="1613" w:type="dxa"/>
                  <w:vAlign w:val="center"/>
                </w:tcPr>
                <w:p w14:paraId="4D0AC38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1A44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1FAEE5A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w:t>
                  </w:r>
                </w:p>
              </w:tc>
              <w:tc>
                <w:tcPr>
                  <w:tcW w:w="1362" w:type="dxa"/>
                  <w:vMerge w:val="continue"/>
                  <w:vAlign w:val="center"/>
                </w:tcPr>
                <w:p w14:paraId="39E0D837">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225" w:type="dxa"/>
                  <w:vMerge w:val="restart"/>
                  <w:vAlign w:val="center"/>
                </w:tcPr>
                <w:p w14:paraId="4A16D04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*固体废物处理处置</w:t>
                  </w:r>
                </w:p>
              </w:tc>
              <w:tc>
                <w:tcPr>
                  <w:tcW w:w="1638" w:type="dxa"/>
                  <w:vAlign w:val="center"/>
                </w:tcPr>
                <w:p w14:paraId="3D8CDA9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一般固体废物</w:t>
                  </w:r>
                </w:p>
              </w:tc>
              <w:tc>
                <w:tcPr>
                  <w:tcW w:w="1537" w:type="dxa"/>
                  <w:vAlign w:val="center"/>
                </w:tcPr>
                <w:p w14:paraId="4B6B10F4">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c>
                <w:tcPr>
                  <w:tcW w:w="6175" w:type="dxa"/>
                  <w:vAlign w:val="center"/>
                </w:tcPr>
                <w:p w14:paraId="7530FF4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both"/>
                    <w:textAlignment w:val="auto"/>
                    <w:outlineLvl w:val="9"/>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一般</w:t>
                  </w:r>
                  <w:r>
                    <w:rPr>
                      <w:rFonts w:hint="eastAsia" w:cs="Times New Roman"/>
                      <w:color w:val="auto"/>
                      <w:sz w:val="21"/>
                      <w:szCs w:val="21"/>
                      <w:lang w:val="en-US" w:eastAsia="zh-CN"/>
                    </w:rPr>
                    <w:t>固体废弃物</w:t>
                  </w:r>
                  <w:r>
                    <w:rPr>
                      <w:rFonts w:hint="default" w:ascii="Times New Roman" w:hAnsi="Times New Roman" w:eastAsia="宋体" w:cs="Times New Roman"/>
                      <w:color w:val="auto"/>
                      <w:sz w:val="21"/>
                      <w:szCs w:val="21"/>
                    </w:rPr>
                    <w:t>执行《一般工业固体废物贮存和填埋污染控制标准》（GB18599-2020）。</w:t>
                  </w:r>
                </w:p>
              </w:tc>
              <w:tc>
                <w:tcPr>
                  <w:tcW w:w="1613" w:type="dxa"/>
                  <w:vAlign w:val="center"/>
                </w:tcPr>
                <w:p w14:paraId="292F826B">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4F1B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3E8B3B9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w:t>
                  </w:r>
                </w:p>
              </w:tc>
              <w:tc>
                <w:tcPr>
                  <w:tcW w:w="1362" w:type="dxa"/>
                  <w:vMerge w:val="continue"/>
                  <w:vAlign w:val="center"/>
                </w:tcPr>
                <w:p w14:paraId="2265F62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225" w:type="dxa"/>
                  <w:vMerge w:val="continue"/>
                  <w:vAlign w:val="center"/>
                </w:tcPr>
                <w:p w14:paraId="04FDCEA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1638" w:type="dxa"/>
                  <w:vAlign w:val="center"/>
                </w:tcPr>
                <w:p w14:paraId="05C4294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c>
                <w:tcPr>
                  <w:tcW w:w="1537" w:type="dxa"/>
                  <w:vAlign w:val="center"/>
                </w:tcPr>
                <w:p w14:paraId="4D7C9F1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0.08</w:t>
                  </w:r>
                </w:p>
              </w:tc>
              <w:tc>
                <w:tcPr>
                  <w:tcW w:w="6175" w:type="dxa"/>
                  <w:vAlign w:val="center"/>
                </w:tcPr>
                <w:p w14:paraId="5C200DE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ind w:firstLine="420" w:firstLineChars="200"/>
                    <w:jc w:val="both"/>
                    <w:textAlignment w:val="auto"/>
                    <w:outlineLvl w:val="9"/>
                    <w:rPr>
                      <w:rFonts w:hint="eastAsia"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项目设置危废暂存间，将危险废物暂存于危废暂存间，定期委托具有资质的单位清运处置。</w:t>
                  </w:r>
                  <w:r>
                    <w:rPr>
                      <w:rFonts w:hint="default" w:ascii="Times New Roman" w:hAnsi="Times New Roman" w:eastAsia="宋体" w:cs="Times New Roman"/>
                      <w:color w:val="auto"/>
                      <w:kern w:val="0"/>
                      <w:sz w:val="21"/>
                      <w:szCs w:val="21"/>
                      <w:lang w:bidi="ar"/>
                    </w:rPr>
                    <w:t>危险废物转移交接</w:t>
                  </w:r>
                  <w:r>
                    <w:rPr>
                      <w:rFonts w:hint="default" w:ascii="Times New Roman" w:hAnsi="Times New Roman" w:eastAsia="宋体" w:cs="Times New Roman"/>
                      <w:color w:val="auto"/>
                      <w:kern w:val="0"/>
                      <w:sz w:val="21"/>
                      <w:szCs w:val="21"/>
                      <w:lang w:val="en-US" w:eastAsia="zh-CN" w:bidi="ar"/>
                    </w:rPr>
                    <w:t>《危险废物转移管理办法》（部令第23号）执行</w:t>
                  </w: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转移资料</w:t>
                  </w:r>
                  <w:r>
                    <w:rPr>
                      <w:rFonts w:hint="default" w:ascii="Times New Roman" w:hAnsi="Times New Roman" w:eastAsia="宋体" w:cs="Times New Roman"/>
                      <w:color w:val="auto"/>
                      <w:kern w:val="0"/>
                      <w:sz w:val="21"/>
                      <w:szCs w:val="21"/>
                      <w:lang w:bidi="ar"/>
                    </w:rPr>
                    <w:t>存档时间不得低于3年</w:t>
                  </w:r>
                  <w:r>
                    <w:rPr>
                      <w:rFonts w:hint="eastAsia" w:cs="Times New Roman"/>
                      <w:color w:val="auto"/>
                      <w:kern w:val="0"/>
                      <w:sz w:val="21"/>
                      <w:szCs w:val="21"/>
                      <w:lang w:eastAsia="zh-CN" w:bidi="ar"/>
                    </w:rPr>
                    <w:t>。</w:t>
                  </w:r>
                </w:p>
              </w:tc>
              <w:tc>
                <w:tcPr>
                  <w:tcW w:w="1613" w:type="dxa"/>
                  <w:vAlign w:val="center"/>
                </w:tcPr>
                <w:p w14:paraId="0B8A4425">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r w14:paraId="5513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51E6703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13</w:t>
                  </w:r>
                </w:p>
              </w:tc>
              <w:tc>
                <w:tcPr>
                  <w:tcW w:w="1362" w:type="dxa"/>
                  <w:vMerge w:val="continue"/>
                  <w:vAlign w:val="center"/>
                </w:tcPr>
                <w:p w14:paraId="527111B9">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7C292060">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能源计量器具配备情况</w:t>
                  </w:r>
                </w:p>
              </w:tc>
              <w:tc>
                <w:tcPr>
                  <w:tcW w:w="1537" w:type="dxa"/>
                  <w:vAlign w:val="center"/>
                </w:tcPr>
                <w:p w14:paraId="1CA9BD86">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6175" w:type="dxa"/>
                  <w:vAlign w:val="center"/>
                </w:tcPr>
                <w:p w14:paraId="2580350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both"/>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本项目主要能源为电，电表设置符合计量器具配备率符合 GB 17167、GB 24789 二级计量要求。</w:t>
                  </w:r>
                </w:p>
              </w:tc>
              <w:tc>
                <w:tcPr>
                  <w:tcW w:w="1613" w:type="dxa"/>
                  <w:vAlign w:val="center"/>
                </w:tcPr>
                <w:p w14:paraId="460F2B1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Ⅲ级</w:t>
                  </w:r>
                </w:p>
              </w:tc>
            </w:tr>
            <w:tr w14:paraId="62D4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02F3854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w:t>
                  </w:r>
                </w:p>
              </w:tc>
              <w:tc>
                <w:tcPr>
                  <w:tcW w:w="1362" w:type="dxa"/>
                  <w:vMerge w:val="continue"/>
                  <w:vAlign w:val="center"/>
                </w:tcPr>
                <w:p w14:paraId="231F274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0F3D2C3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环境信息公开</w:t>
                  </w:r>
                </w:p>
              </w:tc>
              <w:tc>
                <w:tcPr>
                  <w:tcW w:w="1537" w:type="dxa"/>
                  <w:vAlign w:val="center"/>
                </w:tcPr>
                <w:p w14:paraId="5B3E4B6C">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6175" w:type="dxa"/>
                  <w:vAlign w:val="center"/>
                </w:tcPr>
                <w:p w14:paraId="35FC8F0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企业应按相关规定进行排污申报登记，企业应建立环境管理台账和信息档案，依法向社会公开相关信息。建设单位应按照《企业事业单位环境信息公开办法》（环保部令第31号）的规定对企业环境信息公开。</w:t>
                  </w:r>
                </w:p>
              </w:tc>
              <w:tc>
                <w:tcPr>
                  <w:tcW w:w="1613" w:type="dxa"/>
                  <w:vAlign w:val="center"/>
                </w:tcPr>
                <w:p w14:paraId="268A7353">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Ⅲ级</w:t>
                  </w:r>
                </w:p>
              </w:tc>
            </w:tr>
            <w:tr w14:paraId="69D3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6653401F">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w:t>
                  </w:r>
                </w:p>
              </w:tc>
              <w:tc>
                <w:tcPr>
                  <w:tcW w:w="1362" w:type="dxa"/>
                  <w:vMerge w:val="continue"/>
                  <w:vAlign w:val="center"/>
                </w:tcPr>
                <w:p w14:paraId="4F7AAF68">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p>
              </w:tc>
              <w:tc>
                <w:tcPr>
                  <w:tcW w:w="2863" w:type="dxa"/>
                  <w:gridSpan w:val="2"/>
                  <w:vAlign w:val="center"/>
                </w:tcPr>
                <w:p w14:paraId="204F7A21">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相关方环境管理</w:t>
                  </w:r>
                </w:p>
              </w:tc>
              <w:tc>
                <w:tcPr>
                  <w:tcW w:w="1537" w:type="dxa"/>
                  <w:vAlign w:val="center"/>
                </w:tcPr>
                <w:p w14:paraId="4BAF3ACA">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6175" w:type="dxa"/>
                  <w:vAlign w:val="center"/>
                </w:tcPr>
                <w:p w14:paraId="08F54F4E">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both"/>
                    <w:textAlignment w:val="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对原辅料供应商、配套设施设计及施工方，要求提供相关的资质证明；对于原辅料供应商需要提供环保“三同时”证明材料，同时提供《全国排污许可证》及近年的《排污许可证执行报告》情况。</w:t>
                  </w:r>
                </w:p>
              </w:tc>
              <w:tc>
                <w:tcPr>
                  <w:tcW w:w="1613" w:type="dxa"/>
                  <w:vAlign w:val="center"/>
                </w:tcPr>
                <w:p w14:paraId="0B4F11FD">
                  <w:pPr>
                    <w:keepNext w:val="0"/>
                    <w:keepLines w:val="0"/>
                    <w:pageBreakBefore w:val="0"/>
                    <w:widowControl w:val="0"/>
                    <w:numPr>
                      <w:ilvl w:val="0"/>
                      <w:numId w:val="0"/>
                    </w:numPr>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Ⅱ级</w:t>
                  </w:r>
                </w:p>
              </w:tc>
            </w:tr>
          </w:tbl>
          <w:p w14:paraId="3C4A390E">
            <w:pPr>
              <w:numPr>
                <w:ilvl w:val="0"/>
                <w:numId w:val="0"/>
              </w:numPr>
              <w:spacing w:line="360" w:lineRule="auto"/>
              <w:outlineLvl w:val="9"/>
              <w:rPr>
                <w:rFonts w:hint="eastAsia" w:cs="Times New Roman"/>
                <w:b w:val="0"/>
                <w:bCs w:val="0"/>
                <w:color w:val="auto"/>
                <w:sz w:val="21"/>
                <w:szCs w:val="21"/>
                <w:vertAlign w:val="baseline"/>
                <w:lang w:val="en-US" w:eastAsia="zh-CN"/>
              </w:rPr>
            </w:pPr>
          </w:p>
          <w:p w14:paraId="0DAC4C1A">
            <w:pPr>
              <w:numPr>
                <w:ilvl w:val="0"/>
                <w:numId w:val="0"/>
              </w:numPr>
              <w:spacing w:line="360" w:lineRule="auto"/>
              <w:outlineLvl w:val="9"/>
              <w:rPr>
                <w:rFonts w:hint="eastAsia" w:cs="Times New Roman"/>
                <w:b w:val="0"/>
                <w:bCs w:val="0"/>
                <w:color w:val="auto"/>
                <w:sz w:val="21"/>
                <w:szCs w:val="21"/>
                <w:vertAlign w:val="baseline"/>
                <w:lang w:val="en-US" w:eastAsia="zh-CN"/>
              </w:rPr>
            </w:pPr>
          </w:p>
          <w:p w14:paraId="12DDBF89">
            <w:pPr>
              <w:numPr>
                <w:ilvl w:val="0"/>
                <w:numId w:val="0"/>
              </w:numPr>
              <w:spacing w:line="360" w:lineRule="auto"/>
              <w:outlineLvl w:val="9"/>
              <w:rPr>
                <w:rFonts w:hint="eastAsia" w:cs="Times New Roman"/>
                <w:b w:val="0"/>
                <w:bCs w:val="0"/>
                <w:color w:val="auto"/>
                <w:sz w:val="21"/>
                <w:szCs w:val="21"/>
                <w:vertAlign w:val="baseline"/>
                <w:lang w:val="en-US" w:eastAsia="zh-CN"/>
              </w:rPr>
            </w:pPr>
          </w:p>
          <w:p w14:paraId="2402DEFA">
            <w:pPr>
              <w:numPr>
                <w:ilvl w:val="0"/>
                <w:numId w:val="0"/>
              </w:numPr>
              <w:spacing w:line="360" w:lineRule="auto"/>
              <w:outlineLvl w:val="9"/>
              <w:rPr>
                <w:rFonts w:hint="eastAsia" w:cs="Times New Roman"/>
                <w:b w:val="0"/>
                <w:bCs w:val="0"/>
                <w:color w:val="auto"/>
                <w:sz w:val="21"/>
                <w:szCs w:val="21"/>
                <w:vertAlign w:val="baseline"/>
                <w:lang w:val="en-US" w:eastAsia="zh-CN"/>
              </w:rPr>
            </w:pPr>
          </w:p>
          <w:p w14:paraId="38DD1546">
            <w:pPr>
              <w:numPr>
                <w:ilvl w:val="0"/>
                <w:numId w:val="0"/>
              </w:numPr>
              <w:spacing w:line="360" w:lineRule="auto"/>
              <w:outlineLvl w:val="9"/>
              <w:rPr>
                <w:rFonts w:hint="eastAsia" w:cs="Times New Roman"/>
                <w:b w:val="0"/>
                <w:bCs w:val="0"/>
                <w:color w:val="auto"/>
                <w:sz w:val="21"/>
                <w:szCs w:val="21"/>
                <w:vertAlign w:val="baseline"/>
                <w:lang w:val="en-US" w:eastAsia="zh-CN"/>
              </w:rPr>
            </w:pPr>
          </w:p>
          <w:p w14:paraId="20561C78">
            <w:pPr>
              <w:numPr>
                <w:ilvl w:val="0"/>
                <w:numId w:val="0"/>
              </w:numPr>
              <w:spacing w:line="360" w:lineRule="auto"/>
              <w:outlineLvl w:val="9"/>
              <w:rPr>
                <w:rFonts w:hint="eastAsia" w:cs="Times New Roman"/>
                <w:b w:val="0"/>
                <w:bCs w:val="0"/>
                <w:color w:val="auto"/>
                <w:sz w:val="21"/>
                <w:szCs w:val="21"/>
                <w:vertAlign w:val="baseline"/>
                <w:lang w:val="en-US" w:eastAsia="zh-CN"/>
              </w:rPr>
            </w:pPr>
          </w:p>
          <w:p w14:paraId="32C26892">
            <w:pPr>
              <w:numPr>
                <w:ilvl w:val="0"/>
                <w:numId w:val="0"/>
              </w:numPr>
              <w:spacing w:line="360" w:lineRule="auto"/>
              <w:outlineLvl w:val="9"/>
              <w:rPr>
                <w:rFonts w:hint="eastAsia" w:cs="Times New Roman"/>
                <w:b w:val="0"/>
                <w:bCs w:val="0"/>
                <w:color w:val="auto"/>
                <w:sz w:val="21"/>
                <w:szCs w:val="21"/>
                <w:vertAlign w:val="baseline"/>
                <w:lang w:val="en-US" w:eastAsia="zh-CN"/>
              </w:rPr>
            </w:pPr>
          </w:p>
          <w:p w14:paraId="585A7E9A">
            <w:pPr>
              <w:numPr>
                <w:ilvl w:val="0"/>
                <w:numId w:val="0"/>
              </w:numPr>
              <w:spacing w:line="360" w:lineRule="auto"/>
              <w:outlineLvl w:val="9"/>
              <w:rPr>
                <w:rFonts w:hint="eastAsia" w:cs="Times New Roman"/>
                <w:b w:val="0"/>
                <w:bCs w:val="0"/>
                <w:color w:val="auto"/>
                <w:sz w:val="21"/>
                <w:szCs w:val="21"/>
                <w:vertAlign w:val="baseline"/>
                <w:lang w:val="en-US" w:eastAsia="zh-CN"/>
              </w:rPr>
            </w:pPr>
          </w:p>
          <w:p w14:paraId="000DE477">
            <w:pPr>
              <w:numPr>
                <w:ilvl w:val="0"/>
                <w:numId w:val="0"/>
              </w:numPr>
              <w:spacing w:line="360" w:lineRule="auto"/>
              <w:outlineLvl w:val="9"/>
              <w:rPr>
                <w:rFonts w:hint="eastAsia" w:cs="Times New Roman"/>
                <w:b w:val="0"/>
                <w:bCs w:val="0"/>
                <w:color w:val="auto"/>
                <w:sz w:val="21"/>
                <w:szCs w:val="21"/>
                <w:vertAlign w:val="baseline"/>
                <w:lang w:val="en-US" w:eastAsia="zh-CN"/>
              </w:rPr>
            </w:pPr>
          </w:p>
          <w:p w14:paraId="5114F896">
            <w:pPr>
              <w:numPr>
                <w:ilvl w:val="0"/>
                <w:numId w:val="0"/>
              </w:numPr>
              <w:spacing w:line="360" w:lineRule="auto"/>
              <w:outlineLvl w:val="9"/>
              <w:rPr>
                <w:rFonts w:hint="eastAsia" w:cs="Times New Roman"/>
                <w:b w:val="0"/>
                <w:bCs w:val="0"/>
                <w:color w:val="auto"/>
                <w:sz w:val="21"/>
                <w:szCs w:val="21"/>
                <w:vertAlign w:val="baseline"/>
                <w:lang w:val="en-US" w:eastAsia="zh-CN"/>
              </w:rPr>
            </w:pPr>
          </w:p>
          <w:p w14:paraId="1201D595">
            <w:pPr>
              <w:numPr>
                <w:ilvl w:val="0"/>
                <w:numId w:val="0"/>
              </w:numPr>
              <w:spacing w:line="360" w:lineRule="auto"/>
              <w:outlineLvl w:val="9"/>
              <w:rPr>
                <w:rFonts w:hint="eastAsia" w:cs="Times New Roman"/>
                <w:b w:val="0"/>
                <w:bCs w:val="0"/>
                <w:color w:val="auto"/>
                <w:sz w:val="21"/>
                <w:szCs w:val="21"/>
                <w:vertAlign w:val="baseline"/>
                <w:lang w:val="en-US" w:eastAsia="zh-CN"/>
              </w:rPr>
            </w:pPr>
          </w:p>
          <w:p w14:paraId="5002F89B">
            <w:pPr>
              <w:numPr>
                <w:ilvl w:val="0"/>
                <w:numId w:val="0"/>
              </w:numPr>
              <w:spacing w:line="360" w:lineRule="auto"/>
              <w:outlineLvl w:val="9"/>
              <w:rPr>
                <w:rFonts w:hint="eastAsia" w:cs="Times New Roman"/>
                <w:b w:val="0"/>
                <w:bCs w:val="0"/>
                <w:color w:val="auto"/>
                <w:sz w:val="21"/>
                <w:szCs w:val="21"/>
                <w:vertAlign w:val="baseline"/>
                <w:lang w:val="en-US" w:eastAsia="zh-CN"/>
              </w:rPr>
            </w:pPr>
          </w:p>
          <w:p w14:paraId="2D4EB180">
            <w:pPr>
              <w:numPr>
                <w:ilvl w:val="0"/>
                <w:numId w:val="0"/>
              </w:numPr>
              <w:spacing w:line="360" w:lineRule="auto"/>
              <w:outlineLvl w:val="9"/>
              <w:rPr>
                <w:rFonts w:hint="eastAsia" w:cs="Times New Roman"/>
                <w:b w:val="0"/>
                <w:bCs w:val="0"/>
                <w:color w:val="auto"/>
                <w:sz w:val="21"/>
                <w:szCs w:val="21"/>
                <w:vertAlign w:val="baseline"/>
                <w:lang w:val="en-US" w:eastAsia="zh-CN"/>
              </w:rPr>
            </w:pPr>
          </w:p>
          <w:p w14:paraId="30642AA9">
            <w:pPr>
              <w:numPr>
                <w:ilvl w:val="0"/>
                <w:numId w:val="0"/>
              </w:numPr>
              <w:spacing w:line="360" w:lineRule="auto"/>
              <w:outlineLvl w:val="9"/>
              <w:rPr>
                <w:rFonts w:hint="eastAsia" w:cs="Times New Roman"/>
                <w:b w:val="0"/>
                <w:bCs w:val="0"/>
                <w:color w:val="auto"/>
                <w:sz w:val="21"/>
                <w:szCs w:val="21"/>
                <w:vertAlign w:val="baseline"/>
                <w:lang w:val="en-US" w:eastAsia="zh-CN"/>
              </w:rPr>
            </w:pPr>
          </w:p>
          <w:p w14:paraId="228D69DF">
            <w:pPr>
              <w:numPr>
                <w:ilvl w:val="0"/>
                <w:numId w:val="0"/>
              </w:numPr>
              <w:spacing w:line="360" w:lineRule="auto"/>
              <w:outlineLvl w:val="9"/>
              <w:rPr>
                <w:rFonts w:hint="eastAsia" w:cs="Times New Roman"/>
                <w:b w:val="0"/>
                <w:bCs w:val="0"/>
                <w:color w:val="auto"/>
                <w:sz w:val="21"/>
                <w:szCs w:val="21"/>
                <w:vertAlign w:val="baseline"/>
                <w:lang w:val="en-US" w:eastAsia="zh-CN"/>
              </w:rPr>
            </w:pPr>
          </w:p>
          <w:p w14:paraId="13A1E9DD">
            <w:pPr>
              <w:numPr>
                <w:ilvl w:val="0"/>
                <w:numId w:val="0"/>
              </w:numPr>
              <w:spacing w:line="360" w:lineRule="auto"/>
              <w:outlineLvl w:val="9"/>
              <w:rPr>
                <w:rFonts w:hint="eastAsia" w:cs="Times New Roman"/>
                <w:b w:val="0"/>
                <w:bCs w:val="0"/>
                <w:color w:val="auto"/>
                <w:sz w:val="21"/>
                <w:szCs w:val="21"/>
                <w:vertAlign w:val="baseline"/>
                <w:lang w:val="en-US" w:eastAsia="zh-CN"/>
              </w:rPr>
            </w:pPr>
          </w:p>
          <w:p w14:paraId="3AF43B66">
            <w:pPr>
              <w:numPr>
                <w:ilvl w:val="0"/>
                <w:numId w:val="0"/>
              </w:numPr>
              <w:spacing w:line="360" w:lineRule="auto"/>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bl>
    <w:p w14:paraId="21433FF2">
      <w:pPr>
        <w:spacing w:line="360" w:lineRule="auto"/>
        <w:outlineLvl w:val="9"/>
        <w:rPr>
          <w:rFonts w:hint="default" w:ascii="Times New Roman" w:hAnsi="Times New Roman" w:eastAsia="宋体" w:cs="Times New Roman"/>
          <w:color w:val="auto"/>
          <w:sz w:val="30"/>
          <w:lang w:eastAsia="zh-CN"/>
        </w:rPr>
        <w:sectPr>
          <w:pgSz w:w="16838" w:h="11906" w:orient="landscape"/>
          <w:pgMar w:top="1440" w:right="1080" w:bottom="1440" w:left="108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1218"/>
      </w:tblGrid>
      <w:tr w14:paraId="1E04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Pr>
          <w:p w14:paraId="43590FF1">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其它符合性分析</w:t>
            </w:r>
          </w:p>
        </w:tc>
        <w:tc>
          <w:tcPr>
            <w:tcW w:w="8594" w:type="dxa"/>
          </w:tcPr>
          <w:p w14:paraId="53FF19F1">
            <w:pPr>
              <w:numPr>
                <w:ilvl w:val="0"/>
                <w:numId w:val="0"/>
              </w:numPr>
              <w:spacing w:line="360" w:lineRule="auto"/>
              <w:ind w:firstLine="420" w:firstLineChars="200"/>
              <w:outlineLvl w:val="9"/>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清洁生产评价方法：</w:t>
            </w:r>
          </w:p>
          <w:p w14:paraId="5CB92B4A">
            <w:pPr>
              <w:numPr>
                <w:ilvl w:val="0"/>
                <w:numId w:val="0"/>
              </w:numPr>
              <w:spacing w:line="360" w:lineRule="auto"/>
              <w:ind w:firstLine="420" w:firstLineChars="200"/>
              <w:outlineLvl w:val="9"/>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不同清洁生产指标由于量纲不同，不能直接比较，需要建立原始指标的隶属函数，</w:t>
            </w:r>
            <w:r>
              <w:rPr>
                <w:rFonts w:hint="eastAsia"/>
                <w:vertAlign w:val="baseline"/>
              </w:rPr>
              <w:t>如公式（</w:t>
            </w:r>
            <w:r>
              <w:rPr>
                <w:rFonts w:hint="eastAsia"/>
                <w:vertAlign w:val="baseline"/>
                <w:lang w:val="en-US" w:eastAsia="zh-CN"/>
              </w:rPr>
              <w:t>1</w:t>
            </w:r>
            <w:r>
              <w:rPr>
                <w:rFonts w:hint="eastAsia"/>
                <w:vertAlign w:val="baseline"/>
              </w:rPr>
              <w:t>-</w:t>
            </w:r>
            <w:r>
              <w:rPr>
                <w:rFonts w:hint="eastAsia"/>
                <w:vertAlign w:val="baseline"/>
                <w:lang w:val="en-US" w:eastAsia="zh-CN"/>
              </w:rPr>
              <w:t>1</w:t>
            </w:r>
            <w:r>
              <w:rPr>
                <w:rFonts w:hint="eastAsia"/>
                <w:vertAlign w:val="baseline"/>
              </w:rPr>
              <w:t>）所示</w:t>
            </w:r>
            <w:r>
              <w:rPr>
                <w:rFonts w:hint="eastAsia" w:cs="Times New Roman"/>
                <w:b w:val="0"/>
                <w:bCs w:val="0"/>
                <w:color w:val="auto"/>
                <w:sz w:val="21"/>
                <w:szCs w:val="21"/>
                <w:vertAlign w:val="baseline"/>
                <w:lang w:val="en-US" w:eastAsia="zh-CN"/>
              </w:rPr>
              <w:t>。</w:t>
            </w:r>
          </w:p>
          <w:p w14:paraId="6B7B17EE">
            <w:pPr>
              <w:spacing w:line="360" w:lineRule="auto"/>
              <w:outlineLvl w:val="9"/>
            </w:pPr>
            <w:r>
              <w:drawing>
                <wp:inline distT="0" distB="0" distL="114300" distR="114300">
                  <wp:extent cx="5484495" cy="1675765"/>
                  <wp:effectExtent l="0" t="0" r="1905" b="6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3"/>
                          <a:stretch>
                            <a:fillRect/>
                          </a:stretch>
                        </pic:blipFill>
                        <pic:spPr>
                          <a:xfrm>
                            <a:off x="0" y="0"/>
                            <a:ext cx="5484495" cy="1675765"/>
                          </a:xfrm>
                          <a:prstGeom prst="rect">
                            <a:avLst/>
                          </a:prstGeom>
                          <a:noFill/>
                          <a:ln>
                            <a:noFill/>
                          </a:ln>
                        </pic:spPr>
                      </pic:pic>
                    </a:graphicData>
                  </a:graphic>
                </wp:inline>
              </w:drawing>
            </w:r>
          </w:p>
          <w:p w14:paraId="5BCB7BCC">
            <w:pPr>
              <w:spacing w:line="360" w:lineRule="auto"/>
              <w:ind w:firstLine="420" w:firstLineChars="200"/>
              <w:outlineLvl w:val="9"/>
              <w:rPr>
                <w:rFonts w:hint="eastAsia"/>
              </w:rPr>
            </w:pPr>
            <w:r>
              <w:rPr>
                <w:rFonts w:hint="eastAsia"/>
              </w:rPr>
              <w:t>综合评价指数计算</w:t>
            </w:r>
          </w:p>
          <w:p w14:paraId="4C1FF7FB">
            <w:pPr>
              <w:spacing w:line="360" w:lineRule="auto"/>
              <w:ind w:firstLine="420" w:firstLineChars="200"/>
              <w:outlineLvl w:val="9"/>
              <w:rPr>
                <w:rFonts w:hint="eastAsia" w:eastAsia="宋体"/>
                <w:vertAlign w:val="baseline"/>
                <w:lang w:val="en-US" w:eastAsia="zh-CN"/>
              </w:rPr>
            </w:pPr>
            <w:r>
              <w:rPr>
                <w:rFonts w:hint="eastAsia"/>
              </w:rPr>
              <w:t>通过加权平均、逐层收敛可得到评价对象在不同级别g</w:t>
            </w:r>
            <w:r>
              <w:rPr>
                <w:rFonts w:hint="eastAsia"/>
                <w:vertAlign w:val="subscript"/>
              </w:rPr>
              <w:t>k</w:t>
            </w:r>
            <w:r>
              <w:rPr>
                <w:rFonts w:hint="eastAsia"/>
              </w:rPr>
              <w:t>的得分 Y</w:t>
            </w:r>
            <w:r>
              <w:rPr>
                <w:rFonts w:hint="eastAsia"/>
                <w:vertAlign w:val="subscript"/>
              </w:rPr>
              <w:t>gk</w:t>
            </w:r>
            <w:r>
              <w:rPr>
                <w:rFonts w:hint="eastAsia"/>
                <w:vertAlign w:val="baseline"/>
              </w:rPr>
              <w:t>，如公式（</w:t>
            </w:r>
            <w:r>
              <w:rPr>
                <w:rFonts w:hint="eastAsia"/>
                <w:vertAlign w:val="baseline"/>
                <w:lang w:val="en-US" w:eastAsia="zh-CN"/>
              </w:rPr>
              <w:t>1</w:t>
            </w:r>
            <w:r>
              <w:rPr>
                <w:rFonts w:hint="eastAsia"/>
                <w:vertAlign w:val="baseline"/>
              </w:rPr>
              <w:t>-2）所示</w:t>
            </w:r>
            <w:r>
              <w:rPr>
                <w:rFonts w:hint="eastAsia"/>
                <w:vertAlign w:val="baseline"/>
                <w:lang w:eastAsia="zh-CN"/>
              </w:rPr>
              <w:t>。</w:t>
            </w:r>
          </w:p>
          <w:p w14:paraId="57B8B3C6">
            <w:pPr>
              <w:spacing w:line="360" w:lineRule="auto"/>
              <w:outlineLvl w:val="9"/>
              <w:rPr>
                <w:rFonts w:hint="eastAsia"/>
              </w:rPr>
            </w:pPr>
            <w:r>
              <w:drawing>
                <wp:inline distT="0" distB="0" distL="114300" distR="114300">
                  <wp:extent cx="5208905" cy="1270000"/>
                  <wp:effectExtent l="0" t="0" r="10795" b="635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4"/>
                          <a:stretch>
                            <a:fillRect/>
                          </a:stretch>
                        </pic:blipFill>
                        <pic:spPr>
                          <a:xfrm>
                            <a:off x="0" y="0"/>
                            <a:ext cx="5208905" cy="1270000"/>
                          </a:xfrm>
                          <a:prstGeom prst="rect">
                            <a:avLst/>
                          </a:prstGeom>
                          <a:noFill/>
                          <a:ln>
                            <a:noFill/>
                          </a:ln>
                        </pic:spPr>
                      </pic:pic>
                    </a:graphicData>
                  </a:graphic>
                </wp:inline>
              </w:drawing>
            </w:r>
          </w:p>
          <w:p w14:paraId="1E2685E5">
            <w:pPr>
              <w:spacing w:line="360" w:lineRule="auto"/>
              <w:ind w:firstLine="420" w:firstLineChars="200"/>
              <w:outlineLvl w:val="9"/>
              <w:rPr>
                <w:rFonts w:hint="default" w:eastAsia="宋体"/>
                <w:lang w:val="en-US" w:eastAsia="zh-CN"/>
              </w:rPr>
            </w:pPr>
            <w:r>
              <w:rPr>
                <w:rFonts w:hint="eastAsia"/>
                <w:lang w:val="en-US" w:eastAsia="zh-CN"/>
              </w:rPr>
              <w:t>根据上诉计算方法得到</w:t>
            </w:r>
          </w:p>
          <w:p w14:paraId="621C1BDC">
            <w:pPr>
              <w:spacing w:line="360" w:lineRule="auto"/>
              <w:ind w:firstLine="420" w:firstLineChars="200"/>
              <w:outlineLvl w:val="9"/>
              <w:rPr>
                <w:rFonts w:hint="default" w:eastAsia="宋体"/>
                <w:lang w:val="en-US" w:eastAsia="zh-CN"/>
              </w:rPr>
            </w:pPr>
            <w:r>
              <w:rPr>
                <w:rFonts w:hint="eastAsia"/>
                <w:lang w:val="en-US" w:eastAsia="zh-CN"/>
              </w:rPr>
              <w:t>Y（</w:t>
            </w:r>
            <w:r>
              <w:rPr>
                <w:rFonts w:hint="eastAsia" w:cs="Times New Roman"/>
                <w:b w:val="0"/>
                <w:bCs w:val="0"/>
                <w:color w:val="auto"/>
                <w:sz w:val="21"/>
                <w:szCs w:val="21"/>
                <w:vertAlign w:val="baseline"/>
                <w:lang w:val="en-US" w:eastAsia="zh-CN"/>
              </w:rPr>
              <w:t>生产工艺及设备要求</w:t>
            </w:r>
            <w:r>
              <w:rPr>
                <w:rFonts w:hint="eastAsia"/>
                <w:lang w:val="en-US" w:eastAsia="zh-CN"/>
              </w:rPr>
              <w:t>）=0.2×（0.1×100+0.5×100+0.4×100）=20</w:t>
            </w:r>
          </w:p>
          <w:p w14:paraId="388E55B7">
            <w:pPr>
              <w:spacing w:line="360" w:lineRule="auto"/>
              <w:ind w:firstLine="420" w:firstLineChars="200"/>
              <w:outlineLvl w:val="9"/>
              <w:rPr>
                <w:rFonts w:hint="default"/>
                <w:lang w:val="en-US"/>
              </w:rPr>
            </w:pPr>
            <w:r>
              <w:rPr>
                <w:rFonts w:hint="eastAsia"/>
                <w:lang w:val="en-US" w:eastAsia="zh-CN"/>
              </w:rPr>
              <w:t>Y（</w:t>
            </w:r>
            <w:r>
              <w:rPr>
                <w:rFonts w:hint="eastAsia" w:cs="Times New Roman"/>
                <w:b w:val="0"/>
                <w:bCs w:val="0"/>
                <w:color w:val="auto"/>
                <w:sz w:val="21"/>
                <w:szCs w:val="21"/>
                <w:vertAlign w:val="baseline"/>
                <w:lang w:val="en-US" w:eastAsia="zh-CN"/>
              </w:rPr>
              <w:t>资源和能源消耗指标</w:t>
            </w:r>
            <w:r>
              <w:rPr>
                <w:rFonts w:hint="eastAsia"/>
                <w:lang w:val="en-US" w:eastAsia="zh-CN"/>
              </w:rPr>
              <w:t>）=0.3×（0.5×100+0.5×100）=30</w:t>
            </w:r>
          </w:p>
          <w:p w14:paraId="0120CF51">
            <w:pPr>
              <w:spacing w:line="360" w:lineRule="auto"/>
              <w:ind w:firstLine="420" w:firstLineChars="200"/>
              <w:outlineLvl w:val="9"/>
              <w:rPr>
                <w:rFonts w:hint="default"/>
                <w:lang w:val="en-US"/>
              </w:rPr>
            </w:pPr>
            <w:r>
              <w:rPr>
                <w:rFonts w:hint="eastAsia"/>
                <w:lang w:val="en-US" w:eastAsia="zh-CN"/>
              </w:rPr>
              <w:t>Y（</w:t>
            </w:r>
            <w:r>
              <w:rPr>
                <w:rFonts w:hint="eastAsia" w:cs="Times New Roman"/>
                <w:b w:val="0"/>
                <w:bCs w:val="0"/>
                <w:color w:val="auto"/>
                <w:sz w:val="21"/>
                <w:szCs w:val="21"/>
                <w:vertAlign w:val="baseline"/>
                <w:lang w:val="en-US" w:eastAsia="zh-CN"/>
              </w:rPr>
              <w:t>资源综合利用指标</w:t>
            </w:r>
            <w:r>
              <w:rPr>
                <w:rFonts w:hint="eastAsia"/>
                <w:lang w:val="en-US" w:eastAsia="zh-CN"/>
              </w:rPr>
              <w:t>）=0.1×（0.5×100）=5</w:t>
            </w:r>
          </w:p>
          <w:p w14:paraId="01B67337">
            <w:pPr>
              <w:spacing w:line="360" w:lineRule="auto"/>
              <w:ind w:firstLine="420" w:firstLineChars="200"/>
              <w:outlineLvl w:val="9"/>
              <w:rPr>
                <w:rFonts w:hint="default"/>
                <w:lang w:val="en-US"/>
              </w:rPr>
            </w:pPr>
            <w:r>
              <w:rPr>
                <w:rFonts w:hint="eastAsia"/>
                <w:lang w:val="en-US" w:eastAsia="zh-CN"/>
              </w:rPr>
              <w:t>Y（</w:t>
            </w:r>
            <w:r>
              <w:rPr>
                <w:rFonts w:hint="eastAsia" w:cs="Times New Roman"/>
                <w:b w:val="0"/>
                <w:bCs w:val="0"/>
                <w:color w:val="auto"/>
                <w:sz w:val="21"/>
                <w:szCs w:val="21"/>
                <w:vertAlign w:val="baseline"/>
                <w:lang w:val="en-US" w:eastAsia="zh-CN"/>
              </w:rPr>
              <w:t>污染物产生指标</w:t>
            </w:r>
            <w:r>
              <w:rPr>
                <w:rFonts w:hint="eastAsia"/>
                <w:lang w:val="en-US" w:eastAsia="zh-CN"/>
              </w:rPr>
              <w:t>）=0.2×（0.5×100+0.25×100+0.25×100）=20</w:t>
            </w:r>
          </w:p>
          <w:p w14:paraId="66F52F84">
            <w:pPr>
              <w:spacing w:line="360" w:lineRule="auto"/>
              <w:ind w:firstLine="420" w:firstLineChars="200"/>
              <w:outlineLvl w:val="9"/>
              <w:rPr>
                <w:rFonts w:hint="default"/>
                <w:lang w:val="en-US"/>
              </w:rPr>
            </w:pPr>
            <w:r>
              <w:rPr>
                <w:rFonts w:hint="eastAsia"/>
                <w:lang w:val="en-US" w:eastAsia="zh-CN"/>
              </w:rPr>
              <w:t>Y（</w:t>
            </w:r>
            <w:r>
              <w:rPr>
                <w:rFonts w:hint="eastAsia" w:cs="Times New Roman"/>
                <w:b w:val="0"/>
                <w:bCs w:val="0"/>
                <w:color w:val="auto"/>
                <w:sz w:val="21"/>
                <w:szCs w:val="21"/>
                <w:vertAlign w:val="baseline"/>
                <w:lang w:val="en-US" w:eastAsia="zh-CN"/>
              </w:rPr>
              <w:t>清洁生产管理指标</w:t>
            </w:r>
            <w:r>
              <w:rPr>
                <w:rFonts w:hint="eastAsia"/>
                <w:lang w:val="en-US" w:eastAsia="zh-CN"/>
              </w:rPr>
              <w:t>）=0.2×（0.1×100+0.1×100+0.1×100+0.05×100+0.1×100+0.05×100+</w:t>
            </w:r>
            <w:r>
              <w:rPr>
                <w:rFonts w:hint="eastAsia" w:cs="Times New Roman"/>
                <w:b w:val="0"/>
                <w:bCs w:val="0"/>
                <w:color w:val="auto"/>
                <w:sz w:val="21"/>
                <w:szCs w:val="21"/>
                <w:vertAlign w:val="baseline"/>
                <w:lang w:val="en-US" w:eastAsia="zh-CN"/>
              </w:rPr>
              <w:t>0.03</w:t>
            </w:r>
            <w:r>
              <w:rPr>
                <w:rFonts w:hint="eastAsia"/>
                <w:lang w:val="en-US" w:eastAsia="zh-CN"/>
              </w:rPr>
              <w:t>×100+</w:t>
            </w:r>
            <w:r>
              <w:rPr>
                <w:rFonts w:hint="eastAsia" w:cs="Times New Roman"/>
                <w:b w:val="0"/>
                <w:bCs w:val="0"/>
                <w:color w:val="auto"/>
                <w:sz w:val="21"/>
                <w:szCs w:val="21"/>
                <w:vertAlign w:val="baseline"/>
                <w:lang w:val="en-US" w:eastAsia="zh-CN"/>
              </w:rPr>
              <w:t>0.05</w:t>
            </w:r>
            <w:r>
              <w:rPr>
                <w:rFonts w:hint="eastAsia"/>
                <w:lang w:val="en-US" w:eastAsia="zh-CN"/>
              </w:rPr>
              <w:t>×100+</w:t>
            </w:r>
            <w:r>
              <w:rPr>
                <w:rFonts w:hint="eastAsia" w:cs="Times New Roman"/>
                <w:b w:val="0"/>
                <w:bCs w:val="0"/>
                <w:color w:val="auto"/>
                <w:sz w:val="21"/>
                <w:szCs w:val="21"/>
                <w:vertAlign w:val="baseline"/>
                <w:lang w:val="en-US" w:eastAsia="zh-CN"/>
              </w:rPr>
              <w:t>0.02</w:t>
            </w:r>
            <w:r>
              <w:rPr>
                <w:rFonts w:hint="eastAsia"/>
                <w:lang w:val="en-US" w:eastAsia="zh-CN"/>
              </w:rPr>
              <w:t>×100+0.08×100+</w:t>
            </w:r>
            <w:r>
              <w:rPr>
                <w:rFonts w:hint="eastAsia" w:cs="Times New Roman"/>
                <w:b w:val="0"/>
                <w:bCs w:val="0"/>
                <w:color w:val="auto"/>
                <w:sz w:val="21"/>
                <w:szCs w:val="21"/>
                <w:vertAlign w:val="baseline"/>
                <w:lang w:val="en-US" w:eastAsia="zh-CN"/>
              </w:rPr>
              <w:t>0.05</w:t>
            </w:r>
            <w:r>
              <w:rPr>
                <w:rFonts w:hint="eastAsia"/>
                <w:lang w:val="en-US" w:eastAsia="zh-CN"/>
              </w:rPr>
              <w:t>×100）=14.6</w:t>
            </w:r>
          </w:p>
          <w:p w14:paraId="04D144AF">
            <w:pPr>
              <w:spacing w:line="360" w:lineRule="auto"/>
              <w:ind w:firstLine="420" w:firstLineChars="200"/>
              <w:outlineLvl w:val="9"/>
              <w:rPr>
                <w:rFonts w:hint="default"/>
                <w:lang w:val="en-US" w:eastAsia="zh-CN"/>
              </w:rPr>
            </w:pPr>
            <w:r>
              <w:rPr>
                <w:rFonts w:hint="eastAsia"/>
                <w:lang w:val="en-US" w:eastAsia="zh-CN"/>
              </w:rPr>
              <w:t>项目Y=20+30+5+20+14.6=89.6</w:t>
            </w:r>
          </w:p>
          <w:p w14:paraId="36047F1C">
            <w:pPr>
              <w:spacing w:line="360" w:lineRule="auto"/>
              <w:ind w:firstLine="420" w:firstLineChars="200"/>
              <w:outlineLvl w:val="9"/>
              <w:rPr>
                <w:rFonts w:hint="default"/>
                <w:lang w:val="en-US" w:eastAsia="zh-CN"/>
              </w:rPr>
            </w:pPr>
            <w:r>
              <w:rPr>
                <w:rFonts w:hint="eastAsia"/>
                <w:lang w:val="en-US" w:eastAsia="zh-CN"/>
              </w:rPr>
              <w:t>根据的清洁生产企业的综合评价指数，见下表。</w:t>
            </w:r>
          </w:p>
          <w:p w14:paraId="02DCDA6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b/>
                <w:bCs/>
                <w:lang w:val="en-US" w:eastAsia="zh-CN"/>
              </w:rPr>
            </w:pPr>
            <w:r>
              <w:rPr>
                <w:rFonts w:hint="eastAsia"/>
                <w:b/>
                <w:bCs/>
                <w:lang w:val="en-US" w:eastAsia="zh-CN"/>
              </w:rPr>
              <w:t>表1-17-5 电池行业不同等级清洁生产企业综合评价指数</w:t>
            </w:r>
          </w:p>
          <w:p w14:paraId="55CE2FAA">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lang w:val="en-US" w:eastAsia="zh-CN"/>
              </w:rPr>
            </w:pPr>
            <w:r>
              <w:drawing>
                <wp:inline distT="0" distB="0" distL="114300" distR="114300">
                  <wp:extent cx="5487035" cy="1757045"/>
                  <wp:effectExtent l="0" t="0" r="18415" b="1460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5"/>
                          <a:stretch>
                            <a:fillRect/>
                          </a:stretch>
                        </pic:blipFill>
                        <pic:spPr>
                          <a:xfrm>
                            <a:off x="0" y="0"/>
                            <a:ext cx="5487035" cy="1757045"/>
                          </a:xfrm>
                          <a:prstGeom prst="rect">
                            <a:avLst/>
                          </a:prstGeom>
                          <a:noFill/>
                          <a:ln>
                            <a:noFill/>
                          </a:ln>
                        </pic:spPr>
                      </pic:pic>
                    </a:graphicData>
                  </a:graphic>
                </wp:inline>
              </w:drawing>
            </w:r>
          </w:p>
          <w:p w14:paraId="5843A582">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outlineLvl w:val="9"/>
              <w:rPr>
                <w:rFonts w:hint="default"/>
                <w:lang w:val="en-US" w:eastAsia="zh-CN"/>
              </w:rPr>
            </w:pPr>
            <w:r>
              <w:rPr>
                <w:rFonts w:hint="eastAsia"/>
                <w:lang w:val="en-US" w:eastAsia="zh-CN"/>
              </w:rPr>
              <w:t>本项目限定性指标满足</w:t>
            </w:r>
            <w:r>
              <w:rPr>
                <w:rFonts w:hint="eastAsia" w:cs="Times New Roman"/>
                <w:b w:val="0"/>
                <w:bCs w:val="0"/>
                <w:color w:val="auto"/>
                <w:sz w:val="21"/>
                <w:szCs w:val="21"/>
                <w:vertAlign w:val="baseline"/>
                <w:lang w:val="en-US" w:eastAsia="zh-CN"/>
              </w:rPr>
              <w:t>Ⅱ级以上要求，且Y=89.6＞85，</w:t>
            </w:r>
            <w:r>
              <w:rPr>
                <w:rFonts w:hint="eastAsia"/>
                <w:lang w:val="en-US" w:eastAsia="zh-CN"/>
              </w:rPr>
              <w:t>符合</w:t>
            </w:r>
            <w:r>
              <w:rPr>
                <w:rFonts w:hint="eastAsia" w:cs="Times New Roman"/>
                <w:b w:val="0"/>
                <w:bCs w:val="0"/>
                <w:color w:val="auto"/>
                <w:sz w:val="21"/>
                <w:szCs w:val="21"/>
                <w:vertAlign w:val="baseline"/>
                <w:lang w:val="en-US" w:eastAsia="zh-CN"/>
              </w:rPr>
              <w:t>Ⅱ级（国内清洁生产先进水平）。</w:t>
            </w:r>
          </w:p>
        </w:tc>
      </w:tr>
    </w:tbl>
    <w:p w14:paraId="6FBAD9D0">
      <w:pPr>
        <w:pStyle w:val="53"/>
        <w:spacing w:before="192" w:beforeLines="80" w:after="24"/>
        <w:jc w:val="left"/>
        <w:rPr>
          <w:rFonts w:hint="default" w:ascii="Times New Roman" w:hAnsi="Times New Roman" w:eastAsia="宋体" w:cs="Times New Roman"/>
          <w:color w:val="auto"/>
        </w:rPr>
      </w:pPr>
      <w:bookmarkStart w:id="5" w:name="_GoBack"/>
      <w:bookmarkEnd w:id="5"/>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1" w:fontKey="{70F049F5-1A0D-479F-B183-65D278F2288C}"/>
  </w:font>
  <w:font w:name="楷体">
    <w:panose1 w:val="02010609060101010101"/>
    <w:charset w:val="86"/>
    <w:family w:val="auto"/>
    <w:pitch w:val="default"/>
    <w:sig w:usb0="800002BF" w:usb1="38CF7CFA" w:usb2="00000016" w:usb3="00000000" w:csb0="00040001" w:csb1="00000000"/>
    <w:embedRegular r:id="rId2" w:fontKey="{84DC4C2D-2772-45F9-81E4-004573114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022BC">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C9770">
    <w:pPr>
      <w:pStyle w:val="17"/>
      <w:framePr w:wrap="around" w:vAnchor="text" w:hAnchor="margin" w:xAlign="center" w:y="1"/>
      <w:rPr>
        <w:rStyle w:val="29"/>
      </w:rPr>
    </w:pPr>
    <w:r>
      <w:fldChar w:fldCharType="begin"/>
    </w:r>
    <w:r>
      <w:rPr>
        <w:rStyle w:val="29"/>
      </w:rPr>
      <w:instrText xml:space="preserve">PAGE  </w:instrText>
    </w:r>
    <w:r>
      <w:fldChar w:fldCharType="end"/>
    </w:r>
  </w:p>
  <w:p w14:paraId="6BB4B850">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975D2">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0B90B">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57BF6">
                          <w:pPr>
                            <w:pStyle w:val="17"/>
                            <w:rPr>
                              <w:rStyle w:val="29"/>
                              <w:rFonts w:ascii="宋体" w:hAnsi="宋体"/>
                              <w:sz w:val="28"/>
                              <w:szCs w:val="28"/>
                            </w:rPr>
                          </w:pPr>
                          <w:r>
                            <w:rPr>
                              <w:rStyle w:val="29"/>
                              <w:rFonts w:hint="eastAsia" w:ascii="宋体" w:hAnsi="宋体"/>
                              <w:sz w:val="28"/>
                              <w:szCs w:val="28"/>
                            </w:rPr>
                            <w:t>—</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38</w:t>
                          </w:r>
                          <w:r>
                            <w:rPr>
                              <w:rStyle w:val="29"/>
                              <w:rFonts w:ascii="宋体" w:hAnsi="宋体"/>
                              <w:sz w:val="26"/>
                              <w:szCs w:val="26"/>
                            </w:rPr>
                            <w:fldChar w:fldCharType="end"/>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7757BF6">
                    <w:pPr>
                      <w:pStyle w:val="17"/>
                      <w:rPr>
                        <w:rStyle w:val="29"/>
                        <w:rFonts w:ascii="宋体" w:hAnsi="宋体"/>
                        <w:sz w:val="28"/>
                        <w:szCs w:val="28"/>
                      </w:rPr>
                    </w:pPr>
                    <w:r>
                      <w:rPr>
                        <w:rStyle w:val="29"/>
                        <w:rFonts w:hint="eastAsia" w:ascii="宋体" w:hAnsi="宋体"/>
                        <w:sz w:val="28"/>
                        <w:szCs w:val="28"/>
                      </w:rPr>
                      <w:t>—</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38</w:t>
                    </w:r>
                    <w:r>
                      <w:rPr>
                        <w:rStyle w:val="29"/>
                        <w:rFonts w:ascii="宋体" w:hAnsi="宋体"/>
                        <w:sz w:val="26"/>
                        <w:szCs w:val="26"/>
                      </w:rPr>
                      <w:fldChar w:fldCharType="end"/>
                    </w:r>
                    <w:r>
                      <w:rPr>
                        <w:rStyle w:val="29"/>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B3A0B">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D060E">
                          <w:pPr>
                            <w:pStyle w:val="17"/>
                            <w:rPr>
                              <w:rStyle w:val="29"/>
                              <w:rFonts w:ascii="宋体" w:hAnsi="宋体"/>
                              <w:sz w:val="28"/>
                              <w:szCs w:val="28"/>
                            </w:rPr>
                          </w:pPr>
                          <w:r>
                            <w:rPr>
                              <w:rStyle w:val="29"/>
                              <w:rFonts w:hint="eastAsia" w:ascii="宋体" w:hAnsi="宋体"/>
                              <w:sz w:val="28"/>
                              <w:szCs w:val="28"/>
                            </w:rPr>
                            <w:t>—</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44</w:t>
                          </w:r>
                          <w:r>
                            <w:rPr>
                              <w:rStyle w:val="29"/>
                              <w:rFonts w:ascii="宋体" w:hAnsi="宋体"/>
                              <w:sz w:val="26"/>
                              <w:szCs w:val="26"/>
                            </w:rPr>
                            <w:fldChar w:fldCharType="end"/>
                          </w:r>
                          <w:r>
                            <w:rPr>
                              <w:rStyle w:val="2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2E3D060E">
                    <w:pPr>
                      <w:pStyle w:val="17"/>
                      <w:rPr>
                        <w:rStyle w:val="29"/>
                        <w:rFonts w:ascii="宋体" w:hAnsi="宋体"/>
                        <w:sz w:val="28"/>
                        <w:szCs w:val="28"/>
                      </w:rPr>
                    </w:pPr>
                    <w:r>
                      <w:rPr>
                        <w:rStyle w:val="29"/>
                        <w:rFonts w:hint="eastAsia" w:ascii="宋体" w:hAnsi="宋体"/>
                        <w:sz w:val="28"/>
                        <w:szCs w:val="28"/>
                      </w:rPr>
                      <w:t>—</w:t>
                    </w:r>
                    <w:r>
                      <w:rPr>
                        <w:rStyle w:val="29"/>
                        <w:rFonts w:ascii="宋体" w:hAnsi="宋体"/>
                        <w:sz w:val="26"/>
                        <w:szCs w:val="26"/>
                      </w:rPr>
                      <w:fldChar w:fldCharType="begin"/>
                    </w:r>
                    <w:r>
                      <w:rPr>
                        <w:rStyle w:val="29"/>
                        <w:rFonts w:ascii="宋体" w:hAnsi="宋体"/>
                        <w:sz w:val="26"/>
                        <w:szCs w:val="26"/>
                      </w:rPr>
                      <w:instrText xml:space="preserve">PAGE  </w:instrText>
                    </w:r>
                    <w:r>
                      <w:rPr>
                        <w:rStyle w:val="29"/>
                        <w:rFonts w:ascii="宋体" w:hAnsi="宋体"/>
                        <w:sz w:val="26"/>
                        <w:szCs w:val="26"/>
                      </w:rPr>
                      <w:fldChar w:fldCharType="separate"/>
                    </w:r>
                    <w:r>
                      <w:rPr>
                        <w:rStyle w:val="29"/>
                        <w:rFonts w:ascii="宋体" w:hAnsi="宋体"/>
                        <w:sz w:val="26"/>
                        <w:szCs w:val="26"/>
                      </w:rPr>
                      <w:t>44</w:t>
                    </w:r>
                    <w:r>
                      <w:rPr>
                        <w:rStyle w:val="29"/>
                        <w:rFonts w:ascii="宋体" w:hAnsi="宋体"/>
                        <w:sz w:val="26"/>
                        <w:szCs w:val="26"/>
                      </w:rPr>
                      <w:fldChar w:fldCharType="end"/>
                    </w:r>
                    <w:r>
                      <w:rPr>
                        <w:rStyle w:val="2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7A34E1"/>
    <w:multiLevelType w:val="singleLevel"/>
    <w:tmpl w:val="6B7A34E1"/>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4MjViM2E2ZDA1ZGQ0NTc1OTBlZDk2MWM2ZDE0MmMifQ=="/>
    <w:docVar w:name="KSO_WPS_MARK_KEY" w:val="61a27556-fccb-47ab-b01f-dfa9577944cc"/>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87DF0"/>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6B91"/>
    <w:rsid w:val="009B0897"/>
    <w:rsid w:val="009B7BD9"/>
    <w:rsid w:val="009C7DD5"/>
    <w:rsid w:val="009E227D"/>
    <w:rsid w:val="009E5019"/>
    <w:rsid w:val="00A04F1B"/>
    <w:rsid w:val="00A0501B"/>
    <w:rsid w:val="00A14947"/>
    <w:rsid w:val="00A32A83"/>
    <w:rsid w:val="00A368DB"/>
    <w:rsid w:val="00A423AA"/>
    <w:rsid w:val="00A53EC6"/>
    <w:rsid w:val="00A55C0F"/>
    <w:rsid w:val="00A7772E"/>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3642"/>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19B"/>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1A24F4"/>
    <w:rsid w:val="01290F7E"/>
    <w:rsid w:val="015D1E09"/>
    <w:rsid w:val="016B0F08"/>
    <w:rsid w:val="01B42948"/>
    <w:rsid w:val="02097D61"/>
    <w:rsid w:val="0214591F"/>
    <w:rsid w:val="0255239B"/>
    <w:rsid w:val="02697903"/>
    <w:rsid w:val="0286634E"/>
    <w:rsid w:val="02F96569"/>
    <w:rsid w:val="031418F0"/>
    <w:rsid w:val="03261624"/>
    <w:rsid w:val="03405BC0"/>
    <w:rsid w:val="03EA7B21"/>
    <w:rsid w:val="045C1686"/>
    <w:rsid w:val="0463111C"/>
    <w:rsid w:val="04CE2B54"/>
    <w:rsid w:val="04DE75F3"/>
    <w:rsid w:val="057A54FA"/>
    <w:rsid w:val="05A53C42"/>
    <w:rsid w:val="05B34859"/>
    <w:rsid w:val="05F83EAE"/>
    <w:rsid w:val="06233648"/>
    <w:rsid w:val="063E7D85"/>
    <w:rsid w:val="06AA6E34"/>
    <w:rsid w:val="06BC4F18"/>
    <w:rsid w:val="06E45A7E"/>
    <w:rsid w:val="07047ECE"/>
    <w:rsid w:val="07293586"/>
    <w:rsid w:val="07295285"/>
    <w:rsid w:val="07591FC8"/>
    <w:rsid w:val="07636392"/>
    <w:rsid w:val="07770C56"/>
    <w:rsid w:val="07937AD2"/>
    <w:rsid w:val="07C7489A"/>
    <w:rsid w:val="082820A9"/>
    <w:rsid w:val="092217DD"/>
    <w:rsid w:val="093A7294"/>
    <w:rsid w:val="09670638"/>
    <w:rsid w:val="09A40B2C"/>
    <w:rsid w:val="0A263993"/>
    <w:rsid w:val="0A2D3AC2"/>
    <w:rsid w:val="0AA755DF"/>
    <w:rsid w:val="0AC51255"/>
    <w:rsid w:val="0B120D44"/>
    <w:rsid w:val="0B382395"/>
    <w:rsid w:val="0B616306"/>
    <w:rsid w:val="0B662F05"/>
    <w:rsid w:val="0BD27BF6"/>
    <w:rsid w:val="0C3B3C7D"/>
    <w:rsid w:val="0C63006A"/>
    <w:rsid w:val="0CAB2EAE"/>
    <w:rsid w:val="0D621C7D"/>
    <w:rsid w:val="0E083E00"/>
    <w:rsid w:val="0E312FEB"/>
    <w:rsid w:val="0E73034D"/>
    <w:rsid w:val="0E9C477D"/>
    <w:rsid w:val="0EBE70BE"/>
    <w:rsid w:val="0F13775A"/>
    <w:rsid w:val="0F5F45FE"/>
    <w:rsid w:val="0F9A112B"/>
    <w:rsid w:val="0FBC4958"/>
    <w:rsid w:val="0FCC60B5"/>
    <w:rsid w:val="0FD11D3E"/>
    <w:rsid w:val="106D2F64"/>
    <w:rsid w:val="10984498"/>
    <w:rsid w:val="10B63710"/>
    <w:rsid w:val="10D423B5"/>
    <w:rsid w:val="10F10820"/>
    <w:rsid w:val="11017E3D"/>
    <w:rsid w:val="111C2F7A"/>
    <w:rsid w:val="11211AE1"/>
    <w:rsid w:val="113B4D20"/>
    <w:rsid w:val="113C55C4"/>
    <w:rsid w:val="11665CA1"/>
    <w:rsid w:val="117638CB"/>
    <w:rsid w:val="11A724EE"/>
    <w:rsid w:val="11DB1C68"/>
    <w:rsid w:val="11E45287"/>
    <w:rsid w:val="125E4936"/>
    <w:rsid w:val="126144E9"/>
    <w:rsid w:val="12E12CB4"/>
    <w:rsid w:val="1328047A"/>
    <w:rsid w:val="1367668D"/>
    <w:rsid w:val="13951726"/>
    <w:rsid w:val="13B0325D"/>
    <w:rsid w:val="13DF7F5C"/>
    <w:rsid w:val="140E413A"/>
    <w:rsid w:val="14396509"/>
    <w:rsid w:val="14BD0A95"/>
    <w:rsid w:val="14DD2C3C"/>
    <w:rsid w:val="14E60C13"/>
    <w:rsid w:val="150F0169"/>
    <w:rsid w:val="153A6B35"/>
    <w:rsid w:val="15584808"/>
    <w:rsid w:val="155913E5"/>
    <w:rsid w:val="15A44544"/>
    <w:rsid w:val="16087E1D"/>
    <w:rsid w:val="16833979"/>
    <w:rsid w:val="17674567"/>
    <w:rsid w:val="17701D14"/>
    <w:rsid w:val="17735226"/>
    <w:rsid w:val="181051F5"/>
    <w:rsid w:val="189F624C"/>
    <w:rsid w:val="18F3173D"/>
    <w:rsid w:val="193D63F7"/>
    <w:rsid w:val="19472499"/>
    <w:rsid w:val="1977008B"/>
    <w:rsid w:val="197E04F0"/>
    <w:rsid w:val="199A4F36"/>
    <w:rsid w:val="19CC5132"/>
    <w:rsid w:val="19D00AB3"/>
    <w:rsid w:val="1A1C66C0"/>
    <w:rsid w:val="1A42393B"/>
    <w:rsid w:val="1AAD45DE"/>
    <w:rsid w:val="1B011B04"/>
    <w:rsid w:val="1B046F80"/>
    <w:rsid w:val="1B3267B5"/>
    <w:rsid w:val="1B40161D"/>
    <w:rsid w:val="1B441859"/>
    <w:rsid w:val="1B6606B1"/>
    <w:rsid w:val="1BF46DFC"/>
    <w:rsid w:val="1C016820"/>
    <w:rsid w:val="1C5459E3"/>
    <w:rsid w:val="1C5E7925"/>
    <w:rsid w:val="1C684EAB"/>
    <w:rsid w:val="1CBA5E56"/>
    <w:rsid w:val="1CED3E45"/>
    <w:rsid w:val="1CFD070F"/>
    <w:rsid w:val="1D0F0F4E"/>
    <w:rsid w:val="1D5F6196"/>
    <w:rsid w:val="1D6132A5"/>
    <w:rsid w:val="1D8E56D5"/>
    <w:rsid w:val="1DC1221D"/>
    <w:rsid w:val="1DE1641B"/>
    <w:rsid w:val="1E7A43DA"/>
    <w:rsid w:val="1EEF7CBA"/>
    <w:rsid w:val="1F510222"/>
    <w:rsid w:val="1F746DE1"/>
    <w:rsid w:val="1F79479E"/>
    <w:rsid w:val="1FE7539E"/>
    <w:rsid w:val="1FE942A1"/>
    <w:rsid w:val="200A0E90"/>
    <w:rsid w:val="203B6D3B"/>
    <w:rsid w:val="20645983"/>
    <w:rsid w:val="20671BE0"/>
    <w:rsid w:val="20963CB8"/>
    <w:rsid w:val="20A81A1B"/>
    <w:rsid w:val="20B07FB6"/>
    <w:rsid w:val="20B646FB"/>
    <w:rsid w:val="20DA0532"/>
    <w:rsid w:val="20F070A1"/>
    <w:rsid w:val="21057465"/>
    <w:rsid w:val="213B74B1"/>
    <w:rsid w:val="214D6026"/>
    <w:rsid w:val="215A2310"/>
    <w:rsid w:val="216E4706"/>
    <w:rsid w:val="21A50263"/>
    <w:rsid w:val="21A768C3"/>
    <w:rsid w:val="21DE318A"/>
    <w:rsid w:val="21EF5B80"/>
    <w:rsid w:val="22574EFE"/>
    <w:rsid w:val="22576990"/>
    <w:rsid w:val="22E34AD3"/>
    <w:rsid w:val="22F47480"/>
    <w:rsid w:val="22FE556E"/>
    <w:rsid w:val="23292287"/>
    <w:rsid w:val="23DE1C48"/>
    <w:rsid w:val="240210CD"/>
    <w:rsid w:val="24B03B5D"/>
    <w:rsid w:val="24BF09F7"/>
    <w:rsid w:val="25190F2F"/>
    <w:rsid w:val="252D53FE"/>
    <w:rsid w:val="2550422F"/>
    <w:rsid w:val="255A61F0"/>
    <w:rsid w:val="257621B6"/>
    <w:rsid w:val="258C4EBE"/>
    <w:rsid w:val="25D77D5A"/>
    <w:rsid w:val="25D95C1B"/>
    <w:rsid w:val="25EC2D81"/>
    <w:rsid w:val="2715068D"/>
    <w:rsid w:val="276E1759"/>
    <w:rsid w:val="276E3486"/>
    <w:rsid w:val="277057A2"/>
    <w:rsid w:val="27EA4DDF"/>
    <w:rsid w:val="27FF5E1C"/>
    <w:rsid w:val="29206EB8"/>
    <w:rsid w:val="29595666"/>
    <w:rsid w:val="29874881"/>
    <w:rsid w:val="298E09BF"/>
    <w:rsid w:val="29A816CA"/>
    <w:rsid w:val="29DB1D3A"/>
    <w:rsid w:val="29E325E0"/>
    <w:rsid w:val="2A136595"/>
    <w:rsid w:val="2A452503"/>
    <w:rsid w:val="2A4D5F30"/>
    <w:rsid w:val="2A505090"/>
    <w:rsid w:val="2A9C2048"/>
    <w:rsid w:val="2AE47829"/>
    <w:rsid w:val="2B4708B7"/>
    <w:rsid w:val="2BA936A8"/>
    <w:rsid w:val="2C0B5F8E"/>
    <w:rsid w:val="2C0E68D9"/>
    <w:rsid w:val="2C315A5A"/>
    <w:rsid w:val="2C4B1C25"/>
    <w:rsid w:val="2CF773F8"/>
    <w:rsid w:val="2CFC0D52"/>
    <w:rsid w:val="2D9E56F5"/>
    <w:rsid w:val="2E0F4803"/>
    <w:rsid w:val="2E150147"/>
    <w:rsid w:val="2E310CF9"/>
    <w:rsid w:val="2E667F96"/>
    <w:rsid w:val="2E8226AB"/>
    <w:rsid w:val="2E9E3CF7"/>
    <w:rsid w:val="2EA073E4"/>
    <w:rsid w:val="2EC2045F"/>
    <w:rsid w:val="2EFE2123"/>
    <w:rsid w:val="2FD065E6"/>
    <w:rsid w:val="2FD96870"/>
    <w:rsid w:val="30580BC9"/>
    <w:rsid w:val="311E2ED7"/>
    <w:rsid w:val="315619EE"/>
    <w:rsid w:val="315C449C"/>
    <w:rsid w:val="31A03F46"/>
    <w:rsid w:val="31B82709"/>
    <w:rsid w:val="31D05482"/>
    <w:rsid w:val="32135F41"/>
    <w:rsid w:val="322664DD"/>
    <w:rsid w:val="32400B34"/>
    <w:rsid w:val="329E6876"/>
    <w:rsid w:val="32AB08E2"/>
    <w:rsid w:val="32B45E58"/>
    <w:rsid w:val="333015F2"/>
    <w:rsid w:val="334B6320"/>
    <w:rsid w:val="33916605"/>
    <w:rsid w:val="33D934D4"/>
    <w:rsid w:val="33FE2F6A"/>
    <w:rsid w:val="340E07E5"/>
    <w:rsid w:val="34235BF7"/>
    <w:rsid w:val="343C4AA8"/>
    <w:rsid w:val="353F6AFC"/>
    <w:rsid w:val="35647B72"/>
    <w:rsid w:val="358C5FA8"/>
    <w:rsid w:val="359561E2"/>
    <w:rsid w:val="35C15DF1"/>
    <w:rsid w:val="35F21996"/>
    <w:rsid w:val="36074A7F"/>
    <w:rsid w:val="360E65A9"/>
    <w:rsid w:val="36477BA3"/>
    <w:rsid w:val="36655B20"/>
    <w:rsid w:val="36923549"/>
    <w:rsid w:val="36AE1CBE"/>
    <w:rsid w:val="36B0373F"/>
    <w:rsid w:val="36B75FBF"/>
    <w:rsid w:val="36BD0C45"/>
    <w:rsid w:val="36D6701C"/>
    <w:rsid w:val="379E2A64"/>
    <w:rsid w:val="37E00298"/>
    <w:rsid w:val="38390ED6"/>
    <w:rsid w:val="3862208C"/>
    <w:rsid w:val="388E67EA"/>
    <w:rsid w:val="38B16CBE"/>
    <w:rsid w:val="38B302F9"/>
    <w:rsid w:val="38F12CD3"/>
    <w:rsid w:val="38F54050"/>
    <w:rsid w:val="38F94775"/>
    <w:rsid w:val="392971ED"/>
    <w:rsid w:val="39325651"/>
    <w:rsid w:val="39331DC9"/>
    <w:rsid w:val="39725C4D"/>
    <w:rsid w:val="39B0280F"/>
    <w:rsid w:val="39E81FAB"/>
    <w:rsid w:val="39FB2C06"/>
    <w:rsid w:val="3A67582B"/>
    <w:rsid w:val="3A8049FC"/>
    <w:rsid w:val="3A872856"/>
    <w:rsid w:val="3ABC2371"/>
    <w:rsid w:val="3B0B35AD"/>
    <w:rsid w:val="3B3763D1"/>
    <w:rsid w:val="3B525D94"/>
    <w:rsid w:val="3B892D6C"/>
    <w:rsid w:val="3B924946"/>
    <w:rsid w:val="3BB52F3F"/>
    <w:rsid w:val="3C1E0AB5"/>
    <w:rsid w:val="3C2F6E1E"/>
    <w:rsid w:val="3C4F64BA"/>
    <w:rsid w:val="3C5E715D"/>
    <w:rsid w:val="3CDA245A"/>
    <w:rsid w:val="3D1E06B7"/>
    <w:rsid w:val="3D1E2630"/>
    <w:rsid w:val="3D307BD9"/>
    <w:rsid w:val="3D3C44DE"/>
    <w:rsid w:val="3D7B4582"/>
    <w:rsid w:val="3DAD4E3F"/>
    <w:rsid w:val="3DD5336D"/>
    <w:rsid w:val="3DE76D16"/>
    <w:rsid w:val="3DEB4A20"/>
    <w:rsid w:val="3EDA0523"/>
    <w:rsid w:val="3EF634D9"/>
    <w:rsid w:val="3F735928"/>
    <w:rsid w:val="3F780536"/>
    <w:rsid w:val="401B7113"/>
    <w:rsid w:val="4046538C"/>
    <w:rsid w:val="404762BE"/>
    <w:rsid w:val="407A6407"/>
    <w:rsid w:val="40B86D1B"/>
    <w:rsid w:val="40F55BB6"/>
    <w:rsid w:val="413F257D"/>
    <w:rsid w:val="41F0662D"/>
    <w:rsid w:val="4200449D"/>
    <w:rsid w:val="422E59D5"/>
    <w:rsid w:val="423A3BCC"/>
    <w:rsid w:val="424E57D2"/>
    <w:rsid w:val="425828A0"/>
    <w:rsid w:val="42B26C49"/>
    <w:rsid w:val="433A6FE6"/>
    <w:rsid w:val="43480868"/>
    <w:rsid w:val="4350713C"/>
    <w:rsid w:val="436653E0"/>
    <w:rsid w:val="43684192"/>
    <w:rsid w:val="43995584"/>
    <w:rsid w:val="43A07F47"/>
    <w:rsid w:val="43C4431A"/>
    <w:rsid w:val="43E56A6C"/>
    <w:rsid w:val="43F2310F"/>
    <w:rsid w:val="44B951CC"/>
    <w:rsid w:val="44CD14E0"/>
    <w:rsid w:val="44F20B0B"/>
    <w:rsid w:val="452E5F4C"/>
    <w:rsid w:val="45612018"/>
    <w:rsid w:val="458946E9"/>
    <w:rsid w:val="45A47C0E"/>
    <w:rsid w:val="46577FD6"/>
    <w:rsid w:val="46C87A0E"/>
    <w:rsid w:val="46D955A7"/>
    <w:rsid w:val="47133957"/>
    <w:rsid w:val="47134FE8"/>
    <w:rsid w:val="47A07E0C"/>
    <w:rsid w:val="47B97EFB"/>
    <w:rsid w:val="4870272E"/>
    <w:rsid w:val="48803F40"/>
    <w:rsid w:val="491B0C4F"/>
    <w:rsid w:val="49DC7715"/>
    <w:rsid w:val="4A023139"/>
    <w:rsid w:val="4A7B576F"/>
    <w:rsid w:val="4A802994"/>
    <w:rsid w:val="4A8D3AD0"/>
    <w:rsid w:val="4AF561A9"/>
    <w:rsid w:val="4B3816A1"/>
    <w:rsid w:val="4C4A0649"/>
    <w:rsid w:val="4C4A2E4F"/>
    <w:rsid w:val="4C7D4945"/>
    <w:rsid w:val="4C7E5ECA"/>
    <w:rsid w:val="4C876AA5"/>
    <w:rsid w:val="4C8C70AC"/>
    <w:rsid w:val="4D0C13EA"/>
    <w:rsid w:val="4D0E00FB"/>
    <w:rsid w:val="4D176606"/>
    <w:rsid w:val="4D212F15"/>
    <w:rsid w:val="4D7D2FA8"/>
    <w:rsid w:val="4DBA2099"/>
    <w:rsid w:val="4DEC4FB0"/>
    <w:rsid w:val="4E075D8A"/>
    <w:rsid w:val="4EA81121"/>
    <w:rsid w:val="4EC00FAD"/>
    <w:rsid w:val="4EC15B5D"/>
    <w:rsid w:val="4EEF22B1"/>
    <w:rsid w:val="4EFD36C3"/>
    <w:rsid w:val="4F2A1121"/>
    <w:rsid w:val="4F563CC4"/>
    <w:rsid w:val="4F6045DA"/>
    <w:rsid w:val="4F8D0608"/>
    <w:rsid w:val="4F9843DC"/>
    <w:rsid w:val="4F9F649A"/>
    <w:rsid w:val="4FAD254F"/>
    <w:rsid w:val="4FC62A8C"/>
    <w:rsid w:val="4FE20F0D"/>
    <w:rsid w:val="4FE51552"/>
    <w:rsid w:val="504E1AC2"/>
    <w:rsid w:val="50504C4B"/>
    <w:rsid w:val="50561799"/>
    <w:rsid w:val="509C6E7C"/>
    <w:rsid w:val="50E9429E"/>
    <w:rsid w:val="510547CA"/>
    <w:rsid w:val="5162104E"/>
    <w:rsid w:val="51A43039"/>
    <w:rsid w:val="534E4652"/>
    <w:rsid w:val="53802969"/>
    <w:rsid w:val="538C6936"/>
    <w:rsid w:val="53A039CC"/>
    <w:rsid w:val="53A1505A"/>
    <w:rsid w:val="53B10010"/>
    <w:rsid w:val="53FE45C8"/>
    <w:rsid w:val="53FF636E"/>
    <w:rsid w:val="54063E08"/>
    <w:rsid w:val="541B0770"/>
    <w:rsid w:val="5433649D"/>
    <w:rsid w:val="543437E8"/>
    <w:rsid w:val="54647161"/>
    <w:rsid w:val="54A60EBF"/>
    <w:rsid w:val="54F73313"/>
    <w:rsid w:val="54F80955"/>
    <w:rsid w:val="555170A7"/>
    <w:rsid w:val="5587536D"/>
    <w:rsid w:val="559B174B"/>
    <w:rsid w:val="55CE0CF4"/>
    <w:rsid w:val="56284920"/>
    <w:rsid w:val="56B22A9C"/>
    <w:rsid w:val="56D60C58"/>
    <w:rsid w:val="56F505FE"/>
    <w:rsid w:val="571C14C2"/>
    <w:rsid w:val="57800740"/>
    <w:rsid w:val="578E252E"/>
    <w:rsid w:val="579C3351"/>
    <w:rsid w:val="57B72A76"/>
    <w:rsid w:val="57C3426C"/>
    <w:rsid w:val="57C72295"/>
    <w:rsid w:val="57CE1F93"/>
    <w:rsid w:val="57F11030"/>
    <w:rsid w:val="580409D7"/>
    <w:rsid w:val="58722D20"/>
    <w:rsid w:val="588743D1"/>
    <w:rsid w:val="5887701A"/>
    <w:rsid w:val="58A03A34"/>
    <w:rsid w:val="5914053E"/>
    <w:rsid w:val="59374B66"/>
    <w:rsid w:val="593C6C7A"/>
    <w:rsid w:val="59C0439F"/>
    <w:rsid w:val="59E940B2"/>
    <w:rsid w:val="5A9A35FE"/>
    <w:rsid w:val="5A9F2AC6"/>
    <w:rsid w:val="5ABE2233"/>
    <w:rsid w:val="5ABF4100"/>
    <w:rsid w:val="5B265F4E"/>
    <w:rsid w:val="5BDF5D95"/>
    <w:rsid w:val="5BFE7528"/>
    <w:rsid w:val="5C4952DC"/>
    <w:rsid w:val="5CA3359C"/>
    <w:rsid w:val="5CCB684F"/>
    <w:rsid w:val="5CDB3D30"/>
    <w:rsid w:val="5CE72B06"/>
    <w:rsid w:val="5D7135F3"/>
    <w:rsid w:val="5DCB6079"/>
    <w:rsid w:val="5E124CC7"/>
    <w:rsid w:val="5E2467F1"/>
    <w:rsid w:val="5E947AA1"/>
    <w:rsid w:val="5E961EAB"/>
    <w:rsid w:val="5EC3179D"/>
    <w:rsid w:val="5ED54C05"/>
    <w:rsid w:val="5EE11BAA"/>
    <w:rsid w:val="5F1A2B43"/>
    <w:rsid w:val="5FB837BB"/>
    <w:rsid w:val="606551C5"/>
    <w:rsid w:val="60BB1F00"/>
    <w:rsid w:val="60CC405A"/>
    <w:rsid w:val="60F85AE9"/>
    <w:rsid w:val="619A116C"/>
    <w:rsid w:val="61AD3C17"/>
    <w:rsid w:val="61E215D8"/>
    <w:rsid w:val="621B3775"/>
    <w:rsid w:val="62202144"/>
    <w:rsid w:val="62364782"/>
    <w:rsid w:val="62614229"/>
    <w:rsid w:val="629C04CF"/>
    <w:rsid w:val="631A5732"/>
    <w:rsid w:val="633F637E"/>
    <w:rsid w:val="6394356A"/>
    <w:rsid w:val="63BF5E84"/>
    <w:rsid w:val="63C61B2C"/>
    <w:rsid w:val="63D40BE9"/>
    <w:rsid w:val="64102431"/>
    <w:rsid w:val="64221703"/>
    <w:rsid w:val="646D3132"/>
    <w:rsid w:val="648C1B70"/>
    <w:rsid w:val="64A5243A"/>
    <w:rsid w:val="64AC3D71"/>
    <w:rsid w:val="64F531DE"/>
    <w:rsid w:val="65373578"/>
    <w:rsid w:val="655E7792"/>
    <w:rsid w:val="65841AC3"/>
    <w:rsid w:val="65994C1D"/>
    <w:rsid w:val="659A6D5A"/>
    <w:rsid w:val="66486604"/>
    <w:rsid w:val="671F124A"/>
    <w:rsid w:val="677A33C6"/>
    <w:rsid w:val="681F6961"/>
    <w:rsid w:val="68610A2F"/>
    <w:rsid w:val="68805514"/>
    <w:rsid w:val="68A97464"/>
    <w:rsid w:val="691722BE"/>
    <w:rsid w:val="69316E2F"/>
    <w:rsid w:val="694E2071"/>
    <w:rsid w:val="69766163"/>
    <w:rsid w:val="697A3B33"/>
    <w:rsid w:val="69981F05"/>
    <w:rsid w:val="69D44760"/>
    <w:rsid w:val="6A520EC7"/>
    <w:rsid w:val="6A78314A"/>
    <w:rsid w:val="6AB37DC4"/>
    <w:rsid w:val="6AF87E20"/>
    <w:rsid w:val="6B0E5A09"/>
    <w:rsid w:val="6B1103C6"/>
    <w:rsid w:val="6B261227"/>
    <w:rsid w:val="6B322639"/>
    <w:rsid w:val="6BA67754"/>
    <w:rsid w:val="6C564583"/>
    <w:rsid w:val="6C5E2B34"/>
    <w:rsid w:val="6C636C38"/>
    <w:rsid w:val="6D421AF6"/>
    <w:rsid w:val="6D8509A7"/>
    <w:rsid w:val="6DB34098"/>
    <w:rsid w:val="6DB545B6"/>
    <w:rsid w:val="6DBD1484"/>
    <w:rsid w:val="6DE02FB4"/>
    <w:rsid w:val="6E0B0643"/>
    <w:rsid w:val="6E514CED"/>
    <w:rsid w:val="6EB563D5"/>
    <w:rsid w:val="6EC24A7A"/>
    <w:rsid w:val="6ED92677"/>
    <w:rsid w:val="6EE322C5"/>
    <w:rsid w:val="6EE6344F"/>
    <w:rsid w:val="6F225983"/>
    <w:rsid w:val="6F3566A1"/>
    <w:rsid w:val="6FFC5590"/>
    <w:rsid w:val="70046FCF"/>
    <w:rsid w:val="706D1DD0"/>
    <w:rsid w:val="70723EE2"/>
    <w:rsid w:val="70856B87"/>
    <w:rsid w:val="70B706E3"/>
    <w:rsid w:val="70D527EE"/>
    <w:rsid w:val="70E84657"/>
    <w:rsid w:val="71484671"/>
    <w:rsid w:val="715B5300"/>
    <w:rsid w:val="71752277"/>
    <w:rsid w:val="717F5CE4"/>
    <w:rsid w:val="71D27F8A"/>
    <w:rsid w:val="72553024"/>
    <w:rsid w:val="72B34B4E"/>
    <w:rsid w:val="7305516A"/>
    <w:rsid w:val="73122968"/>
    <w:rsid w:val="731F5D5E"/>
    <w:rsid w:val="73C51AD5"/>
    <w:rsid w:val="73FC0A92"/>
    <w:rsid w:val="74137202"/>
    <w:rsid w:val="741E793C"/>
    <w:rsid w:val="741F1969"/>
    <w:rsid w:val="74543F3E"/>
    <w:rsid w:val="745E3944"/>
    <w:rsid w:val="74AF2DDE"/>
    <w:rsid w:val="752E2E69"/>
    <w:rsid w:val="754E4336"/>
    <w:rsid w:val="75DF07B3"/>
    <w:rsid w:val="76296766"/>
    <w:rsid w:val="7635099D"/>
    <w:rsid w:val="768A4587"/>
    <w:rsid w:val="770879C0"/>
    <w:rsid w:val="774D0C53"/>
    <w:rsid w:val="77762421"/>
    <w:rsid w:val="77B56B1F"/>
    <w:rsid w:val="780F09F4"/>
    <w:rsid w:val="7878759D"/>
    <w:rsid w:val="78A90480"/>
    <w:rsid w:val="78B259A2"/>
    <w:rsid w:val="78BF66C6"/>
    <w:rsid w:val="79005275"/>
    <w:rsid w:val="7A334930"/>
    <w:rsid w:val="7A364017"/>
    <w:rsid w:val="7A765096"/>
    <w:rsid w:val="7A8265E1"/>
    <w:rsid w:val="7B686D42"/>
    <w:rsid w:val="7B841746"/>
    <w:rsid w:val="7BA22FE1"/>
    <w:rsid w:val="7BFF2E69"/>
    <w:rsid w:val="7C44220C"/>
    <w:rsid w:val="7C6C5AC7"/>
    <w:rsid w:val="7C90586B"/>
    <w:rsid w:val="7CB13C80"/>
    <w:rsid w:val="7CC6544B"/>
    <w:rsid w:val="7D0239FF"/>
    <w:rsid w:val="7D5E40CD"/>
    <w:rsid w:val="7D7D7233"/>
    <w:rsid w:val="7DB94EBD"/>
    <w:rsid w:val="7DCD56F2"/>
    <w:rsid w:val="7DD05F7F"/>
    <w:rsid w:val="7DEE3977"/>
    <w:rsid w:val="7DF01503"/>
    <w:rsid w:val="7DF5428B"/>
    <w:rsid w:val="7E0A51B8"/>
    <w:rsid w:val="7E16196C"/>
    <w:rsid w:val="7ED42503"/>
    <w:rsid w:val="7EEE6457"/>
    <w:rsid w:val="7F001CE7"/>
    <w:rsid w:val="7F245E92"/>
    <w:rsid w:val="7F357D10"/>
    <w:rsid w:val="7FA2434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unhideWhenUsed/>
    <w:qFormat/>
    <w:locked/>
    <w:uiPriority w:val="0"/>
    <w:pPr>
      <w:keepNext/>
      <w:keepLines/>
      <w:spacing w:before="260" w:after="260" w:line="413" w:lineRule="auto"/>
      <w:outlineLvl w:val="2"/>
    </w:pPr>
    <w:rPr>
      <w:b/>
      <w:sz w:val="32"/>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4">
    <w:name w:val="List 3"/>
    <w:basedOn w:val="1"/>
    <w:autoRedefine/>
    <w:unhideWhenUsed/>
    <w:qFormat/>
    <w:locked/>
    <w:uiPriority w:val="99"/>
    <w:pPr>
      <w:ind w:left="1260" w:hanging="420"/>
    </w:pPr>
  </w:style>
  <w:style w:type="paragraph" w:styleId="5">
    <w:name w:val="Normal Indent"/>
    <w:basedOn w:val="1"/>
    <w:next w:val="6"/>
    <w:link w:val="76"/>
    <w:autoRedefine/>
    <w:qFormat/>
    <w:locked/>
    <w:uiPriority w:val="0"/>
    <w:pPr>
      <w:ind w:firstLine="420"/>
    </w:pPr>
  </w:style>
  <w:style w:type="paragraph" w:styleId="6">
    <w:name w:val="toc 1"/>
    <w:basedOn w:val="1"/>
    <w:next w:val="1"/>
    <w:autoRedefine/>
    <w:qFormat/>
    <w:locked/>
    <w:uiPriority w:val="39"/>
  </w:style>
  <w:style w:type="paragraph" w:styleId="7">
    <w:name w:val="caption"/>
    <w:basedOn w:val="1"/>
    <w:next w:val="1"/>
    <w:autoRedefine/>
    <w:qFormat/>
    <w:locked/>
    <w:uiPriority w:val="99"/>
    <w:pPr>
      <w:adjustRightInd w:val="0"/>
      <w:snapToGrid w:val="0"/>
      <w:jc w:val="center"/>
      <w:textAlignment w:val="baseline"/>
    </w:pPr>
    <w:rPr>
      <w:rFonts w:ascii="宋体"/>
      <w:b/>
      <w:kern w:val="0"/>
      <w:szCs w:val="21"/>
    </w:rPr>
  </w:style>
  <w:style w:type="paragraph" w:styleId="8">
    <w:name w:val="toa heading"/>
    <w:basedOn w:val="1"/>
    <w:next w:val="1"/>
    <w:autoRedefine/>
    <w:qFormat/>
    <w:locked/>
    <w:uiPriority w:val="0"/>
    <w:pPr>
      <w:spacing w:before="120"/>
    </w:pPr>
    <w:rPr>
      <w:rFonts w:hAnsi="Arial" w:cs="Arial"/>
      <w:sz w:val="24"/>
    </w:rPr>
  </w:style>
  <w:style w:type="paragraph" w:styleId="9">
    <w:name w:val="annotation text"/>
    <w:basedOn w:val="1"/>
    <w:link w:val="41"/>
    <w:autoRedefine/>
    <w:semiHidden/>
    <w:qFormat/>
    <w:uiPriority w:val="0"/>
    <w:pPr>
      <w:jc w:val="left"/>
    </w:pPr>
    <w:rPr>
      <w:kern w:val="0"/>
      <w:sz w:val="24"/>
      <w:szCs w:val="20"/>
    </w:rPr>
  </w:style>
  <w:style w:type="paragraph" w:styleId="10">
    <w:name w:val="Body Text"/>
    <w:basedOn w:val="1"/>
    <w:next w:val="1"/>
    <w:link w:val="42"/>
    <w:autoRedefine/>
    <w:qFormat/>
    <w:uiPriority w:val="0"/>
    <w:pPr>
      <w:widowControl/>
      <w:snapToGrid w:val="0"/>
      <w:spacing w:before="60" w:after="160" w:line="259" w:lineRule="auto"/>
      <w:ind w:right="113"/>
    </w:pPr>
    <w:rPr>
      <w:kern w:val="0"/>
      <w:sz w:val="18"/>
      <w:szCs w:val="20"/>
    </w:rPr>
  </w:style>
  <w:style w:type="paragraph" w:styleId="11">
    <w:name w:val="Body Text Indent"/>
    <w:basedOn w:val="1"/>
    <w:link w:val="43"/>
    <w:autoRedefine/>
    <w:qFormat/>
    <w:uiPriority w:val="0"/>
    <w:pPr>
      <w:spacing w:after="120"/>
      <w:ind w:left="420" w:leftChars="200"/>
    </w:pPr>
    <w:rPr>
      <w:kern w:val="0"/>
      <w:sz w:val="24"/>
      <w:szCs w:val="20"/>
    </w:rPr>
  </w:style>
  <w:style w:type="paragraph" w:styleId="12">
    <w:name w:val="List 2"/>
    <w:basedOn w:val="1"/>
    <w:autoRedefine/>
    <w:qFormat/>
    <w:locked/>
    <w:uiPriority w:val="0"/>
    <w:pPr>
      <w:ind w:left="100" w:leftChars="200" w:hanging="200" w:hangingChars="200"/>
    </w:pPr>
  </w:style>
  <w:style w:type="paragraph" w:styleId="13">
    <w:name w:val="Block Text"/>
    <w:basedOn w:val="1"/>
    <w:autoRedefine/>
    <w:qFormat/>
    <w:locked/>
    <w:uiPriority w:val="0"/>
  </w:style>
  <w:style w:type="paragraph" w:styleId="14">
    <w:name w:val="Plain Text"/>
    <w:basedOn w:val="1"/>
    <w:next w:val="1"/>
    <w:autoRedefine/>
    <w:qFormat/>
    <w:locked/>
    <w:uiPriority w:val="0"/>
    <w:pPr>
      <w:spacing w:line="240" w:lineRule="atLeast"/>
    </w:pPr>
    <w:rPr>
      <w:rFonts w:ascii="宋体" w:hAnsi="Courier New"/>
      <w:sz w:val="28"/>
      <w:szCs w:val="28"/>
    </w:rPr>
  </w:style>
  <w:style w:type="paragraph" w:styleId="15">
    <w:name w:val="Date"/>
    <w:basedOn w:val="1"/>
    <w:next w:val="1"/>
    <w:link w:val="44"/>
    <w:autoRedefine/>
    <w:qFormat/>
    <w:uiPriority w:val="0"/>
    <w:pPr>
      <w:ind w:left="100" w:leftChars="2500"/>
    </w:pPr>
    <w:rPr>
      <w:kern w:val="0"/>
      <w:sz w:val="24"/>
      <w:szCs w:val="20"/>
    </w:rPr>
  </w:style>
  <w:style w:type="paragraph" w:styleId="16">
    <w:name w:val="Balloon Text"/>
    <w:basedOn w:val="1"/>
    <w:link w:val="45"/>
    <w:autoRedefine/>
    <w:semiHidden/>
    <w:qFormat/>
    <w:uiPriority w:val="0"/>
    <w:rPr>
      <w:kern w:val="0"/>
      <w:sz w:val="18"/>
      <w:szCs w:val="20"/>
    </w:rPr>
  </w:style>
  <w:style w:type="paragraph" w:styleId="17">
    <w:name w:val="footer"/>
    <w:basedOn w:val="1"/>
    <w:next w:val="1"/>
    <w:link w:val="46"/>
    <w:autoRedefine/>
    <w:qFormat/>
    <w:uiPriority w:val="99"/>
    <w:pPr>
      <w:tabs>
        <w:tab w:val="center" w:pos="4153"/>
        <w:tab w:val="right" w:pos="8306"/>
      </w:tabs>
      <w:snapToGrid w:val="0"/>
      <w:jc w:val="left"/>
    </w:pPr>
    <w:rPr>
      <w:kern w:val="0"/>
      <w:sz w:val="18"/>
      <w:szCs w:val="20"/>
    </w:rPr>
  </w:style>
  <w:style w:type="paragraph" w:styleId="18">
    <w:name w:val="header"/>
    <w:basedOn w:val="1"/>
    <w:next w:val="13"/>
    <w:link w:val="47"/>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List"/>
    <w:basedOn w:val="12"/>
    <w:next w:val="1"/>
    <w:autoRedefine/>
    <w:qFormat/>
    <w:locked/>
    <w:uiPriority w:val="0"/>
    <w:pPr>
      <w:snapToGrid w:val="0"/>
      <w:spacing w:line="240" w:lineRule="atLeast"/>
      <w:ind w:left="0" w:leftChars="0" w:firstLine="0" w:firstLineChars="0"/>
      <w:jc w:val="center"/>
    </w:pPr>
  </w:style>
  <w:style w:type="paragraph" w:styleId="20">
    <w:name w:val="table of figures"/>
    <w:basedOn w:val="1"/>
    <w:next w:val="1"/>
    <w:autoRedefine/>
    <w:qFormat/>
    <w:locked/>
    <w:uiPriority w:val="0"/>
    <w:pPr>
      <w:ind w:left="200" w:leftChars="200" w:hanging="200" w:hangingChars="200"/>
    </w:pPr>
  </w:style>
  <w:style w:type="paragraph" w:styleId="21">
    <w:name w:val="Normal (Web)"/>
    <w:basedOn w:val="1"/>
    <w:link w:val="48"/>
    <w:autoRedefine/>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49"/>
    <w:autoRedefine/>
    <w:semiHidden/>
    <w:qFormat/>
    <w:uiPriority w:val="0"/>
    <w:rPr>
      <w:b/>
    </w:rPr>
  </w:style>
  <w:style w:type="paragraph" w:styleId="23">
    <w:name w:val="Body Text First Indent"/>
    <w:basedOn w:val="10"/>
    <w:next w:val="1"/>
    <w:autoRedefine/>
    <w:qFormat/>
    <w:locked/>
    <w:uiPriority w:val="0"/>
    <w:pPr>
      <w:ind w:firstLine="420" w:firstLineChars="100"/>
    </w:pPr>
    <w:rPr>
      <w:sz w:val="24"/>
    </w:rPr>
  </w:style>
  <w:style w:type="paragraph" w:styleId="24">
    <w:name w:val="Body Text First Indent 2"/>
    <w:basedOn w:val="11"/>
    <w:next w:val="23"/>
    <w:autoRedefine/>
    <w:qFormat/>
    <w:locked/>
    <w:uiPriority w:val="0"/>
    <w:pPr>
      <w:ind w:firstLine="420" w:firstLineChars="200"/>
    </w:p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locked/>
    <w:uiPriority w:val="0"/>
    <w:rPr>
      <w:b/>
    </w:rPr>
  </w:style>
  <w:style w:type="character" w:styleId="29">
    <w:name w:val="page number"/>
    <w:basedOn w:val="27"/>
    <w:autoRedefine/>
    <w:qFormat/>
    <w:locked/>
    <w:uiPriority w:val="0"/>
  </w:style>
  <w:style w:type="character" w:styleId="30">
    <w:name w:val="Hyperlink"/>
    <w:basedOn w:val="27"/>
    <w:autoRedefine/>
    <w:qFormat/>
    <w:locked/>
    <w:uiPriority w:val="0"/>
    <w:rPr>
      <w:color w:val="0000FF"/>
      <w:u w:val="single"/>
    </w:rPr>
  </w:style>
  <w:style w:type="character" w:styleId="31">
    <w:name w:val="annotation reference"/>
    <w:autoRedefine/>
    <w:semiHidden/>
    <w:qFormat/>
    <w:uiPriority w:val="0"/>
    <w:rPr>
      <w:sz w:val="21"/>
    </w:rPr>
  </w:style>
  <w:style w:type="paragraph" w:customStyle="1" w:styleId="32">
    <w:name w:val="Default"/>
    <w:basedOn w:val="33"/>
    <w:next w:val="4"/>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3">
    <w:name w:val="纯文本1"/>
    <w:basedOn w:val="1"/>
    <w:autoRedefine/>
    <w:qFormat/>
    <w:uiPriority w:val="0"/>
    <w:rPr>
      <w:rFonts w:ascii="宋体" w:hAnsi="Courier New"/>
      <w:szCs w:val="20"/>
    </w:rPr>
  </w:style>
  <w:style w:type="paragraph" w:customStyle="1" w:styleId="34">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35">
    <w:name w:val="正文1"/>
    <w:basedOn w:val="1"/>
    <w:autoRedefine/>
    <w:qFormat/>
    <w:uiPriority w:val="0"/>
  </w:style>
  <w:style w:type="paragraph" w:customStyle="1" w:styleId="36">
    <w:name w:val="初稿正文"/>
    <w:basedOn w:val="1"/>
    <w:link w:val="66"/>
    <w:autoRedefine/>
    <w:qFormat/>
    <w:uiPriority w:val="0"/>
    <w:pPr>
      <w:adjustRightInd w:val="0"/>
      <w:snapToGrid w:val="0"/>
      <w:spacing w:line="360" w:lineRule="auto"/>
      <w:ind w:firstLine="720" w:firstLineChars="200"/>
    </w:pPr>
    <w:rPr>
      <w:color w:val="FF0000"/>
      <w:szCs w:val="21"/>
    </w:rPr>
  </w:style>
  <w:style w:type="paragraph" w:customStyle="1" w:styleId="37">
    <w:name w:val="表格正文"/>
    <w:basedOn w:val="36"/>
    <w:autoRedefine/>
    <w:qFormat/>
    <w:uiPriority w:val="0"/>
    <w:pPr>
      <w:spacing w:before="25" w:beforeLines="25" w:after="25" w:afterLines="25" w:line="240" w:lineRule="auto"/>
      <w:ind w:firstLine="0" w:firstLineChars="0"/>
      <w:jc w:val="center"/>
    </w:pPr>
  </w:style>
  <w:style w:type="paragraph" w:customStyle="1" w:styleId="38">
    <w:name w:val="正文标题"/>
    <w:basedOn w:val="36"/>
    <w:autoRedefine/>
    <w:qFormat/>
    <w:uiPriority w:val="0"/>
    <w:pPr>
      <w:ind w:firstLine="0" w:firstLineChars="0"/>
      <w:jc w:val="left"/>
    </w:pPr>
    <w:rPr>
      <w:b/>
    </w:rPr>
  </w:style>
  <w:style w:type="paragraph" w:customStyle="1" w:styleId="39">
    <w:name w:val="表格标题"/>
    <w:basedOn w:val="36"/>
    <w:next w:val="1"/>
    <w:autoRedefine/>
    <w:qFormat/>
    <w:uiPriority w:val="0"/>
    <w:pPr>
      <w:ind w:firstLine="0" w:firstLineChars="0"/>
      <w:jc w:val="center"/>
    </w:pPr>
    <w:rPr>
      <w:b/>
    </w:rPr>
  </w:style>
  <w:style w:type="paragraph" w:customStyle="1" w:styleId="40">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1">
    <w:name w:val="批注文字 Char"/>
    <w:link w:val="9"/>
    <w:autoRedefine/>
    <w:qFormat/>
    <w:locked/>
    <w:uiPriority w:val="0"/>
    <w:rPr>
      <w:rFonts w:ascii="Times New Roman" w:hAnsi="Times New Roman" w:eastAsia="宋体"/>
      <w:sz w:val="24"/>
    </w:rPr>
  </w:style>
  <w:style w:type="character" w:customStyle="1" w:styleId="42">
    <w:name w:val="正文文本 Char"/>
    <w:link w:val="10"/>
    <w:autoRedefine/>
    <w:qFormat/>
    <w:locked/>
    <w:uiPriority w:val="0"/>
    <w:rPr>
      <w:sz w:val="18"/>
    </w:rPr>
  </w:style>
  <w:style w:type="character" w:customStyle="1" w:styleId="43">
    <w:name w:val="正文文本缩进 Char"/>
    <w:link w:val="11"/>
    <w:autoRedefine/>
    <w:semiHidden/>
    <w:qFormat/>
    <w:locked/>
    <w:uiPriority w:val="0"/>
    <w:rPr>
      <w:rFonts w:ascii="Times New Roman" w:hAnsi="Times New Roman" w:eastAsia="宋体"/>
      <w:sz w:val="24"/>
    </w:rPr>
  </w:style>
  <w:style w:type="character" w:customStyle="1" w:styleId="44">
    <w:name w:val="日期 Char"/>
    <w:link w:val="15"/>
    <w:autoRedefine/>
    <w:qFormat/>
    <w:locked/>
    <w:uiPriority w:val="0"/>
    <w:rPr>
      <w:rFonts w:ascii="Times New Roman" w:hAnsi="Times New Roman" w:eastAsia="宋体"/>
      <w:sz w:val="24"/>
    </w:rPr>
  </w:style>
  <w:style w:type="character" w:customStyle="1" w:styleId="45">
    <w:name w:val="批注框文本 Char"/>
    <w:link w:val="16"/>
    <w:autoRedefine/>
    <w:semiHidden/>
    <w:qFormat/>
    <w:locked/>
    <w:uiPriority w:val="0"/>
    <w:rPr>
      <w:rFonts w:ascii="Times New Roman" w:hAnsi="Times New Roman" w:eastAsia="宋体"/>
      <w:sz w:val="18"/>
    </w:rPr>
  </w:style>
  <w:style w:type="character" w:customStyle="1" w:styleId="46">
    <w:name w:val="页脚 Char"/>
    <w:link w:val="17"/>
    <w:autoRedefine/>
    <w:qFormat/>
    <w:locked/>
    <w:uiPriority w:val="99"/>
    <w:rPr>
      <w:sz w:val="18"/>
    </w:rPr>
  </w:style>
  <w:style w:type="character" w:customStyle="1" w:styleId="47">
    <w:name w:val="页眉 Char"/>
    <w:link w:val="18"/>
    <w:autoRedefine/>
    <w:qFormat/>
    <w:locked/>
    <w:uiPriority w:val="0"/>
    <w:rPr>
      <w:sz w:val="18"/>
    </w:rPr>
  </w:style>
  <w:style w:type="character" w:customStyle="1" w:styleId="48">
    <w:name w:val="普通(网站) Char"/>
    <w:link w:val="21"/>
    <w:autoRedefine/>
    <w:qFormat/>
    <w:locked/>
    <w:uiPriority w:val="0"/>
    <w:rPr>
      <w:rFonts w:ascii="宋体" w:hAnsi="宋体" w:eastAsia="宋体"/>
      <w:sz w:val="24"/>
    </w:rPr>
  </w:style>
  <w:style w:type="character" w:customStyle="1" w:styleId="49">
    <w:name w:val="批注主题 Char"/>
    <w:link w:val="22"/>
    <w:autoRedefine/>
    <w:semiHidden/>
    <w:qFormat/>
    <w:locked/>
    <w:uiPriority w:val="0"/>
    <w:rPr>
      <w:rFonts w:ascii="Times New Roman" w:hAnsi="Times New Roman" w:eastAsia="宋体"/>
      <w:b/>
      <w:kern w:val="2"/>
      <w:sz w:val="24"/>
    </w:rPr>
  </w:style>
  <w:style w:type="character" w:customStyle="1" w:styleId="50">
    <w:name w:val="页脚 字符"/>
    <w:basedOn w:val="27"/>
    <w:autoRedefine/>
    <w:qFormat/>
    <w:uiPriority w:val="99"/>
  </w:style>
  <w:style w:type="character" w:customStyle="1" w:styleId="51">
    <w:name w:val="正文文本 字符1"/>
    <w:autoRedefine/>
    <w:semiHidden/>
    <w:qFormat/>
    <w:uiPriority w:val="0"/>
    <w:rPr>
      <w:rFonts w:ascii="Times New Roman" w:hAnsi="Times New Roman" w:eastAsia="宋体"/>
      <w:sz w:val="24"/>
    </w:rPr>
  </w:style>
  <w:style w:type="character" w:customStyle="1" w:styleId="52">
    <w:name w:val="表格 Char"/>
    <w:link w:val="53"/>
    <w:autoRedefine/>
    <w:qFormat/>
    <w:locked/>
    <w:uiPriority w:val="0"/>
    <w:rPr>
      <w:rFonts w:ascii="宋体"/>
      <w:sz w:val="21"/>
    </w:rPr>
  </w:style>
  <w:style w:type="paragraph" w:customStyle="1" w:styleId="53">
    <w:name w:val="表格"/>
    <w:basedOn w:val="39"/>
    <w:next w:val="1"/>
    <w:link w:val="52"/>
    <w:autoRedefine/>
    <w:qFormat/>
    <w:uiPriority w:val="0"/>
    <w:pPr>
      <w:adjustRightInd w:val="0"/>
      <w:snapToGrid w:val="0"/>
      <w:spacing w:beforeLines="10" w:afterLines="10" w:line="259" w:lineRule="auto"/>
      <w:jc w:val="center"/>
    </w:pPr>
    <w:rPr>
      <w:rFonts w:ascii="宋体"/>
      <w:kern w:val="0"/>
      <w:szCs w:val="20"/>
    </w:rPr>
  </w:style>
  <w:style w:type="character" w:customStyle="1" w:styleId="54">
    <w:name w:val="日期 字符"/>
    <w:autoRedefine/>
    <w:semiHidden/>
    <w:qFormat/>
    <w:uiPriority w:val="0"/>
    <w:rPr>
      <w:rFonts w:ascii="Times New Roman" w:hAnsi="Times New Roman" w:eastAsia="宋体"/>
      <w:sz w:val="24"/>
    </w:rPr>
  </w:style>
  <w:style w:type="character" w:customStyle="1" w:styleId="55">
    <w:name w:val="批注文字 字符1"/>
    <w:autoRedefine/>
    <w:semiHidden/>
    <w:qFormat/>
    <w:uiPriority w:val="0"/>
    <w:rPr>
      <w:rFonts w:ascii="Times New Roman" w:hAnsi="Times New Roman" w:eastAsia="宋体"/>
      <w:sz w:val="24"/>
    </w:rPr>
  </w:style>
  <w:style w:type="paragraph" w:customStyle="1" w:styleId="56">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8">
    <w:name w:val="样式 标题 1 + 四号 段前: 0 磅 段后: 0 磅 行距: 1.5 倍行距"/>
    <w:basedOn w:val="59"/>
    <w:next w:val="60"/>
    <w:autoRedefine/>
    <w:qFormat/>
    <w:uiPriority w:val="0"/>
    <w:pPr>
      <w:spacing w:line="360" w:lineRule="auto"/>
      <w:jc w:val="center"/>
    </w:pPr>
    <w:rPr>
      <w:sz w:val="28"/>
    </w:rPr>
  </w:style>
  <w:style w:type="paragraph" w:customStyle="1" w:styleId="59">
    <w:name w:val="1正文"/>
    <w:basedOn w:val="1"/>
    <w:autoRedefine/>
    <w:qFormat/>
    <w:uiPriority w:val="0"/>
    <w:pPr>
      <w:spacing w:line="500" w:lineRule="exact"/>
      <w:ind w:firstLine="588" w:firstLineChars="196"/>
    </w:pPr>
    <w:rPr>
      <w:rFonts w:eastAsia="楷体_GB2312"/>
      <w:sz w:val="30"/>
      <w:szCs w:val="30"/>
    </w:rPr>
  </w:style>
  <w:style w:type="paragraph" w:customStyle="1" w:styleId="60">
    <w:name w:val="文本正文"/>
    <w:basedOn w:val="1"/>
    <w:autoRedefine/>
    <w:qFormat/>
    <w:uiPriority w:val="0"/>
    <w:pPr>
      <w:snapToGrid w:val="0"/>
      <w:spacing w:line="360" w:lineRule="auto"/>
      <w:ind w:firstLine="510"/>
      <w:jc w:val="left"/>
    </w:pPr>
    <w:rPr>
      <w:spacing w:val="4"/>
      <w:kern w:val="24"/>
      <w:lang w:val="zh-CN"/>
    </w:rPr>
  </w:style>
  <w:style w:type="paragraph" w:customStyle="1" w:styleId="61">
    <w:name w:val="表头"/>
    <w:basedOn w:val="20"/>
    <w:autoRedefine/>
    <w:qFormat/>
    <w:uiPriority w:val="0"/>
    <w:pPr>
      <w:spacing w:line="360" w:lineRule="auto"/>
      <w:jc w:val="left"/>
    </w:pPr>
    <w:rPr>
      <w:sz w:val="24"/>
    </w:rPr>
  </w:style>
  <w:style w:type="paragraph" w:customStyle="1" w:styleId="62">
    <w:name w:val="Normal Indent1"/>
    <w:basedOn w:val="1"/>
    <w:autoRedefine/>
    <w:qFormat/>
    <w:uiPriority w:val="0"/>
    <w:pPr>
      <w:ind w:firstLine="420" w:firstLineChars="200"/>
    </w:pPr>
  </w:style>
  <w:style w:type="paragraph" w:customStyle="1" w:styleId="63">
    <w:name w:val="Table Paragraph"/>
    <w:basedOn w:val="1"/>
    <w:autoRedefine/>
    <w:qFormat/>
    <w:uiPriority w:val="1"/>
    <w:pPr>
      <w:jc w:val="center"/>
    </w:pPr>
    <w:rPr>
      <w:rFonts w:ascii="宋体" w:hAnsi="宋体" w:cs="宋体"/>
      <w:lang w:val="zh-CN" w:bidi="zh-CN"/>
    </w:rPr>
  </w:style>
  <w:style w:type="paragraph" w:customStyle="1" w:styleId="64">
    <w:name w:val="表格文字"/>
    <w:basedOn w:val="1"/>
    <w:autoRedefine/>
    <w:qFormat/>
    <w:uiPriority w:val="0"/>
    <w:pPr>
      <w:autoSpaceDE w:val="0"/>
      <w:autoSpaceDN w:val="0"/>
      <w:adjustRightInd w:val="0"/>
      <w:snapToGrid w:val="0"/>
      <w:spacing w:before="40" w:after="40"/>
      <w:jc w:val="center"/>
      <w:textAlignment w:val="baseline"/>
    </w:pPr>
    <w:rPr>
      <w:rFonts w:hAnsi="宋体"/>
      <w:b/>
      <w:kern w:val="24"/>
      <w:szCs w:val="20"/>
    </w:rPr>
  </w:style>
  <w:style w:type="paragraph" w:customStyle="1" w:styleId="65">
    <w:name w:val="表中文字"/>
    <w:basedOn w:val="1"/>
    <w:autoRedefine/>
    <w:qFormat/>
    <w:uiPriority w:val="99"/>
    <w:pPr>
      <w:snapToGrid w:val="0"/>
      <w:jc w:val="center"/>
    </w:pPr>
    <w:rPr>
      <w:color w:val="000000"/>
      <w:szCs w:val="20"/>
    </w:rPr>
  </w:style>
  <w:style w:type="character" w:customStyle="1" w:styleId="66">
    <w:name w:val="初稿正文 Char"/>
    <w:link w:val="36"/>
    <w:autoRedefine/>
    <w:qFormat/>
    <w:uiPriority w:val="0"/>
    <w:rPr>
      <w:rFonts w:ascii="Times New Roman" w:hAnsi="Times New Roman" w:eastAsia="宋体" w:cs="Times New Roman"/>
      <w:color w:val="FF0000"/>
      <w:szCs w:val="21"/>
    </w:rPr>
  </w:style>
  <w:style w:type="paragraph" w:customStyle="1" w:styleId="67">
    <w:name w:val="报告表格"/>
    <w:basedOn w:val="1"/>
    <w:autoRedefine/>
    <w:qFormat/>
    <w:uiPriority w:val="0"/>
    <w:pPr>
      <w:kinsoku w:val="0"/>
      <w:overflowPunct w:val="0"/>
      <w:autoSpaceDE w:val="0"/>
      <w:autoSpaceDN w:val="0"/>
      <w:adjustRightInd w:val="0"/>
      <w:jc w:val="center"/>
      <w:textAlignment w:val="baseline"/>
    </w:pPr>
    <w:rPr>
      <w:szCs w:val="21"/>
    </w:rPr>
  </w:style>
  <w:style w:type="paragraph" w:customStyle="1" w:styleId="68">
    <w:name w:val="标题名"/>
    <w:basedOn w:val="36"/>
    <w:autoRedefine/>
    <w:qFormat/>
    <w:uiPriority w:val="0"/>
    <w:pPr>
      <w:ind w:firstLine="0" w:firstLineChars="0"/>
      <w:jc w:val="left"/>
    </w:pPr>
    <w:rPr>
      <w:rFonts w:hint="eastAsia"/>
      <w:b/>
      <w:bCs/>
    </w:rPr>
  </w:style>
  <w:style w:type="paragraph" w:customStyle="1" w:styleId="69">
    <w:name w:val="图表标题"/>
    <w:basedOn w:val="1"/>
    <w:autoRedefine/>
    <w:qFormat/>
    <w:uiPriority w:val="0"/>
    <w:pPr>
      <w:autoSpaceDE w:val="0"/>
      <w:autoSpaceDN w:val="0"/>
      <w:adjustRightInd w:val="0"/>
      <w:spacing w:line="240" w:lineRule="auto"/>
      <w:ind w:firstLine="0" w:firstLineChars="0"/>
      <w:jc w:val="center"/>
      <w:textAlignment w:val="baseline"/>
    </w:pPr>
    <w:rPr>
      <w:rFonts w:cs="Times New Roman"/>
      <w:b/>
      <w:bCs/>
      <w:color w:val="000000"/>
      <w:sz w:val="21"/>
      <w:szCs w:val="21"/>
    </w:rPr>
  </w:style>
  <w:style w:type="paragraph" w:customStyle="1" w:styleId="70">
    <w:name w:val="【正文】"/>
    <w:basedOn w:val="1"/>
    <w:autoRedefine/>
    <w:qFormat/>
    <w:uiPriority w:val="0"/>
    <w:pPr>
      <w:spacing w:line="360" w:lineRule="auto"/>
      <w:ind w:firstLine="200" w:firstLineChars="200"/>
      <w:jc w:val="left"/>
    </w:pPr>
    <w:rPr>
      <w:rFonts w:ascii="Times New Roman" w:hAnsi="Times New Roman"/>
      <w:sz w:val="24"/>
    </w:rPr>
  </w:style>
  <w:style w:type="paragraph" w:customStyle="1" w:styleId="71">
    <w:name w:val="Body text|1"/>
    <w:basedOn w:val="1"/>
    <w:autoRedefine/>
    <w:qFormat/>
    <w:uiPriority w:val="0"/>
    <w:pPr>
      <w:keepNext w:val="0"/>
      <w:keepLines w:val="0"/>
      <w:widowControl w:val="0"/>
      <w:suppressLineNumbers w:val="0"/>
      <w:spacing w:before="0" w:beforeAutospacing="0" w:after="0" w:afterAutospacing="0" w:line="444" w:lineRule="auto"/>
      <w:ind w:left="0" w:right="0" w:firstLine="100"/>
      <w:jc w:val="left"/>
    </w:pPr>
    <w:rPr>
      <w:rFonts w:hint="eastAsia" w:ascii="宋体" w:hAnsi="宋体" w:eastAsia="宋体" w:cs="宋体"/>
      <w:color w:val="auto"/>
      <w:kern w:val="0"/>
      <w:sz w:val="22"/>
      <w:szCs w:val="22"/>
      <w:lang w:val="en-US" w:eastAsia="zh-CN" w:bidi="ar"/>
    </w:rPr>
  </w:style>
  <w:style w:type="paragraph" w:customStyle="1" w:styleId="72">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3">
    <w:name w:val="hp题注"/>
    <w:basedOn w:val="7"/>
    <w:autoRedefine/>
    <w:qFormat/>
    <w:uiPriority w:val="0"/>
    <w:pPr>
      <w:spacing w:line="240" w:lineRule="auto"/>
      <w:ind w:firstLine="422"/>
    </w:pPr>
    <w:rPr>
      <w:sz w:val="18"/>
    </w:rPr>
  </w:style>
  <w:style w:type="paragraph" w:styleId="74">
    <w:name w:val="List Paragraph"/>
    <w:basedOn w:val="1"/>
    <w:autoRedefine/>
    <w:qFormat/>
    <w:uiPriority w:val="34"/>
    <w:pPr>
      <w:ind w:firstLine="420" w:firstLineChars="200"/>
    </w:pPr>
  </w:style>
  <w:style w:type="paragraph" w:customStyle="1" w:styleId="75">
    <w:name w:val="WPSOffice手动目录 1"/>
    <w:autoRedefine/>
    <w:qFormat/>
    <w:uiPriority w:val="0"/>
    <w:pPr>
      <w:ind w:leftChars="0"/>
    </w:pPr>
    <w:rPr>
      <w:rFonts w:ascii="Times New Roman" w:hAnsi="Times New Roman" w:eastAsia="宋体" w:cs="Times New Roman"/>
      <w:sz w:val="20"/>
      <w:szCs w:val="20"/>
    </w:rPr>
  </w:style>
  <w:style w:type="character" w:customStyle="1" w:styleId="76">
    <w:name w:val="正文缩进 Char1"/>
    <w:link w:val="5"/>
    <w:autoRedefine/>
    <w:qFormat/>
    <w:uiPriority w:val="0"/>
  </w:style>
  <w:style w:type="paragraph" w:customStyle="1" w:styleId="77">
    <w:name w:val="表体"/>
    <w:basedOn w:val="1"/>
    <w:autoRedefine/>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eastAsia="宋体" w:cs="Times New Roman"/>
      <w:bCs/>
      <w:snapToGrid w:val="0"/>
      <w:color w:val="000000"/>
      <w:kern w:val="32"/>
      <w:szCs w:val="20"/>
      <w:lang w:val="zh-CN"/>
    </w:rPr>
  </w:style>
  <w:style w:type="character" w:customStyle="1" w:styleId="78">
    <w:name w:val="font51"/>
    <w:basedOn w:val="27"/>
    <w:autoRedefine/>
    <w:qFormat/>
    <w:uiPriority w:val="0"/>
    <w:rPr>
      <w:rFonts w:hint="eastAsia" w:ascii="宋体" w:hAnsi="宋体" w:eastAsia="宋体" w:cs="宋体"/>
      <w:color w:val="000000"/>
      <w:sz w:val="20"/>
      <w:szCs w:val="20"/>
      <w:u w:val="none"/>
    </w:rPr>
  </w:style>
  <w:style w:type="character" w:customStyle="1" w:styleId="79">
    <w:name w:val="font41"/>
    <w:basedOn w:val="27"/>
    <w:autoRedefine/>
    <w:qFormat/>
    <w:uiPriority w:val="0"/>
    <w:rPr>
      <w:rFonts w:hint="eastAsia" w:ascii="宋体" w:hAnsi="宋体" w:eastAsia="宋体" w:cs="宋体"/>
      <w:color w:val="000000"/>
      <w:sz w:val="20"/>
      <w:szCs w:val="20"/>
      <w:u w:val="none"/>
      <w:vertAlign w:val="subscript"/>
    </w:rPr>
  </w:style>
  <w:style w:type="character" w:customStyle="1" w:styleId="80">
    <w:name w:val="font21"/>
    <w:basedOn w:val="27"/>
    <w:autoRedefine/>
    <w:qFormat/>
    <w:uiPriority w:val="0"/>
    <w:rPr>
      <w:rFonts w:hint="default" w:ascii="Times New Roman" w:hAnsi="Times New Roman" w:cs="Times New Roman"/>
      <w:color w:val="FF0000"/>
      <w:sz w:val="21"/>
      <w:szCs w:val="21"/>
      <w:u w:val="none"/>
    </w:rPr>
  </w:style>
  <w:style w:type="character" w:customStyle="1" w:styleId="81">
    <w:name w:val="font31"/>
    <w:basedOn w:val="27"/>
    <w:autoRedefine/>
    <w:qFormat/>
    <w:uiPriority w:val="0"/>
    <w:rPr>
      <w:rFonts w:hint="default" w:ascii="Times New Roman" w:hAnsi="Times New Roman" w:cs="Times New Roman"/>
      <w:color w:val="FF0000"/>
      <w:sz w:val="21"/>
      <w:szCs w:val="21"/>
      <w:u w:val="none"/>
      <w:vertAlign w:val="subscript"/>
    </w:rPr>
  </w:style>
  <w:style w:type="paragraph" w:customStyle="1" w:styleId="82">
    <w:name w:val="样式 样式 左 首行缩进:  2 字符 + 首行缩进:  2 字符"/>
    <w:basedOn w:val="1"/>
    <w:autoRedefine/>
    <w:qFormat/>
    <w:uiPriority w:val="0"/>
    <w:pPr>
      <w:adjustRightInd w:val="0"/>
      <w:snapToGrid w:val="0"/>
      <w:ind w:left="1134" w:firstLine="480"/>
      <w:jc w:val="left"/>
    </w:pPr>
    <w:rPr>
      <w:rFonts w:cs="宋体"/>
      <w:color w:val="000000"/>
      <w:szCs w:val="20"/>
    </w:rPr>
  </w:style>
  <w:style w:type="paragraph" w:customStyle="1" w:styleId="83">
    <w:name w:val="hp正文"/>
    <w:basedOn w:val="1"/>
    <w:autoRedefine/>
    <w:qFormat/>
    <w:uiPriority w:val="0"/>
    <w:pPr>
      <w:adjustRightInd w:val="0"/>
      <w:ind w:firstLine="200"/>
      <w:textAlignment w:val="baseline"/>
    </w:pPr>
    <w:rPr>
      <w:kern w:val="21"/>
      <w:sz w:val="24"/>
      <w:szCs w:val="20"/>
    </w:rPr>
  </w:style>
  <w:style w:type="paragraph" w:customStyle="1" w:styleId="84">
    <w:name w:val="5级标题"/>
    <w:basedOn w:val="1"/>
    <w:qFormat/>
    <w:uiPriority w:val="0"/>
    <w:pPr>
      <w:spacing w:line="360" w:lineRule="auto"/>
      <w:jc w:val="left"/>
    </w:pPr>
    <w:rPr>
      <w:sz w:val="24"/>
      <w:szCs w:val="24"/>
    </w:rPr>
  </w:style>
  <w:style w:type="paragraph" w:customStyle="1" w:styleId="85">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6">
    <w:name w:val="加粗"/>
    <w:basedOn w:val="1"/>
    <w:qFormat/>
    <w:uiPriority w:val="0"/>
    <w:pPr>
      <w:spacing w:line="360" w:lineRule="auto"/>
      <w:ind w:left="0" w:leftChars="0" w:firstLine="0" w:firstLineChars="0"/>
      <w:jc w:val="left"/>
    </w:pPr>
    <w:rPr>
      <w:rFonts w:cs="宋体"/>
      <w:b/>
      <w:color w:val="000000"/>
      <w:kern w:val="21"/>
    </w:rPr>
  </w:style>
  <w:style w:type="character" w:customStyle="1" w:styleId="87">
    <w:name w:val="font01"/>
    <w:basedOn w:val="27"/>
    <w:qFormat/>
    <w:uiPriority w:val="0"/>
    <w:rPr>
      <w:rFonts w:hint="eastAsia" w:ascii="宋体" w:hAnsi="宋体" w:eastAsia="宋体" w:cs="宋体"/>
      <w:color w:val="000000"/>
      <w:sz w:val="22"/>
      <w:szCs w:val="22"/>
      <w:u w:val="none"/>
    </w:rPr>
  </w:style>
  <w:style w:type="character" w:customStyle="1" w:styleId="88">
    <w:name w:val="font11"/>
    <w:basedOn w:val="27"/>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47</Pages>
  <Words>92924</Words>
  <Characters>106764</Characters>
  <Lines>209</Lines>
  <Paragraphs>58</Paragraphs>
  <TotalTime>0</TotalTime>
  <ScaleCrop>false</ScaleCrop>
  <LinksUpToDate>false</LinksUpToDate>
  <CharactersWithSpaces>106904</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麦子</cp:lastModifiedBy>
  <cp:lastPrinted>2024-04-10T04:48:00Z</cp:lastPrinted>
  <dcterms:modified xsi:type="dcterms:W3CDTF">2024-12-30T02:37:54Z</dcterms:modified>
  <dc:title>附件2</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D549B1D5FF854539B366D7A408B2F92C_13</vt:lpwstr>
  </property>
  <property fmtid="{D5CDD505-2E9C-101B-9397-08002B2CF9AE}" pid="4" name="KSOTemplateDocerSaveRecord">
    <vt:lpwstr>eyJoZGlkIjoiOTNhNTNhYWIyYjc2NDMwYjM5NzAzYTI2Nzk1NzQ0NTkiLCJ1c2VySWQiOiIzNjQyNjQ4NzUifQ==</vt:lpwstr>
  </property>
</Properties>
</file>