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A87F0">
      <w:pPr>
        <w:keepNext w:val="0"/>
        <w:keepLines w:val="0"/>
        <w:pageBreakBefore w:val="0"/>
        <w:kinsoku/>
        <w:wordWrap/>
        <w:overflowPunct/>
        <w:topLinePunct w:val="0"/>
        <w:autoSpaceDE/>
        <w:autoSpaceDN/>
        <w:bidi w:val="0"/>
        <w:adjustRightInd w:val="0"/>
        <w:snapToGrid w:val="0"/>
        <w:spacing w:line="590" w:lineRule="exact"/>
        <w:ind w:right="0" w:right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玉溪市江川区医疗保障局202</w:t>
      </w:r>
      <w:r>
        <w:rPr>
          <w:rFonts w:hint="eastAsia" w:ascii="方正小标宋简体" w:eastAsia="方正小标宋简体" w:cs="Times New Roman"/>
          <w:sz w:val="44"/>
          <w:szCs w:val="44"/>
          <w:lang w:val="en-US" w:eastAsia="zh-CN"/>
        </w:rPr>
        <w:t>5</w:t>
      </w:r>
      <w:r>
        <w:rPr>
          <w:rFonts w:hint="eastAsia" w:ascii="方正小标宋简体" w:hAnsi="Times New Roman" w:eastAsia="方正小标宋简体" w:cs="Times New Roman"/>
          <w:sz w:val="44"/>
          <w:szCs w:val="44"/>
          <w:lang w:val="en-US" w:eastAsia="zh-CN"/>
        </w:rPr>
        <w:t>年五年清算企业改制大病保险单位缴纳财政补助资</w:t>
      </w:r>
      <w:r>
        <w:rPr>
          <w:rFonts w:hint="eastAsia" w:ascii="方正小标宋简体" w:eastAsia="方正小标宋简体" w:cs="Times New Roman"/>
          <w:sz w:val="44"/>
          <w:szCs w:val="44"/>
          <w:lang w:val="en-US" w:eastAsia="zh-CN"/>
        </w:rPr>
        <w:t>金</w:t>
      </w:r>
      <w:r>
        <w:rPr>
          <w:rFonts w:hint="eastAsia" w:ascii="方正小标宋简体" w:hAnsi="Times New Roman" w:eastAsia="方正小标宋简体" w:cs="Times New Roman"/>
          <w:sz w:val="44"/>
          <w:szCs w:val="44"/>
          <w:lang w:val="en-US" w:eastAsia="zh-CN"/>
        </w:rPr>
        <w:t>项目公开文本</w:t>
      </w:r>
    </w:p>
    <w:p w14:paraId="1E344A9B">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936" w:firstLineChars="200"/>
        <w:jc w:val="center"/>
        <w:rPr>
          <w:rFonts w:hint="eastAsia" w:ascii="方正小标宋简体" w:hAnsi="华文中宋" w:eastAsia="方正小标宋简体"/>
          <w:color w:val="auto"/>
          <w:spacing w:val="14"/>
          <w:sz w:val="44"/>
          <w:szCs w:val="44"/>
          <w:highlight w:val="none"/>
          <w:lang w:eastAsia="zh-CN"/>
        </w:rPr>
      </w:pPr>
    </w:p>
    <w:p w14:paraId="140FC433">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14:paraId="7C211D3B">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五年清算企业改制大病保险单位缴纳财政补助资金项目</w:t>
      </w:r>
    </w:p>
    <w:p w14:paraId="4F19C085">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14:paraId="25FA7C9E">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宋体" w:cs="宋体"/>
          <w:color w:val="auto"/>
          <w:sz w:val="28"/>
          <w:szCs w:val="36"/>
          <w:lang w:val="en-US" w:eastAsia="zh-CN"/>
        </w:rPr>
      </w:pPr>
      <w:r>
        <w:rPr>
          <w:rFonts w:hint="default" w:ascii="方正仿宋_GBK" w:hAnsi="方正仿宋_GBK" w:eastAsia="方正仿宋_GBK" w:cs="方正仿宋_GBK"/>
          <w:color w:val="auto"/>
          <w:kern w:val="2"/>
          <w:sz w:val="32"/>
          <w:szCs w:val="32"/>
          <w:lang w:val="en-US" w:eastAsia="zh-CN" w:bidi="ar-SA"/>
        </w:rPr>
        <w:t>按《玉溪市人民政府关于进一步加强全市城镇职工基本医疗和大病补充医疗保险管理的通知》（玉政发﹝2010﹞157号）的相关规定，</w:t>
      </w:r>
      <w:r>
        <w:rPr>
          <w:rFonts w:hint="eastAsia" w:ascii="方正仿宋_GBK" w:hAnsi="方正仿宋_GBK" w:eastAsia="方正仿宋_GBK" w:cs="方正仿宋_GBK"/>
          <w:color w:val="auto"/>
          <w:kern w:val="2"/>
          <w:sz w:val="32"/>
          <w:szCs w:val="32"/>
          <w:lang w:val="en-US" w:eastAsia="zh-CN" w:bidi="ar-SA"/>
        </w:rPr>
        <w:t>及《玉溪市医疗保障局关于缴纳2023年度城镇职工大额医疗费用补助的通知》玉医保发</w:t>
      </w:r>
      <w:r>
        <w:rPr>
          <w:rFonts w:hint="default" w:ascii="方正仿宋_GBK" w:hAnsi="方正仿宋_GBK"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t>22</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29</w:t>
      </w:r>
      <w:r>
        <w:rPr>
          <w:rFonts w:hint="default" w:ascii="方正仿宋_GBK" w:hAnsi="方正仿宋_GBK" w:eastAsia="方正仿宋_GBK" w:cs="方正仿宋_GBK"/>
          <w:color w:val="auto"/>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文件立项。</w:t>
      </w:r>
    </w:p>
    <w:p w14:paraId="3F20EA0A">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w:t>
      </w:r>
      <w:r>
        <w:rPr>
          <w:rFonts w:hint="eastAsia" w:ascii="黑体" w:hAnsi="黑体" w:eastAsia="黑体" w:cs="黑体"/>
          <w:color w:val="auto"/>
          <w:kern w:val="0"/>
          <w:sz w:val="32"/>
          <w:szCs w:val="32"/>
          <w:highlight w:val="none"/>
          <w:lang w:eastAsia="zh-CN"/>
        </w:rPr>
        <w:t>项目实施单位</w:t>
      </w:r>
    </w:p>
    <w:p w14:paraId="2E64EB68">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玉溪市江川区医疗保障局</w:t>
      </w:r>
    </w:p>
    <w:p w14:paraId="6DEC5F79">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14:paraId="0F3E0BD7">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对18户五年清算企业234人，按364元/年进行补助。</w:t>
      </w:r>
    </w:p>
    <w:p w14:paraId="65D00FA2">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14:paraId="6E55CA0C">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企业改制时，未参加城镇职工基本医疗保险统筹的企业退休人员，其城镇职工基本医疗保险费和大病补充医疗保险费，按照《关于印发&lt;国有企业深化改革劳动社会保障配套政策的试行办法&gt;的通知》（玉政发</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2000</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105号）、玉劳社发</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2019</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137号 满5年后所需基本医疗保险费和大病补充医疗保险费由市县区财政分别负担，今后国家出台新的政策规定，按新规定执行。</w:t>
      </w:r>
    </w:p>
    <w:p w14:paraId="12E9361D">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14:paraId="5CC7127B">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县（市、区）财政补助金额：人数234人，标准364元/年,合计捌万伍仟壹佰柒拾陆元(</w:t>
      </w:r>
      <w:r>
        <w:rPr>
          <w:rFonts w:hint="default"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85176）</w:t>
      </w:r>
    </w:p>
    <w:p w14:paraId="61E995CC">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14:paraId="6A7FC52C">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2025年1月，对我区对18户五年清算企业234人，按364元进行大病医疗保费单位部分拨款大病医疗保险财政专户。</w:t>
      </w:r>
    </w:p>
    <w:p w14:paraId="602AE4EB">
      <w:pPr>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14:paraId="6FD8DCF3">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该项社会效益明显：维护改制企人员的合法权益，生命健康、促进医保基金长期可持续运行。</w:t>
      </w:r>
    </w:p>
    <w:p w14:paraId="61B1E423">
      <w:pPr>
        <w:keepNext w:val="0"/>
        <w:keepLines w:val="0"/>
        <w:pageBreakBefore w:val="0"/>
        <w:widowControl/>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产出指标完成情况分析：产出指标完成情况分析：(1）数量指标，补助人数=234人；(2）质量指标，获补对象准确率=100%，(3)效益指标，有效缓解看病负担，确保234参保人合法权益；（4）满意度指标，受益对象满意度=85%。</w:t>
      </w:r>
    </w:p>
    <w:p w14:paraId="5970F5FD">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14:paraId="0BC54423">
      <w:pPr>
        <w:pStyle w:val="10"/>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14:paraId="7EADC572">
      <w:pPr>
        <w:pStyle w:val="10"/>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14:paraId="521EA892">
      <w:pPr>
        <w:pStyle w:val="10"/>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14:paraId="0B3505EB">
      <w:pPr>
        <w:pStyle w:val="10"/>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14:paraId="6DD057A1">
      <w:pPr>
        <w:pStyle w:val="10"/>
        <w:keepNext w:val="0"/>
        <w:keepLines w:val="0"/>
        <w:pageBreakBefore w:val="0"/>
        <w:kinsoku/>
        <w:wordWrap/>
        <w:overflowPunct/>
        <w:topLinePunct w:val="0"/>
        <w:autoSpaceDE/>
        <w:autoSpaceDN/>
        <w:bidi w:val="0"/>
        <w:adjustRightInd w:val="0"/>
        <w:spacing w:line="590" w:lineRule="exact"/>
        <w:ind w:left="0" w:leftChars="0" w:right="0" w:rightChars="0" w:firstLine="640" w:firstLineChars="200"/>
        <w:rPr>
          <w:rFonts w:hint="eastAsia" w:ascii="方正仿宋_GBK" w:hAnsi="方正仿宋_GBK" w:eastAsia="方正仿宋_GBK" w:cs="方正仿宋_GBK"/>
          <w:color w:val="auto"/>
          <w:kern w:val="2"/>
          <w:sz w:val="32"/>
          <w:szCs w:val="32"/>
          <w:lang w:val="en-US" w:eastAsia="zh-CN" w:bidi="ar-SA"/>
        </w:rPr>
      </w:pPr>
    </w:p>
    <w:p w14:paraId="268965E9">
      <w:pPr>
        <w:keepNext w:val="0"/>
        <w:keepLines w:val="0"/>
        <w:pageBreakBefore w:val="0"/>
        <w:kinsoku/>
        <w:wordWrap/>
        <w:overflowPunct/>
        <w:topLinePunct w:val="0"/>
        <w:autoSpaceDE/>
        <w:autoSpaceDN/>
        <w:bidi w:val="0"/>
        <w:adjustRightInd w:val="0"/>
        <w:snapToGrid w:val="0"/>
        <w:spacing w:line="590" w:lineRule="exact"/>
        <w:ind w:right="0" w:rightChars="0"/>
        <w:jc w:val="both"/>
        <w:rPr>
          <w:rFonts w:hint="eastAsia" w:ascii="方正小标宋简体" w:hAnsi="Times New Roman" w:eastAsia="方正小标宋简体" w:cs="Times New Roman"/>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229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B750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3B750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zdiMTA5MGJiMGJkMmE5ZjdiMzNhOTJjMjk2MDUifQ=="/>
  </w:docVars>
  <w:rsids>
    <w:rsidRoot w:val="19E72E8C"/>
    <w:rsid w:val="02281CF6"/>
    <w:rsid w:val="0282148E"/>
    <w:rsid w:val="039974D7"/>
    <w:rsid w:val="08BD778E"/>
    <w:rsid w:val="0A9A30BD"/>
    <w:rsid w:val="1042466B"/>
    <w:rsid w:val="131F298D"/>
    <w:rsid w:val="19E72E8C"/>
    <w:rsid w:val="1A5763D1"/>
    <w:rsid w:val="1ADD2709"/>
    <w:rsid w:val="27014769"/>
    <w:rsid w:val="27B10CDA"/>
    <w:rsid w:val="2CBD07D2"/>
    <w:rsid w:val="2D9A18F7"/>
    <w:rsid w:val="2DAD116C"/>
    <w:rsid w:val="2F704333"/>
    <w:rsid w:val="303B07B0"/>
    <w:rsid w:val="314237D0"/>
    <w:rsid w:val="35C75B3C"/>
    <w:rsid w:val="35D07F22"/>
    <w:rsid w:val="38F372D7"/>
    <w:rsid w:val="39246930"/>
    <w:rsid w:val="3B9A2C7A"/>
    <w:rsid w:val="3E5673A3"/>
    <w:rsid w:val="42B25248"/>
    <w:rsid w:val="435D52C8"/>
    <w:rsid w:val="43EA72C8"/>
    <w:rsid w:val="447E3FF8"/>
    <w:rsid w:val="47EA3504"/>
    <w:rsid w:val="48206BC0"/>
    <w:rsid w:val="4A6B63AB"/>
    <w:rsid w:val="516C207A"/>
    <w:rsid w:val="550D545F"/>
    <w:rsid w:val="593908DE"/>
    <w:rsid w:val="5C3737CE"/>
    <w:rsid w:val="5FE646DE"/>
    <w:rsid w:val="64000F65"/>
    <w:rsid w:val="70D479E0"/>
    <w:rsid w:val="712425C9"/>
    <w:rsid w:val="7422549B"/>
    <w:rsid w:val="77D36F94"/>
    <w:rsid w:val="7B340E63"/>
    <w:rsid w:val="7B802E7C"/>
    <w:rsid w:val="7E7C7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paragraph" w:styleId="2">
    <w:name w:val="heading 3"/>
    <w:basedOn w:val="1"/>
    <w:next w:val="1"/>
    <w:qFormat/>
    <w:uiPriority w:val="0"/>
    <w:pPr>
      <w:spacing w:before="100" w:beforeAutospacing="1" w:after="100" w:afterAutospacing="1"/>
      <w:outlineLvl w:val="2"/>
    </w:pPr>
    <w:rPr>
      <w:rFonts w:hint="eastAsia" w:ascii="宋体" w:hAnsi="宋体" w:eastAsia="方正楷体_GBK"/>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NormalIndent"/>
    <w:basedOn w:val="1"/>
    <w:qFormat/>
    <w:uiPriority w:val="0"/>
    <w:pPr>
      <w:ind w:firstLine="200" w:firstLineChars="200"/>
      <w:textAlignment w:val="baseline"/>
    </w:pPr>
    <w:rPr>
      <w:rFonts w:ascii="宋体" w:hAnsi="宋体" w:eastAsia="宋体" w:cs="Times New Roman"/>
      <w:sz w:val="28"/>
      <w:szCs w:val="28"/>
    </w:rPr>
  </w:style>
  <w:style w:type="paragraph" w:customStyle="1" w:styleId="11">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Pages>
  <Words>644</Words>
  <Characters>712</Characters>
  <Lines>0</Lines>
  <Paragraphs>0</Paragraphs>
  <TotalTime>2</TotalTime>
  <ScaleCrop>false</ScaleCrop>
  <LinksUpToDate>false</LinksUpToDate>
  <CharactersWithSpaces>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2021-04-07T09:19:00Z</dcterms:created>
  <dc:creator>张瑞</dc:creator>
  <cp:lastModifiedBy>河豚～小姐</cp:lastModifiedBy>
  <cp:lastPrinted>2023-01-31T03:26:00Z</cp:lastPrinted>
  <dcterms:modified xsi:type="dcterms:W3CDTF">2025-05-12T02:37:56Z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762B673DADC54E698CB0D090CAA7340A</vt:lpwstr>
  </property>
  <property fmtid="{D5CDD505-2E9C-101B-9397-08002B2CF9AE}" pid="4" name="KSOTemplateDocerSaveRecord">
    <vt:lpwstr>eyJoZGlkIjoiNDZmNTk4OWU3ZjQ1NzQ4MzM1OTA3MzRjMjZkNmRlNDgiLCJ1c2VySWQiOiI3OTIxMjk2NDkifQ==</vt:lpwstr>
  </property>
</Properties>
</file>