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90" w:lineRule="exact"/>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玉溪市江川区星云湖管理局2020年政府信息公开工作年度报告</w:t>
      </w:r>
    </w:p>
    <w:p>
      <w:pPr>
        <w:widowControl w:val="0"/>
        <w:spacing w:line="400" w:lineRule="exact"/>
        <w:rPr>
          <w:rFonts w:eastAsia="方正仿宋_GBK"/>
          <w:sz w:val="32"/>
          <w:szCs w:val="32"/>
          <w:lang w:eastAsia="zh-CN"/>
        </w:rPr>
      </w:pPr>
    </w:p>
    <w:p>
      <w:pPr>
        <w:widowControl w:val="0"/>
        <w:spacing w:line="590" w:lineRule="exact"/>
        <w:rPr>
          <w:rFonts w:hint="eastAsia" w:ascii="方正黑体_GBK" w:eastAsia="方正黑体_GBK"/>
          <w:sz w:val="32"/>
          <w:szCs w:val="32"/>
          <w:lang w:eastAsia="zh-CN"/>
        </w:rPr>
      </w:pPr>
      <w:r>
        <w:rPr>
          <w:rFonts w:hint="eastAsia" w:ascii="方正黑体_GBK" w:eastAsia="方正黑体_GBK"/>
          <w:sz w:val="32"/>
          <w:szCs w:val="32"/>
          <w:lang w:eastAsia="zh-CN"/>
        </w:rPr>
        <w:t>一、总体情况</w:t>
      </w:r>
    </w:p>
    <w:p>
      <w:pPr>
        <w:widowControl w:val="0"/>
        <w:spacing w:line="590" w:lineRule="exact"/>
        <w:ind w:firstLine="640" w:firstLineChars="200"/>
        <w:rPr>
          <w:rFonts w:hint="eastAsia" w:ascii="仿宋_GB2312" w:eastAsia="仿宋_GB2312" w:cs="仿宋_GB2312"/>
          <w:sz w:val="31"/>
          <w:szCs w:val="31"/>
        </w:rPr>
      </w:pPr>
      <w:r>
        <w:rPr>
          <w:rFonts w:hint="eastAsia" w:eastAsia="方正仿宋_GBK"/>
          <w:sz w:val="32"/>
          <w:szCs w:val="32"/>
          <w:lang w:eastAsia="zh-CN"/>
        </w:rPr>
        <w:t>根据《中华人民共和国</w:t>
      </w:r>
      <w:bookmarkStart w:id="0" w:name="_GoBack"/>
      <w:r>
        <w:rPr>
          <w:rFonts w:hint="eastAsia" w:eastAsia="方正仿宋_GBK"/>
          <w:sz w:val="32"/>
          <w:szCs w:val="32"/>
          <w:lang w:eastAsia="zh-CN"/>
        </w:rPr>
        <w:t>政府信息公开条例</w:t>
      </w:r>
      <w:bookmarkEnd w:id="0"/>
      <w:r>
        <w:rPr>
          <w:rFonts w:hint="eastAsia" w:eastAsia="方正仿宋_GBK"/>
          <w:sz w:val="32"/>
          <w:szCs w:val="32"/>
          <w:lang w:eastAsia="zh-CN"/>
        </w:rPr>
        <w:t>》(国务院令第711号，以下简称《条例》)和《国务院办公厅政府信息与政务公开办公室关于政府信息公开工作年度报告有关事项的通知》（国办公开办函〔2019〕60号）要求，现公布区星云湖管理局2020年度政府信息公开工作年度报告。本报告包括总体情况、主动公开政府信息情况、收到和处理政府信息公开申请情况、政府信息公开行政复议和行政诉讼情况、存在的主要问题及改进情况、其他需要报告的事项等六个部分。除特别说明的外，所列数据统计时限为2020年1月1日至2020年12月31日。如对本报告有任何疑问，请与玉溪市江川区星云湖管理局联系（地址：大街街道星云路西段；邮编：</w:t>
      </w:r>
      <w:r>
        <w:rPr>
          <w:rFonts w:hint="eastAsia" w:eastAsia="方正仿宋_GBK"/>
          <w:sz w:val="32"/>
          <w:szCs w:val="32"/>
          <w:lang w:val="en-US" w:eastAsia="zh-CN"/>
        </w:rPr>
        <w:t>652600</w:t>
      </w:r>
      <w:r>
        <w:rPr>
          <w:rFonts w:hint="eastAsia" w:eastAsia="方正仿宋_GBK"/>
          <w:sz w:val="32"/>
          <w:szCs w:val="32"/>
          <w:lang w:eastAsia="zh-CN"/>
        </w:rPr>
        <w:t>；电话：</w:t>
      </w:r>
      <w:r>
        <w:rPr>
          <w:rFonts w:hint="eastAsia" w:eastAsia="方正仿宋_GBK"/>
          <w:sz w:val="32"/>
          <w:szCs w:val="32"/>
          <w:lang w:val="en-US" w:eastAsia="zh-CN"/>
        </w:rPr>
        <w:t>0877-8010505；</w:t>
      </w:r>
      <w:r>
        <w:rPr>
          <w:rFonts w:hint="eastAsia" w:ascii="仿宋_GB2312" w:eastAsia="仿宋_GB2312" w:cs="仿宋_GB2312"/>
          <w:sz w:val="31"/>
          <w:szCs w:val="31"/>
        </w:rPr>
        <w:t>电子邮件：</w:t>
      </w:r>
      <w:r>
        <w:fldChar w:fldCharType="begin"/>
      </w:r>
      <w:r>
        <w:instrText xml:space="preserve"> HYPERLINK "mailto:jcxyhglj@163.com。" </w:instrText>
      </w:r>
      <w:r>
        <w:fldChar w:fldCharType="separate"/>
      </w:r>
      <w:r>
        <w:rPr>
          <w:rStyle w:val="9"/>
          <w:rFonts w:hint="eastAsia" w:ascii="仿宋_GB2312" w:eastAsia="仿宋_GB2312" w:cs="仿宋_GB2312"/>
          <w:color w:val="0000FF"/>
          <w:sz w:val="31"/>
          <w:szCs w:val="31"/>
          <w:u w:val="single"/>
        </w:rPr>
        <w:t>jcxyhglj@163.com。</w:t>
      </w:r>
      <w:r>
        <w:fldChar w:fldCharType="end"/>
      </w:r>
      <w:r>
        <w:rPr>
          <w:rFonts w:hint="eastAsia" w:eastAsia="方正仿宋_GBK"/>
          <w:sz w:val="32"/>
          <w:szCs w:val="32"/>
          <w:lang w:eastAsia="zh-CN"/>
        </w:rPr>
        <w:t>）。</w:t>
      </w:r>
    </w:p>
    <w:p>
      <w:pPr>
        <w:widowControl w:val="0"/>
        <w:spacing w:line="590" w:lineRule="exact"/>
        <w:ind w:firstLine="640" w:firstLineChars="200"/>
        <w:rPr>
          <w:rFonts w:hint="eastAsia" w:ascii="方正黑体_GBK" w:eastAsia="方正黑体_GBK"/>
          <w:sz w:val="32"/>
          <w:szCs w:val="32"/>
          <w:lang w:eastAsia="zh-CN"/>
        </w:rPr>
      </w:pPr>
      <w:r>
        <w:rPr>
          <w:rFonts w:hint="eastAsia" w:ascii="方正黑体_GBK" w:eastAsia="方正黑体_GBK"/>
          <w:sz w:val="32"/>
          <w:szCs w:val="32"/>
          <w:lang w:eastAsia="zh-CN"/>
        </w:rPr>
        <w:t>二、主动公开政府信息情况</w:t>
      </w:r>
    </w:p>
    <w:tbl>
      <w:tblPr>
        <w:tblStyle w:val="6"/>
        <w:tblW w:w="5000" w:type="pct"/>
        <w:jc w:val="center"/>
        <w:tblLayout w:type="autofit"/>
        <w:tblCellMar>
          <w:top w:w="0" w:type="dxa"/>
          <w:left w:w="108" w:type="dxa"/>
          <w:bottom w:w="0" w:type="dxa"/>
          <w:right w:w="108" w:type="dxa"/>
        </w:tblCellMar>
      </w:tblPr>
      <w:tblGrid>
        <w:gridCol w:w="3465"/>
        <w:gridCol w:w="2087"/>
        <w:gridCol w:w="5"/>
        <w:gridCol w:w="1410"/>
        <w:gridCol w:w="2093"/>
      </w:tblGrid>
      <w:tr>
        <w:tblPrEx>
          <w:tblCellMar>
            <w:top w:w="0" w:type="dxa"/>
            <w:left w:w="108" w:type="dxa"/>
            <w:bottom w:w="0" w:type="dxa"/>
            <w:right w:w="108" w:type="dxa"/>
          </w:tblCellMar>
        </w:tblPrEx>
        <w:trPr>
          <w:trHeight w:val="495"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第二十条第（一）项</w:t>
            </w:r>
          </w:p>
        </w:tc>
      </w:tr>
      <w:tr>
        <w:tblPrEx>
          <w:tblCellMar>
            <w:top w:w="0" w:type="dxa"/>
            <w:left w:w="108" w:type="dxa"/>
            <w:bottom w:w="0" w:type="dxa"/>
            <w:right w:w="108" w:type="dxa"/>
          </w:tblCellMar>
        </w:tblPrEx>
        <w:trPr>
          <w:trHeight w:val="882"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信息内容</w:t>
            </w:r>
          </w:p>
        </w:tc>
        <w:tc>
          <w:tcPr>
            <w:tcW w:w="1152" w:type="pct"/>
            <w:tcBorders>
              <w:top w:val="single" w:color="auto" w:sz="4" w:space="0"/>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本年新</w:t>
            </w:r>
            <w:r>
              <w:rPr>
                <w:rFonts w:ascii="宋体"/>
                <w:color w:val="000000"/>
                <w:kern w:val="0"/>
                <w:sz w:val="20"/>
              </w:rPr>
              <w:br w:type="textWrapping"/>
            </w:r>
            <w:r>
              <w:rPr>
                <w:rFonts w:hint="eastAsia" w:ascii="宋体" w:hAnsi="宋体" w:cs="宋体"/>
                <w:kern w:val="0"/>
                <w:sz w:val="20"/>
              </w:rPr>
              <w:t>制作数量</w:t>
            </w:r>
          </w:p>
        </w:tc>
        <w:tc>
          <w:tcPr>
            <w:tcW w:w="781" w:type="pct"/>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本年新</w:t>
            </w:r>
            <w:r>
              <w:rPr>
                <w:rFonts w:ascii="宋体"/>
                <w:color w:val="000000"/>
                <w:kern w:val="0"/>
                <w:sz w:val="20"/>
              </w:rPr>
              <w:br w:type="textWrapping"/>
            </w:r>
            <w:r>
              <w:rPr>
                <w:rFonts w:hint="eastAsia" w:ascii="宋体" w:hAnsi="宋体" w:cs="宋体"/>
                <w:kern w:val="0"/>
                <w:sz w:val="20"/>
              </w:rPr>
              <w:t>公开数量</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对外公开总数量</w:t>
            </w:r>
          </w:p>
        </w:tc>
      </w:tr>
      <w:tr>
        <w:tblPrEx>
          <w:tblCellMar>
            <w:top w:w="0" w:type="dxa"/>
            <w:left w:w="108" w:type="dxa"/>
            <w:bottom w:w="0" w:type="dxa"/>
            <w:right w:w="108" w:type="dxa"/>
          </w:tblCellMar>
        </w:tblPrEx>
        <w:trPr>
          <w:trHeight w:val="523"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规章</w:t>
            </w:r>
          </w:p>
        </w:tc>
        <w:tc>
          <w:tcPr>
            <w:tcW w:w="1152" w:type="pct"/>
            <w:tcBorders>
              <w:top w:val="single" w:color="auto" w:sz="4" w:space="0"/>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ascii="宋体" w:hAnsi="宋体" w:cs="宋体"/>
                <w:color w:val="000000"/>
                <w:kern w:val="0"/>
                <w:sz w:val="20"/>
              </w:rPr>
              <w:t xml:space="preserve">  </w:t>
            </w:r>
            <w:r>
              <w:rPr>
                <w:rFonts w:hint="eastAsia" w:ascii="宋体" w:hAnsi="宋体" w:cs="宋体"/>
                <w:color w:val="000000"/>
                <w:kern w:val="0"/>
                <w:sz w:val="20"/>
                <w:lang w:val="en-US" w:eastAsia="zh-CN"/>
              </w:rPr>
              <w:t>0</w:t>
            </w:r>
          </w:p>
        </w:tc>
        <w:tc>
          <w:tcPr>
            <w:tcW w:w="781" w:type="pct"/>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hint="eastAsia" w:ascii="宋体" w:eastAsia="宋体"/>
                <w:kern w:val="0"/>
                <w:sz w:val="24"/>
                <w:szCs w:val="24"/>
                <w:lang w:val="en-US" w:eastAsia="zh-CN"/>
              </w:rPr>
            </w:pPr>
            <w:r>
              <w:rPr>
                <w:rFonts w:ascii="宋体"/>
                <w:color w:val="000000"/>
                <w:kern w:val="0"/>
                <w:sz w:val="20"/>
              </w:rPr>
              <w:t> </w:t>
            </w:r>
            <w:r>
              <w:rPr>
                <w:rFonts w:hint="eastAsia" w:ascii="宋体"/>
                <w:color w:val="000000"/>
                <w:kern w:val="0"/>
                <w:sz w:val="20"/>
                <w:lang w:val="en-US" w:eastAsia="zh-CN"/>
              </w:rPr>
              <w:t>0</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r>
      <w:tr>
        <w:tblPrEx>
          <w:tblCellMar>
            <w:top w:w="0" w:type="dxa"/>
            <w:left w:w="108" w:type="dxa"/>
            <w:bottom w:w="0" w:type="dxa"/>
            <w:right w:w="108" w:type="dxa"/>
          </w:tblCellMar>
        </w:tblPrEx>
        <w:trPr>
          <w:trHeight w:val="471"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规范性文件</w:t>
            </w:r>
          </w:p>
        </w:tc>
        <w:tc>
          <w:tcPr>
            <w:tcW w:w="1152"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ascii="宋体" w:hAnsi="宋体" w:cs="宋体"/>
                <w:color w:val="000000"/>
                <w:kern w:val="0"/>
                <w:sz w:val="20"/>
              </w:rPr>
              <w:t xml:space="preserve">  </w:t>
            </w:r>
            <w:r>
              <w:rPr>
                <w:rFonts w:hint="eastAsia" w:ascii="宋体" w:hAnsi="宋体" w:cs="宋体"/>
                <w:color w:val="000000"/>
                <w:kern w:val="0"/>
                <w:sz w:val="20"/>
                <w:lang w:val="en-US" w:eastAsia="zh-CN"/>
              </w:rPr>
              <w:t>0</w:t>
            </w:r>
          </w:p>
        </w:tc>
        <w:tc>
          <w:tcPr>
            <w:tcW w:w="781" w:type="pct"/>
            <w:gridSpan w:val="2"/>
            <w:tcBorders>
              <w:top w:val="nil"/>
              <w:left w:val="nil"/>
              <w:bottom w:val="single" w:color="auto" w:sz="4" w:space="0"/>
              <w:right w:val="single" w:color="auto" w:sz="4" w:space="0"/>
            </w:tcBorders>
            <w:noWrap w:val="0"/>
            <w:vAlign w:val="center"/>
          </w:tcPr>
          <w:p>
            <w:pPr>
              <w:spacing w:before="100" w:beforeAutospacing="1" w:after="100" w:afterAutospacing="1"/>
              <w:jc w:val="left"/>
              <w:rPr>
                <w:rFonts w:hint="eastAsia" w:ascii="宋体" w:eastAsia="宋体"/>
                <w:kern w:val="0"/>
                <w:sz w:val="24"/>
                <w:szCs w:val="24"/>
                <w:lang w:val="en-US" w:eastAsia="zh-CN"/>
              </w:rPr>
            </w:pPr>
            <w:r>
              <w:rPr>
                <w:rFonts w:ascii="宋体"/>
                <w:color w:val="000000"/>
                <w:kern w:val="0"/>
                <w:sz w:val="20"/>
              </w:rPr>
              <w:t> </w:t>
            </w:r>
            <w:r>
              <w:rPr>
                <w:rFonts w:hint="eastAsia" w:ascii="宋体"/>
                <w:color w:val="000000"/>
                <w:kern w:val="0"/>
                <w:sz w:val="20"/>
                <w:lang w:val="en-US" w:eastAsia="zh-CN"/>
              </w:rPr>
              <w:t>0</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r>
      <w:tr>
        <w:tblPrEx>
          <w:tblCellMar>
            <w:top w:w="0" w:type="dxa"/>
            <w:left w:w="108" w:type="dxa"/>
            <w:bottom w:w="0" w:type="dxa"/>
            <w:right w:w="108" w:type="dxa"/>
          </w:tblCellMar>
        </w:tblPrEx>
        <w:trPr>
          <w:trHeight w:val="48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第二十条第（五）项</w:t>
            </w:r>
          </w:p>
        </w:tc>
      </w:tr>
      <w:tr>
        <w:tblPrEx>
          <w:tblCellMar>
            <w:top w:w="0" w:type="dxa"/>
            <w:left w:w="108" w:type="dxa"/>
            <w:bottom w:w="0" w:type="dxa"/>
            <w:right w:w="108" w:type="dxa"/>
          </w:tblCellMar>
        </w:tblPrEx>
        <w:trPr>
          <w:trHeight w:val="634"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信息内容</w:t>
            </w:r>
          </w:p>
        </w:tc>
        <w:tc>
          <w:tcPr>
            <w:tcW w:w="1152" w:type="pct"/>
            <w:tcBorders>
              <w:top w:val="single" w:color="auto" w:sz="4" w:space="0"/>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上一年项目数量</w:t>
            </w:r>
          </w:p>
        </w:tc>
        <w:tc>
          <w:tcPr>
            <w:tcW w:w="781" w:type="pct"/>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本年增</w:t>
            </w:r>
            <w:r>
              <w:rPr>
                <w:rFonts w:ascii="宋体" w:hAnsi="宋体" w:cs="宋体"/>
                <w:color w:val="000000"/>
                <w:kern w:val="0"/>
                <w:sz w:val="20"/>
              </w:rPr>
              <w:t>/</w:t>
            </w:r>
            <w:r>
              <w:rPr>
                <w:rFonts w:hint="eastAsia" w:ascii="宋体" w:hAnsi="宋体" w:cs="宋体"/>
                <w:color w:val="000000"/>
                <w:kern w:val="0"/>
                <w:sz w:val="20"/>
              </w:rPr>
              <w:t>减</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处理决定数量</w:t>
            </w:r>
          </w:p>
        </w:tc>
      </w:tr>
      <w:tr>
        <w:tblPrEx>
          <w:tblCellMar>
            <w:top w:w="0" w:type="dxa"/>
            <w:left w:w="108" w:type="dxa"/>
            <w:bottom w:w="0" w:type="dxa"/>
            <w:right w:w="108" w:type="dxa"/>
          </w:tblCellMar>
        </w:tblPrEx>
        <w:trPr>
          <w:trHeight w:val="528"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行政许可</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777"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r>
      <w:tr>
        <w:tblPrEx>
          <w:tblCellMar>
            <w:top w:w="0" w:type="dxa"/>
            <w:left w:w="108" w:type="dxa"/>
            <w:bottom w:w="0" w:type="dxa"/>
            <w:right w:w="108" w:type="dxa"/>
          </w:tblCellMar>
        </w:tblPrEx>
        <w:trPr>
          <w:trHeight w:val="550"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其他对外管理服务事项</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777"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r>
      <w:tr>
        <w:tblPrEx>
          <w:tblCellMar>
            <w:top w:w="0" w:type="dxa"/>
            <w:left w:w="108" w:type="dxa"/>
            <w:bottom w:w="0" w:type="dxa"/>
            <w:right w:w="108" w:type="dxa"/>
          </w:tblCellMar>
        </w:tblPrEx>
        <w:trPr>
          <w:trHeight w:val="40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第二十条第（六）项</w:t>
            </w:r>
          </w:p>
        </w:tc>
      </w:tr>
      <w:tr>
        <w:tblPrEx>
          <w:tblCellMar>
            <w:top w:w="0" w:type="dxa"/>
            <w:left w:w="108" w:type="dxa"/>
            <w:bottom w:w="0" w:type="dxa"/>
            <w:right w:w="108" w:type="dxa"/>
          </w:tblCellMar>
        </w:tblPrEx>
        <w:trPr>
          <w:trHeight w:val="634"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信息内容</w:t>
            </w:r>
          </w:p>
        </w:tc>
        <w:tc>
          <w:tcPr>
            <w:tcW w:w="1152" w:type="pct"/>
            <w:tcBorders>
              <w:top w:val="single" w:color="auto" w:sz="4" w:space="0"/>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上一年项目数量</w:t>
            </w:r>
          </w:p>
        </w:tc>
        <w:tc>
          <w:tcPr>
            <w:tcW w:w="781" w:type="pct"/>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本年增</w:t>
            </w:r>
            <w:r>
              <w:rPr>
                <w:rFonts w:ascii="宋体" w:hAnsi="宋体" w:cs="宋体"/>
                <w:color w:val="000000"/>
                <w:kern w:val="0"/>
                <w:sz w:val="20"/>
              </w:rPr>
              <w:t>/</w:t>
            </w:r>
            <w:r>
              <w:rPr>
                <w:rFonts w:hint="eastAsia" w:ascii="宋体" w:hAnsi="宋体" w:cs="宋体"/>
                <w:color w:val="000000"/>
                <w:kern w:val="0"/>
                <w:sz w:val="20"/>
              </w:rPr>
              <w:t>减</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处理决定数量</w:t>
            </w:r>
          </w:p>
        </w:tc>
      </w:tr>
      <w:tr>
        <w:tblPrEx>
          <w:tblCellMar>
            <w:top w:w="0" w:type="dxa"/>
            <w:left w:w="108" w:type="dxa"/>
            <w:bottom w:w="0" w:type="dxa"/>
            <w:right w:w="108" w:type="dxa"/>
          </w:tblCellMar>
        </w:tblPrEx>
        <w:trPr>
          <w:trHeight w:val="430"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行政处罚</w:t>
            </w:r>
          </w:p>
        </w:tc>
        <w:tc>
          <w:tcPr>
            <w:tcW w:w="1155" w:type="pct"/>
            <w:gridSpan w:val="2"/>
            <w:tcBorders>
              <w:top w:val="single" w:color="auto" w:sz="4" w:space="0"/>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777" w:type="pct"/>
            <w:tcBorders>
              <w:top w:val="single" w:color="auto" w:sz="4" w:space="0"/>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r>
      <w:tr>
        <w:tblPrEx>
          <w:tblCellMar>
            <w:top w:w="0" w:type="dxa"/>
            <w:left w:w="108" w:type="dxa"/>
            <w:bottom w:w="0" w:type="dxa"/>
            <w:right w:w="108" w:type="dxa"/>
          </w:tblCellMar>
        </w:tblPrEx>
        <w:trPr>
          <w:trHeight w:val="409"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行政强制</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777"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1155" w:type="pct"/>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r>
      <w:tr>
        <w:tblPrEx>
          <w:tblCellMar>
            <w:top w:w="0" w:type="dxa"/>
            <w:left w:w="108" w:type="dxa"/>
            <w:bottom w:w="0" w:type="dxa"/>
            <w:right w:w="108" w:type="dxa"/>
          </w:tblCellMar>
        </w:tblPrEx>
        <w:trPr>
          <w:trHeight w:val="47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第二十条第（八）项</w:t>
            </w:r>
          </w:p>
        </w:tc>
      </w:tr>
      <w:tr>
        <w:tblPrEx>
          <w:tblCellMar>
            <w:top w:w="0" w:type="dxa"/>
            <w:left w:w="108" w:type="dxa"/>
            <w:bottom w:w="0" w:type="dxa"/>
            <w:right w:w="108" w:type="dxa"/>
          </w:tblCellMar>
        </w:tblPrEx>
        <w:trPr>
          <w:trHeight w:val="270"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信息内容</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上一年项目数量</w:t>
            </w:r>
          </w:p>
        </w:tc>
        <w:tc>
          <w:tcPr>
            <w:tcW w:w="1932" w:type="pct"/>
            <w:gridSpan w:val="2"/>
            <w:tcBorders>
              <w:top w:val="single" w:color="auto" w:sz="4" w:space="0"/>
              <w:left w:val="nil"/>
              <w:bottom w:val="single" w:color="auto" w:sz="4" w:space="0"/>
              <w:right w:val="single" w:color="000000"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本年增</w:t>
            </w:r>
            <w:r>
              <w:rPr>
                <w:rFonts w:ascii="宋体" w:hAnsi="宋体" w:cs="宋体"/>
                <w:color w:val="000000"/>
                <w:kern w:val="0"/>
                <w:sz w:val="20"/>
              </w:rPr>
              <w:t>/</w:t>
            </w:r>
            <w:r>
              <w:rPr>
                <w:rFonts w:hint="eastAsia" w:ascii="宋体" w:hAnsi="宋体" w:cs="宋体"/>
                <w:color w:val="000000"/>
                <w:kern w:val="0"/>
                <w:sz w:val="20"/>
              </w:rPr>
              <w:t>减</w:t>
            </w:r>
          </w:p>
        </w:tc>
      </w:tr>
      <w:tr>
        <w:tblPrEx>
          <w:tblCellMar>
            <w:top w:w="0" w:type="dxa"/>
            <w:left w:w="108" w:type="dxa"/>
            <w:bottom w:w="0" w:type="dxa"/>
            <w:right w:w="108" w:type="dxa"/>
          </w:tblCellMar>
        </w:tblPrEx>
        <w:trPr>
          <w:trHeight w:val="551"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行政事业性收费</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1932" w:type="pct"/>
            <w:gridSpan w:val="2"/>
            <w:tcBorders>
              <w:top w:val="single" w:color="auto" w:sz="4" w:space="0"/>
              <w:left w:val="nil"/>
              <w:bottom w:val="single" w:color="auto" w:sz="4" w:space="0"/>
              <w:right w:val="single" w:color="000000" w:sz="4" w:space="0"/>
            </w:tcBorders>
            <w:noWrap/>
            <w:vAlign w:val="center"/>
          </w:tcPr>
          <w:p>
            <w:pPr>
              <w:spacing w:before="100" w:beforeAutospacing="1" w:after="100" w:afterAutospacing="1"/>
              <w:jc w:val="center"/>
              <w:rPr>
                <w:rFonts w:ascii="宋体"/>
                <w:kern w:val="0"/>
                <w:sz w:val="24"/>
                <w:szCs w:val="24"/>
              </w:rPr>
            </w:pPr>
            <w:r>
              <w:rPr>
                <w:rFonts w:hint="eastAsia" w:ascii="宋体"/>
                <w:color w:val="000000"/>
                <w:kern w:val="0"/>
                <w:sz w:val="20"/>
                <w:lang w:val="en-US" w:eastAsia="zh-CN"/>
              </w:rPr>
              <w:t>0</w:t>
            </w:r>
            <w:r>
              <w:rPr>
                <w:rFonts w:ascii="宋体"/>
                <w:color w:val="000000"/>
                <w:kern w:val="0"/>
                <w:sz w:val="20"/>
              </w:rPr>
              <w:t> </w:t>
            </w:r>
          </w:p>
        </w:tc>
      </w:tr>
      <w:tr>
        <w:tblPrEx>
          <w:tblCellMar>
            <w:top w:w="0" w:type="dxa"/>
            <w:left w:w="108" w:type="dxa"/>
            <w:bottom w:w="0" w:type="dxa"/>
            <w:right w:w="108" w:type="dxa"/>
          </w:tblCellMar>
        </w:tblPrEx>
        <w:trPr>
          <w:trHeight w:val="47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第二十条第（九）项</w:t>
            </w:r>
          </w:p>
        </w:tc>
      </w:tr>
      <w:tr>
        <w:tblPrEx>
          <w:tblCellMar>
            <w:top w:w="0" w:type="dxa"/>
            <w:left w:w="108" w:type="dxa"/>
            <w:bottom w:w="0" w:type="dxa"/>
            <w:right w:w="108" w:type="dxa"/>
          </w:tblCellMar>
        </w:tblPrEx>
        <w:trPr>
          <w:trHeight w:val="585"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信息内容</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采购项目数量</w:t>
            </w:r>
          </w:p>
        </w:tc>
        <w:tc>
          <w:tcPr>
            <w:tcW w:w="1932" w:type="pct"/>
            <w:gridSpan w:val="2"/>
            <w:tcBorders>
              <w:top w:val="single" w:color="auto" w:sz="4" w:space="0"/>
              <w:left w:val="nil"/>
              <w:bottom w:val="single" w:color="auto" w:sz="4" w:space="0"/>
              <w:right w:val="single" w:color="000000" w:sz="4" w:space="0"/>
            </w:tcBorders>
            <w:noWrap/>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采购总金额</w:t>
            </w:r>
          </w:p>
        </w:tc>
      </w:tr>
      <w:tr>
        <w:tblPrEx>
          <w:tblCellMar>
            <w:top w:w="0" w:type="dxa"/>
            <w:left w:w="108" w:type="dxa"/>
            <w:bottom w:w="0" w:type="dxa"/>
            <w:right w:w="108" w:type="dxa"/>
          </w:tblCellMar>
        </w:tblPrEx>
        <w:trPr>
          <w:trHeight w:val="539" w:hRule="atLeast"/>
          <w:jc w:val="center"/>
        </w:trPr>
        <w:tc>
          <w:tcPr>
            <w:tcW w:w="1912" w:type="pct"/>
            <w:tcBorders>
              <w:top w:val="nil"/>
              <w:left w:val="single" w:color="auto" w:sz="4" w:space="0"/>
              <w:bottom w:val="single" w:color="auto" w:sz="4" w:space="0"/>
              <w:right w:val="single" w:color="auto" w:sz="4" w:space="0"/>
            </w:tcBorders>
            <w:noWrap/>
            <w:vAlign w:val="center"/>
          </w:tcPr>
          <w:p>
            <w:pPr>
              <w:spacing w:before="100" w:beforeAutospacing="1" w:after="100" w:afterAutospacing="1"/>
              <w:jc w:val="left"/>
              <w:rPr>
                <w:rFonts w:ascii="宋体"/>
                <w:kern w:val="0"/>
                <w:sz w:val="24"/>
                <w:szCs w:val="24"/>
              </w:rPr>
            </w:pPr>
            <w:r>
              <w:rPr>
                <w:rFonts w:hint="eastAsia" w:ascii="宋体" w:hAnsi="宋体" w:cs="宋体"/>
                <w:color w:val="000000"/>
                <w:kern w:val="0"/>
                <w:sz w:val="20"/>
              </w:rPr>
              <w:t>政府集中采购</w:t>
            </w:r>
          </w:p>
        </w:tc>
        <w:tc>
          <w:tcPr>
            <w:tcW w:w="1155" w:type="pct"/>
            <w:gridSpan w:val="2"/>
            <w:tcBorders>
              <w:top w:val="nil"/>
              <w:left w:val="nil"/>
              <w:bottom w:val="single" w:color="auto" w:sz="4" w:space="0"/>
              <w:right w:val="single" w:color="auto" w:sz="4" w:space="0"/>
            </w:tcBorders>
            <w:noWrap/>
            <w:vAlign w:val="center"/>
          </w:tcPr>
          <w:p>
            <w:pPr>
              <w:spacing w:before="100" w:beforeAutospacing="1" w:after="100" w:afterAutospacing="1"/>
              <w:jc w:val="left"/>
              <w:rPr>
                <w:rFonts w:hint="eastAsia" w:ascii="宋体" w:eastAsia="宋体"/>
                <w:kern w:val="0"/>
                <w:sz w:val="24"/>
                <w:szCs w:val="24"/>
                <w:lang w:val="en-US" w:eastAsia="zh-CN"/>
              </w:rPr>
            </w:pPr>
            <w:r>
              <w:rPr>
                <w:rFonts w:hint="eastAsia" w:ascii="宋体" w:hAnsi="宋体" w:cs="宋体"/>
                <w:color w:val="000000"/>
                <w:kern w:val="0"/>
                <w:sz w:val="20"/>
              </w:rPr>
              <w:t>　</w:t>
            </w:r>
            <w:r>
              <w:rPr>
                <w:rFonts w:hint="eastAsia" w:ascii="宋体" w:hAnsi="宋体" w:cs="宋体"/>
                <w:color w:val="000000"/>
                <w:kern w:val="0"/>
                <w:sz w:val="20"/>
                <w:lang w:val="en-US" w:eastAsia="zh-CN"/>
              </w:rPr>
              <w:t>0</w:t>
            </w:r>
          </w:p>
        </w:tc>
        <w:tc>
          <w:tcPr>
            <w:tcW w:w="1932" w:type="pct"/>
            <w:gridSpan w:val="2"/>
            <w:tcBorders>
              <w:top w:val="single" w:color="auto" w:sz="4" w:space="0"/>
              <w:left w:val="nil"/>
              <w:bottom w:val="single" w:color="auto" w:sz="4" w:space="0"/>
              <w:right w:val="single" w:color="000000" w:sz="4" w:space="0"/>
            </w:tcBorders>
            <w:noWrap/>
            <w:vAlign w:val="center"/>
          </w:tcPr>
          <w:p>
            <w:pPr>
              <w:jc w:val="left"/>
              <w:rPr>
                <w:rFonts w:hint="eastAsia" w:ascii="宋体" w:eastAsia="宋体"/>
                <w:kern w:val="0"/>
                <w:sz w:val="24"/>
                <w:szCs w:val="24"/>
                <w:lang w:val="en-US" w:eastAsia="zh-CN"/>
              </w:rPr>
            </w:pPr>
            <w:r>
              <w:rPr>
                <w:rFonts w:hint="eastAsia" w:ascii="宋体"/>
                <w:kern w:val="0"/>
                <w:sz w:val="24"/>
                <w:szCs w:val="24"/>
                <w:lang w:val="en-US" w:eastAsia="zh-CN"/>
              </w:rPr>
              <w:t>0</w:t>
            </w:r>
          </w:p>
        </w:tc>
      </w:tr>
    </w:tbl>
    <w:p>
      <w:pPr>
        <w:widowControl w:val="0"/>
        <w:spacing w:line="590" w:lineRule="exact"/>
        <w:rPr>
          <w:rFonts w:hint="eastAsia" w:ascii="方正黑体_GBK" w:eastAsia="方正黑体_GBK"/>
          <w:sz w:val="32"/>
          <w:szCs w:val="32"/>
          <w:lang w:eastAsia="zh-CN"/>
        </w:rPr>
      </w:pPr>
      <w:r>
        <w:rPr>
          <w:rFonts w:hint="eastAsia" w:ascii="方正黑体_GBK" w:eastAsia="方正黑体_GBK"/>
          <w:sz w:val="32"/>
          <w:szCs w:val="32"/>
          <w:lang w:eastAsia="zh-CN"/>
        </w:rPr>
        <w:t>三、收到和处理政府信息公开申请情况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325"/>
        <w:gridCol w:w="630"/>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7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color w:val="000000"/>
                <w:sz w:val="20"/>
              </w:rPr>
              <w:t>（本列数据的勾稽关系为：第一项加第二项之和，等于第三项加第四项之和）</w:t>
            </w:r>
          </w:p>
        </w:tc>
        <w:tc>
          <w:tcPr>
            <w:tcW w:w="5397" w:type="dxa"/>
            <w:gridSpan w:val="7"/>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7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630" w:type="dxa"/>
            <w:vMerge w:val="restart"/>
            <w:tcBorders>
              <w:top w:val="nil"/>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自然人</w:t>
            </w:r>
          </w:p>
        </w:tc>
        <w:tc>
          <w:tcPr>
            <w:tcW w:w="4065" w:type="dxa"/>
            <w:gridSpan w:val="5"/>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法人或其他组织</w:t>
            </w:r>
          </w:p>
        </w:tc>
        <w:tc>
          <w:tcPr>
            <w:tcW w:w="702"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7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630"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商业企业</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科研机构</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社会公益组织</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法律服务机构</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其他</w:t>
            </w:r>
          </w:p>
        </w:tc>
        <w:tc>
          <w:tcPr>
            <w:tcW w:w="702" w:type="dxa"/>
            <w:vMerge w:val="continue"/>
            <w:tcBorders>
              <w:top w:val="single" w:color="auto" w:sz="4" w:space="0"/>
              <w:left w:val="nil"/>
              <w:bottom w:val="single" w:color="auto" w:sz="4" w:space="0"/>
              <w:right w:val="single" w:color="auto" w:sz="4" w:space="0"/>
            </w:tcBorders>
            <w:noWrap w:val="0"/>
            <w:vAlign w:val="center"/>
          </w:tcPr>
          <w:p>
            <w:pPr>
              <w:jc w:val="left"/>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674"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cs="宋体"/>
                <w:sz w:val="20"/>
              </w:rPr>
              <w:t>一、本年新收政府信息公开申请数量</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674"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cs="宋体"/>
                <w:sz w:val="20"/>
              </w:rPr>
              <w:t>二、上年结转政府信息公开申请数量</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restart"/>
            <w:tcBorders>
              <w:top w:val="nil"/>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三、本年度办理结果</w:t>
            </w:r>
          </w:p>
        </w:tc>
        <w:tc>
          <w:tcPr>
            <w:tcW w:w="3180" w:type="dxa"/>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（一）予以公开</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3180" w:type="dxa"/>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（二）部分公开（区分处理的，只计这一情形，不计其他情形）</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restart"/>
            <w:tcBorders>
              <w:top w:val="nil"/>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（三）不予公开</w:t>
            </w: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1.</w:t>
            </w:r>
            <w:r>
              <w:rPr>
                <w:rFonts w:hint="eastAsia" w:ascii="楷体" w:hAnsi="楷体" w:eastAsia="楷体" w:cs="楷体"/>
                <w:sz w:val="20"/>
              </w:rPr>
              <w:t>属于国家秘密</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2.</w:t>
            </w:r>
            <w:r>
              <w:rPr>
                <w:rFonts w:hint="eastAsia" w:ascii="楷体" w:hAnsi="楷体" w:eastAsia="楷体" w:cs="楷体"/>
                <w:sz w:val="20"/>
              </w:rPr>
              <w:t>其他法律行政法规禁止公开</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3.</w:t>
            </w:r>
            <w:r>
              <w:rPr>
                <w:rFonts w:hint="eastAsia" w:ascii="楷体" w:hAnsi="楷体" w:eastAsia="楷体" w:cs="楷体"/>
                <w:sz w:val="20"/>
              </w:rPr>
              <w:t>危及“三安全一稳定”</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4.</w:t>
            </w:r>
            <w:r>
              <w:rPr>
                <w:rFonts w:hint="eastAsia" w:ascii="楷体" w:hAnsi="楷体" w:eastAsia="楷体" w:cs="楷体"/>
                <w:sz w:val="20"/>
              </w:rPr>
              <w:t>保护第三方合法权益</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5.</w:t>
            </w:r>
            <w:r>
              <w:rPr>
                <w:rFonts w:hint="eastAsia" w:ascii="楷体" w:hAnsi="楷体" w:eastAsia="楷体" w:cs="楷体"/>
                <w:sz w:val="20"/>
              </w:rPr>
              <w:t>属于三类内部事务信息</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6.</w:t>
            </w:r>
            <w:r>
              <w:rPr>
                <w:rFonts w:hint="eastAsia" w:ascii="楷体" w:hAnsi="楷体" w:eastAsia="楷体" w:cs="楷体"/>
                <w:sz w:val="20"/>
              </w:rPr>
              <w:t>属于四类过程性信息</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7.</w:t>
            </w:r>
            <w:r>
              <w:rPr>
                <w:rFonts w:hint="eastAsia" w:ascii="楷体" w:hAnsi="楷体" w:eastAsia="楷体" w:cs="楷体"/>
                <w:sz w:val="20"/>
              </w:rPr>
              <w:t>属于行政执法案卷</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8.</w:t>
            </w:r>
            <w:r>
              <w:rPr>
                <w:rFonts w:hint="eastAsia" w:ascii="楷体" w:hAnsi="楷体" w:eastAsia="楷体" w:cs="楷体"/>
                <w:sz w:val="20"/>
              </w:rPr>
              <w:t>属于行政查询事项</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restart"/>
            <w:tcBorders>
              <w:top w:val="nil"/>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（四）无法提供</w:t>
            </w: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1.</w:t>
            </w:r>
            <w:r>
              <w:rPr>
                <w:rFonts w:hint="eastAsia" w:ascii="楷体" w:hAnsi="楷体" w:eastAsia="楷体" w:cs="楷体"/>
                <w:sz w:val="20"/>
              </w:rPr>
              <w:t>本机关不掌握相关政府信息</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2.</w:t>
            </w:r>
            <w:r>
              <w:rPr>
                <w:rFonts w:hint="eastAsia" w:ascii="楷体" w:hAnsi="楷体" w:eastAsia="楷体" w:cs="楷体"/>
                <w:sz w:val="20"/>
              </w:rPr>
              <w:t>没有现成信息需要另行制作</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3.</w:t>
            </w:r>
            <w:r>
              <w:rPr>
                <w:rFonts w:hint="eastAsia" w:ascii="楷体" w:hAnsi="楷体" w:eastAsia="楷体" w:cs="楷体"/>
                <w:sz w:val="20"/>
              </w:rPr>
              <w:t>补正后申请内容仍不明确</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restart"/>
            <w:tcBorders>
              <w:top w:val="nil"/>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（五）不予处理</w:t>
            </w: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1.</w:t>
            </w:r>
            <w:r>
              <w:rPr>
                <w:rFonts w:hint="eastAsia" w:ascii="楷体" w:hAnsi="楷体" w:eastAsia="楷体" w:cs="楷体"/>
                <w:sz w:val="20"/>
              </w:rPr>
              <w:t>信访举报投诉类申请</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2.</w:t>
            </w:r>
            <w:r>
              <w:rPr>
                <w:rFonts w:hint="eastAsia" w:ascii="楷体" w:hAnsi="楷体" w:eastAsia="楷体" w:cs="楷体"/>
                <w:sz w:val="20"/>
              </w:rPr>
              <w:t>重复申请</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3.</w:t>
            </w:r>
            <w:r>
              <w:rPr>
                <w:rFonts w:hint="eastAsia" w:ascii="楷体" w:hAnsi="楷体" w:eastAsia="楷体" w:cs="楷体"/>
                <w:sz w:val="20"/>
              </w:rPr>
              <w:t>要求提供公开出版物</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4.</w:t>
            </w:r>
            <w:r>
              <w:rPr>
                <w:rFonts w:hint="eastAsia" w:ascii="楷体" w:hAnsi="楷体" w:eastAsia="楷体" w:cs="楷体"/>
                <w:sz w:val="20"/>
              </w:rPr>
              <w:t>无正当理由大量反复申请</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855"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23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ascii="楷体" w:hAnsi="楷体" w:eastAsia="楷体" w:cs="楷体"/>
                <w:sz w:val="20"/>
              </w:rPr>
              <w:t>5.</w:t>
            </w:r>
            <w:r>
              <w:rPr>
                <w:rFonts w:hint="eastAsia" w:ascii="楷体" w:hAnsi="楷体" w:eastAsia="楷体" w:cs="楷体"/>
                <w:sz w:val="20"/>
              </w:rPr>
              <w:t>要求行政机关确认或重新出具已获取信息</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3180" w:type="dxa"/>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（六）其他处理</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3180" w:type="dxa"/>
            <w:gridSpan w:val="2"/>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ascii="楷体" w:hAnsi="楷体" w:eastAsia="楷体" w:cs="楷体"/>
                <w:sz w:val="20"/>
              </w:rPr>
              <w:t>（七）总计</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674" w:type="dxa"/>
            <w:gridSpan w:val="3"/>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left"/>
              <w:rPr>
                <w:rFonts w:ascii="宋体"/>
                <w:kern w:val="0"/>
                <w:sz w:val="24"/>
                <w:szCs w:val="24"/>
              </w:rPr>
            </w:pPr>
            <w:r>
              <w:rPr>
                <w:rFonts w:hint="eastAsia" w:cs="宋体"/>
                <w:sz w:val="20"/>
              </w:rPr>
              <w:t>四、结转下年度继续办理</w:t>
            </w:r>
          </w:p>
        </w:tc>
        <w:tc>
          <w:tcPr>
            <w:tcW w:w="6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6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82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99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2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702" w:type="dxa"/>
            <w:tcBorders>
              <w:top w:val="single" w:color="auto" w:sz="4" w:space="0"/>
              <w:left w:val="nil"/>
              <w:bottom w:val="single" w:color="auto" w:sz="4" w:space="0"/>
              <w:right w:val="single" w:color="auto" w:sz="4" w:space="0"/>
            </w:tcBorders>
            <w:noWrap w:val="0"/>
            <w:vAlign w:val="center"/>
          </w:tcPr>
          <w:p>
            <w:pPr>
              <w:jc w:val="left"/>
              <w:rPr>
                <w:rFonts w:ascii="宋体"/>
                <w:kern w:val="0"/>
                <w:sz w:val="24"/>
                <w:szCs w:val="24"/>
              </w:rPr>
            </w:pPr>
          </w:p>
        </w:tc>
      </w:tr>
    </w:tbl>
    <w:p>
      <w:pPr>
        <w:widowControl w:val="0"/>
        <w:spacing w:line="590" w:lineRule="exact"/>
        <w:rPr>
          <w:rFonts w:hint="eastAsia" w:ascii="方正黑体_GBK" w:eastAsia="方正黑体_GBK"/>
          <w:sz w:val="32"/>
          <w:szCs w:val="32"/>
          <w:lang w:eastAsia="zh-CN"/>
        </w:rPr>
      </w:pPr>
      <w:r>
        <w:rPr>
          <w:rFonts w:hint="eastAsia" w:ascii="方正黑体_GBK" w:eastAsia="方正黑体_GBK"/>
          <w:sz w:val="32"/>
          <w:szCs w:val="32"/>
          <w:lang w:eastAsia="zh-CN"/>
        </w:rPr>
        <w:t>四、政府信息公开行政复议、行政诉讼情况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4" w:type="dxa"/>
            <w:gridSpan w:val="5"/>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行政复议</w:t>
            </w:r>
          </w:p>
        </w:tc>
        <w:tc>
          <w:tcPr>
            <w:tcW w:w="5997" w:type="dxa"/>
            <w:gridSpan w:val="10"/>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4" w:type="dxa"/>
            <w:vMerge w:val="restart"/>
            <w:tcBorders>
              <w:top w:val="nil"/>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结果维持</w:t>
            </w:r>
          </w:p>
        </w:tc>
        <w:tc>
          <w:tcPr>
            <w:tcW w:w="604" w:type="dxa"/>
            <w:vMerge w:val="restart"/>
            <w:tcBorders>
              <w:top w:val="nil"/>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结果纠正</w:t>
            </w:r>
          </w:p>
        </w:tc>
        <w:tc>
          <w:tcPr>
            <w:tcW w:w="604"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其他结果</w:t>
            </w:r>
          </w:p>
        </w:tc>
        <w:tc>
          <w:tcPr>
            <w:tcW w:w="604"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尚未审结</w:t>
            </w:r>
          </w:p>
        </w:tc>
        <w:tc>
          <w:tcPr>
            <w:tcW w:w="658" w:type="dxa"/>
            <w:vMerge w:val="restart"/>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总计</w:t>
            </w:r>
          </w:p>
        </w:tc>
        <w:tc>
          <w:tcPr>
            <w:tcW w:w="2970" w:type="dxa"/>
            <w:gridSpan w:val="5"/>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未经复议直接起诉</w:t>
            </w:r>
          </w:p>
        </w:tc>
        <w:tc>
          <w:tcPr>
            <w:tcW w:w="3027" w:type="dxa"/>
            <w:gridSpan w:val="5"/>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4" w:type="dxa"/>
            <w:vMerge w:val="continue"/>
            <w:tcBorders>
              <w:top w:val="nil"/>
              <w:left w:val="single" w:color="auto" w:sz="4" w:space="0"/>
              <w:bottom w:val="single" w:color="auto" w:sz="4" w:space="0"/>
              <w:right w:val="single" w:color="auto" w:sz="4" w:space="0"/>
            </w:tcBorders>
            <w:noWrap w:val="0"/>
            <w:vAlign w:val="center"/>
          </w:tcPr>
          <w:p>
            <w:pPr>
              <w:jc w:val="left"/>
              <w:rPr>
                <w:rFonts w:ascii="宋体"/>
                <w:kern w:val="0"/>
                <w:sz w:val="24"/>
                <w:szCs w:val="24"/>
              </w:rPr>
            </w:pPr>
          </w:p>
        </w:tc>
        <w:tc>
          <w:tcPr>
            <w:tcW w:w="604" w:type="dxa"/>
            <w:vMerge w:val="continue"/>
            <w:tcBorders>
              <w:top w:val="nil"/>
              <w:left w:val="nil"/>
              <w:bottom w:val="single" w:color="auto" w:sz="4" w:space="0"/>
              <w:right w:val="single" w:color="auto" w:sz="4" w:space="0"/>
            </w:tcBorders>
            <w:noWrap w:val="0"/>
            <w:vAlign w:val="center"/>
          </w:tcPr>
          <w:p>
            <w:pPr>
              <w:jc w:val="left"/>
              <w:rPr>
                <w:rFonts w:ascii="宋体"/>
                <w:kern w:val="0"/>
                <w:sz w:val="24"/>
                <w:szCs w:val="24"/>
              </w:rPr>
            </w:pPr>
          </w:p>
        </w:tc>
        <w:tc>
          <w:tcPr>
            <w:tcW w:w="604" w:type="dxa"/>
            <w:vMerge w:val="continue"/>
            <w:tcBorders>
              <w:top w:val="single" w:color="auto" w:sz="4" w:space="0"/>
              <w:left w:val="nil"/>
              <w:bottom w:val="single" w:color="auto" w:sz="4" w:space="0"/>
              <w:right w:val="single" w:color="auto" w:sz="4" w:space="0"/>
            </w:tcBorders>
            <w:noWrap w:val="0"/>
            <w:vAlign w:val="center"/>
          </w:tcPr>
          <w:p>
            <w:pPr>
              <w:jc w:val="left"/>
              <w:rPr>
                <w:rFonts w:ascii="宋体"/>
                <w:kern w:val="0"/>
                <w:sz w:val="24"/>
                <w:szCs w:val="24"/>
              </w:rPr>
            </w:pPr>
          </w:p>
        </w:tc>
        <w:tc>
          <w:tcPr>
            <w:tcW w:w="604" w:type="dxa"/>
            <w:vMerge w:val="continue"/>
            <w:tcBorders>
              <w:top w:val="single" w:color="auto" w:sz="4" w:space="0"/>
              <w:left w:val="nil"/>
              <w:bottom w:val="single" w:color="auto" w:sz="4" w:space="0"/>
              <w:right w:val="single" w:color="auto" w:sz="4" w:space="0"/>
            </w:tcBorders>
            <w:noWrap w:val="0"/>
            <w:vAlign w:val="center"/>
          </w:tcPr>
          <w:p>
            <w:pPr>
              <w:jc w:val="left"/>
              <w:rPr>
                <w:rFonts w:ascii="宋体"/>
                <w:kern w:val="0"/>
                <w:sz w:val="24"/>
                <w:szCs w:val="24"/>
              </w:rPr>
            </w:pPr>
          </w:p>
        </w:tc>
        <w:tc>
          <w:tcPr>
            <w:tcW w:w="658" w:type="dxa"/>
            <w:vMerge w:val="continue"/>
            <w:tcBorders>
              <w:top w:val="single" w:color="auto" w:sz="4" w:space="0"/>
              <w:left w:val="nil"/>
              <w:bottom w:val="single" w:color="auto" w:sz="4" w:space="0"/>
              <w:right w:val="single" w:color="auto" w:sz="4" w:space="0"/>
            </w:tcBorders>
            <w:noWrap w:val="0"/>
            <w:vAlign w:val="center"/>
          </w:tcPr>
          <w:p>
            <w:pPr>
              <w:jc w:val="left"/>
              <w:rPr>
                <w:rFonts w:ascii="宋体"/>
                <w:kern w:val="0"/>
                <w:sz w:val="24"/>
                <w:szCs w:val="24"/>
              </w:rPr>
            </w:pPr>
          </w:p>
        </w:tc>
        <w:tc>
          <w:tcPr>
            <w:tcW w:w="55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结果维持</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结果纠正</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其他结果</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尚未审结</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总计</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结果维持</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结果纠正</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其他结果</w:t>
            </w:r>
          </w:p>
        </w:tc>
        <w:tc>
          <w:tcPr>
            <w:tcW w:w="60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cs="宋体"/>
                <w:sz w:val="20"/>
              </w:rPr>
              <w:t>尚未审结</w:t>
            </w:r>
          </w:p>
        </w:tc>
        <w:tc>
          <w:tcPr>
            <w:tcW w:w="60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hint="eastAsia" w:ascii="宋体" w:hAnsi="宋体" w:cs="宋体"/>
                <w:color w:val="000000"/>
                <w:kern w:val="0"/>
                <w:sz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4"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5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55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ascii="宋体"/>
                <w:color w:val="000000"/>
                <w:kern w:val="0"/>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rFonts w:ascii="宋体"/>
                <w:color w:val="000000"/>
                <w:kern w:val="0"/>
                <w:sz w:val="20"/>
              </w:rPr>
              <w:t> </w:t>
            </w:r>
          </w:p>
        </w:tc>
        <w:tc>
          <w:tcPr>
            <w:tcW w:w="60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kern w:val="0"/>
                <w:sz w:val="24"/>
                <w:szCs w:val="24"/>
              </w:rPr>
            </w:pPr>
            <w:r>
              <w:rPr>
                <w:sz w:val="20"/>
              </w:rPr>
              <w:t> </w:t>
            </w:r>
          </w:p>
        </w:tc>
        <w:tc>
          <w:tcPr>
            <w:tcW w:w="606" w:type="dxa"/>
            <w:tcBorders>
              <w:top w:val="single" w:color="auto" w:sz="4" w:space="0"/>
              <w:left w:val="nil"/>
              <w:bottom w:val="single" w:color="auto" w:sz="4" w:space="0"/>
              <w:right w:val="single" w:color="auto" w:sz="4" w:space="0"/>
            </w:tcBorders>
            <w:noWrap w:val="0"/>
            <w:vAlign w:val="center"/>
          </w:tcPr>
          <w:p>
            <w:pPr>
              <w:jc w:val="left"/>
              <w:rPr>
                <w:rFonts w:ascii="宋体"/>
                <w:kern w:val="0"/>
                <w:sz w:val="24"/>
                <w:szCs w:val="24"/>
              </w:rPr>
            </w:pPr>
          </w:p>
        </w:tc>
      </w:tr>
    </w:tbl>
    <w:p>
      <w:pPr>
        <w:widowControl w:val="0"/>
        <w:spacing w:line="590" w:lineRule="exact"/>
        <w:rPr>
          <w:rFonts w:hint="eastAsia" w:ascii="方正黑体_GBK" w:eastAsia="方正黑体_GBK"/>
          <w:sz w:val="32"/>
          <w:szCs w:val="32"/>
          <w:lang w:eastAsia="zh-CN"/>
        </w:rPr>
      </w:pPr>
      <w:r>
        <w:rPr>
          <w:rFonts w:hint="eastAsia" w:ascii="方正黑体_GBK" w:eastAsia="方正黑体_GBK"/>
          <w:sz w:val="32"/>
          <w:szCs w:val="32"/>
          <w:lang w:eastAsia="zh-CN"/>
        </w:rPr>
        <w:t>五、存在的主要问题及改进情况</w:t>
      </w:r>
    </w:p>
    <w:p>
      <w:pPr>
        <w:widowControl w:val="0"/>
        <w:spacing w:line="590" w:lineRule="exact"/>
        <w:ind w:firstLine="640" w:firstLineChars="200"/>
        <w:rPr>
          <w:rFonts w:hint="eastAsia" w:eastAsia="方正仿宋_GBK"/>
          <w:sz w:val="32"/>
          <w:szCs w:val="32"/>
          <w:lang w:eastAsia="zh-CN"/>
        </w:rPr>
      </w:pPr>
      <w:r>
        <w:rPr>
          <w:rFonts w:hint="eastAsia" w:eastAsia="方正仿宋_GBK"/>
          <w:sz w:val="32"/>
          <w:szCs w:val="32"/>
          <w:lang w:eastAsia="zh-CN"/>
        </w:rPr>
        <w:t>（一）存在问题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方正仿宋_GBK"/>
          <w:sz w:val="32"/>
          <w:szCs w:val="32"/>
          <w:lang w:eastAsia="zh-CN"/>
        </w:rPr>
      </w:pPr>
      <w:r>
        <w:rPr>
          <w:rFonts w:hint="eastAsia" w:eastAsia="方正仿宋_GBK"/>
          <w:sz w:val="32"/>
          <w:szCs w:val="32"/>
          <w:lang w:eastAsia="zh-CN"/>
        </w:rPr>
        <w:t>一是对信息公开工作还不够重视，导致信息公开不及时。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方正仿宋_GBK"/>
          <w:sz w:val="32"/>
          <w:szCs w:val="32"/>
          <w:lang w:eastAsia="zh-CN"/>
        </w:rPr>
      </w:pPr>
      <w:r>
        <w:rPr>
          <w:rFonts w:hint="eastAsia" w:eastAsia="方正仿宋_GBK"/>
          <w:sz w:val="32"/>
          <w:szCs w:val="32"/>
          <w:lang w:eastAsia="zh-CN"/>
        </w:rPr>
        <w:t>二是信息公开内容不够全面，不够深入，离群众的要求有一定的差距。</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方正仿宋_GBK"/>
          <w:sz w:val="32"/>
          <w:szCs w:val="32"/>
          <w:lang w:eastAsia="zh-CN"/>
        </w:rPr>
      </w:pPr>
      <w:r>
        <w:rPr>
          <w:rFonts w:hint="eastAsia" w:eastAsia="方正仿宋_GBK"/>
          <w:sz w:val="32"/>
          <w:szCs w:val="32"/>
          <w:lang w:eastAsia="zh-CN"/>
        </w:rPr>
        <w:t>三是信息公开工作业务水平有待进一步提升。</w:t>
      </w:r>
    </w:p>
    <w:p>
      <w:pPr>
        <w:widowControl w:val="0"/>
        <w:spacing w:line="590" w:lineRule="exact"/>
        <w:rPr>
          <w:rFonts w:hint="eastAsia" w:eastAsia="方正仿宋_GBK"/>
          <w:sz w:val="32"/>
          <w:szCs w:val="32"/>
          <w:lang w:eastAsia="zh-CN"/>
        </w:rPr>
      </w:pPr>
      <w:r>
        <w:rPr>
          <w:rFonts w:hint="eastAsia" w:eastAsia="方正仿宋_GBK"/>
          <w:sz w:val="32"/>
          <w:szCs w:val="32"/>
          <w:lang w:eastAsia="zh-CN"/>
        </w:rPr>
        <w:t>　　（二）整改措施</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方正仿宋_GBK"/>
          <w:sz w:val="32"/>
          <w:szCs w:val="32"/>
          <w:lang w:eastAsia="zh-CN"/>
        </w:rPr>
      </w:pPr>
      <w:r>
        <w:rPr>
          <w:rFonts w:hint="eastAsia" w:eastAsia="方正仿宋_GBK"/>
          <w:sz w:val="32"/>
          <w:szCs w:val="32"/>
          <w:lang w:eastAsia="zh-CN"/>
        </w:rPr>
        <w:t>一是切实提高认识，加强《中华人民共和国政府信息公开条例》的学习宣传。始终将政务公开作为本局的工作重要内容，认真抓好落实，进一步提高干部职工的思想认识，不断增强做好政务公开工作的责任感和使命感。</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方正仿宋_GBK"/>
          <w:sz w:val="32"/>
          <w:szCs w:val="32"/>
          <w:lang w:eastAsia="zh-CN"/>
        </w:rPr>
      </w:pPr>
      <w:r>
        <w:rPr>
          <w:rFonts w:hint="eastAsia" w:eastAsia="方正仿宋_GBK"/>
          <w:sz w:val="32"/>
          <w:szCs w:val="32"/>
          <w:lang w:eastAsia="zh-CN"/>
        </w:rPr>
        <w:t>二是丰富公开内容。按照“以公开为原则，不公开为例外”的总体要求，进一步做好公开和免予公开两类信息的界定。按照《中华人民共和国政府信息公开条例》等法规、规章、制度的规定，及时公开政务信息，公开内容做到真实、具体、全面。并在工作质量、态度、时效等方面进一步作出承诺，不断增强工作透明度。加强对公众关注度高的信息的梳理，充分征求公众意见，推动科学决策、民主决策。</w:t>
      </w:r>
    </w:p>
    <w:p>
      <w:pPr>
        <w:widowControl w:val="0"/>
        <w:numPr>
          <w:ilvl w:val="0"/>
          <w:numId w:val="0"/>
        </w:numPr>
        <w:spacing w:line="590" w:lineRule="exact"/>
        <w:ind w:firstLine="640" w:firstLineChars="200"/>
        <w:rPr>
          <w:rFonts w:hint="eastAsia" w:eastAsia="方正仿宋_GBK"/>
          <w:sz w:val="32"/>
          <w:szCs w:val="32"/>
          <w:lang w:eastAsia="zh-CN"/>
        </w:rPr>
      </w:pPr>
      <w:r>
        <w:rPr>
          <w:rFonts w:hint="eastAsia" w:eastAsia="方正仿宋_GBK"/>
          <w:sz w:val="32"/>
          <w:szCs w:val="32"/>
          <w:lang w:eastAsia="zh-CN"/>
        </w:rPr>
        <w:t>三是进一步完善信息公开制度建设，建立健全信息公开工作长效机制，把政务信息公开工作作为长期的动态工作落到实处，确保公开信息的及时性、准确性和有效性，为深化政务信息公开提供强有力的组织保证。</w:t>
      </w:r>
    </w:p>
    <w:p>
      <w:pPr>
        <w:widowControl w:val="0"/>
        <w:numPr>
          <w:ilvl w:val="0"/>
          <w:numId w:val="0"/>
        </w:numPr>
        <w:spacing w:line="590" w:lineRule="exact"/>
        <w:rPr>
          <w:rFonts w:hint="eastAsia" w:ascii="方正黑体_GBK" w:eastAsia="方正黑体_GBK"/>
          <w:sz w:val="32"/>
          <w:szCs w:val="32"/>
          <w:lang w:eastAsia="zh-CN"/>
        </w:rPr>
      </w:pPr>
      <w:r>
        <w:rPr>
          <w:rFonts w:hint="eastAsia" w:ascii="方正黑体_GBK" w:eastAsia="方正黑体_GBK"/>
          <w:sz w:val="32"/>
          <w:szCs w:val="32"/>
          <w:lang w:eastAsia="zh-CN"/>
        </w:rPr>
        <w:t>六、其他需要报告的事项</w:t>
      </w:r>
    </w:p>
    <w:p>
      <w:pPr>
        <w:widowControl w:val="0"/>
        <w:spacing w:line="590" w:lineRule="exact"/>
        <w:ind w:firstLine="640" w:firstLineChars="200"/>
        <w:rPr>
          <w:rFonts w:hint="eastAsia" w:eastAsia="方正仿宋_GBK"/>
          <w:sz w:val="32"/>
          <w:szCs w:val="32"/>
          <w:lang w:eastAsia="zh-CN"/>
        </w:rPr>
      </w:pPr>
      <w:r>
        <w:rPr>
          <w:rFonts w:hint="eastAsia" w:eastAsia="方正仿宋_GBK"/>
          <w:sz w:val="32"/>
          <w:szCs w:val="32"/>
          <w:lang w:val="en-US" w:eastAsia="zh-CN"/>
        </w:rPr>
        <w:t>2020年我局无其它需要报告事项。</w:t>
      </w:r>
    </w:p>
    <w:p>
      <w:pPr>
        <w:widowControl w:val="0"/>
        <w:spacing w:line="590" w:lineRule="exact"/>
        <w:rPr>
          <w:rFonts w:hint="eastAsia" w:eastAsia="方正仿宋_GBK"/>
          <w:sz w:val="32"/>
          <w:szCs w:val="32"/>
          <w:lang w:eastAsia="zh-CN"/>
        </w:rPr>
      </w:pPr>
    </w:p>
    <w:p/>
    <w:sectPr>
      <w:pgSz w:w="11906" w:h="16838"/>
      <w:pgMar w:top="2098" w:right="1474" w:bottom="1304" w:left="1588" w:header="1361" w:footer="119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F50D9"/>
    <w:rsid w:val="18EB3910"/>
    <w:rsid w:val="213F50D9"/>
    <w:rsid w:val="247113B8"/>
    <w:rsid w:val="420E4320"/>
    <w:rsid w:val="4FED6CE6"/>
    <w:rsid w:val="55E50E4A"/>
    <w:rsid w:val="6AD634DE"/>
    <w:rsid w:val="76384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2021-01-20T17:53:00Z</dcterms:created>
  <dc:creator>江川区政府办</dc:creator>
  <cp:lastModifiedBy>user</cp:lastModifiedBy>
  <dcterms:modified xsi:type="dcterms:W3CDTF">2025-07-22T17:18:46Z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