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026A">
      <w:pPr>
        <w:pStyle w:val="3"/>
        <w:keepNext w:val="0"/>
        <w:keepLines w:val="0"/>
        <w:pageBreakBefore w:val="0"/>
        <w:kinsoku/>
        <w:wordWrap/>
        <w:overflowPunct/>
        <w:topLinePunct w:val="0"/>
        <w:bidi w:val="0"/>
        <w:spacing w:line="579" w:lineRule="exact"/>
        <w:ind w:firstLine="600" w:firstLineChars="200"/>
        <w:textAlignment w:val="auto"/>
        <w:outlineLvl w:val="9"/>
        <w:rPr>
          <w:rFonts w:hint="eastAsia" w:hAnsi="仿宋" w:cs="仿宋"/>
          <w:b w:val="0"/>
          <w:bCs w:val="0"/>
          <w:color w:val="000000"/>
          <w:kern w:val="0"/>
          <w:sz w:val="30"/>
          <w:szCs w:val="30"/>
          <w:highlight w:val="none"/>
          <w:lang w:val="en-US" w:eastAsia="zh-CN" w:bidi="ar"/>
        </w:rPr>
      </w:pPr>
      <w:bookmarkStart w:id="0" w:name="_GoBack"/>
      <w:r>
        <w:rPr>
          <w:rFonts w:hint="eastAsia" w:ascii="仿宋" w:hAnsi="仿宋" w:eastAsia="仿宋" w:cs="仿宋"/>
          <w:b w:val="0"/>
          <w:bCs w:val="0"/>
          <w:color w:val="000000"/>
          <w:kern w:val="0"/>
          <w:sz w:val="30"/>
          <w:szCs w:val="30"/>
          <w:highlight w:val="none"/>
          <w:lang w:val="en-US" w:eastAsia="zh-CN" w:bidi="ar"/>
        </w:rPr>
        <w:t>附件：1.绩效评价体系及评分</w:t>
      </w:r>
      <w:r>
        <w:rPr>
          <w:rFonts w:hint="eastAsia" w:hAnsi="仿宋" w:cs="仿宋"/>
          <w:b w:val="0"/>
          <w:bCs w:val="0"/>
          <w:color w:val="000000"/>
          <w:kern w:val="0"/>
          <w:sz w:val="30"/>
          <w:szCs w:val="30"/>
          <w:highlight w:val="none"/>
          <w:lang w:val="en-US" w:eastAsia="zh-CN" w:bidi="ar"/>
        </w:rPr>
        <w:t>汇总</w:t>
      </w:r>
    </w:p>
    <w:bookmarkEnd w:id="0"/>
    <w:tbl>
      <w:tblPr>
        <w:tblStyle w:val="6"/>
        <w:tblpPr w:leftFromText="180" w:rightFromText="180" w:vertAnchor="text" w:horzAnchor="page" w:tblpX="2075" w:tblpY="382"/>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
        <w:gridCol w:w="663"/>
        <w:gridCol w:w="677"/>
        <w:gridCol w:w="816"/>
        <w:gridCol w:w="1759"/>
        <w:gridCol w:w="2294"/>
        <w:gridCol w:w="1668"/>
        <w:gridCol w:w="1037"/>
        <w:gridCol w:w="997"/>
        <w:gridCol w:w="2609"/>
        <w:gridCol w:w="669"/>
      </w:tblGrid>
      <w:tr w14:paraId="3372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tcBorders>
              <w:top w:val="nil"/>
              <w:left w:val="nil"/>
              <w:bottom w:val="nil"/>
              <w:right w:val="nil"/>
            </w:tcBorders>
            <w:noWrap w:val="0"/>
            <w:vAlign w:val="center"/>
          </w:tcPr>
          <w:p w14:paraId="55BAC933">
            <w:pPr>
              <w:keepNext/>
              <w:keepLines w:val="0"/>
              <w:widowControl/>
              <w:suppressLineNumbers w:val="0"/>
              <w:snapToGrid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附件1</w:t>
            </w:r>
          </w:p>
        </w:tc>
        <w:tc>
          <w:tcPr>
            <w:tcW w:w="234" w:type="pct"/>
            <w:tcBorders>
              <w:top w:val="nil"/>
              <w:left w:val="nil"/>
              <w:bottom w:val="nil"/>
              <w:right w:val="nil"/>
            </w:tcBorders>
            <w:noWrap w:val="0"/>
            <w:vAlign w:val="center"/>
          </w:tcPr>
          <w:p w14:paraId="1EAD615F">
            <w:pPr>
              <w:keepNext/>
              <w:snapToGrid w:val="0"/>
              <w:rPr>
                <w:rFonts w:hint="eastAsia" w:ascii="仿宋" w:hAnsi="仿宋" w:eastAsia="仿宋" w:cs="仿宋"/>
                <w:i w:val="0"/>
                <w:iCs w:val="0"/>
                <w:color w:val="000000"/>
                <w:sz w:val="20"/>
                <w:szCs w:val="20"/>
                <w:u w:val="none"/>
              </w:rPr>
            </w:pPr>
          </w:p>
        </w:tc>
        <w:tc>
          <w:tcPr>
            <w:tcW w:w="238" w:type="pct"/>
            <w:tcBorders>
              <w:top w:val="nil"/>
              <w:left w:val="nil"/>
              <w:bottom w:val="nil"/>
              <w:right w:val="nil"/>
            </w:tcBorders>
            <w:noWrap w:val="0"/>
            <w:vAlign w:val="center"/>
          </w:tcPr>
          <w:p w14:paraId="68919E4B">
            <w:pPr>
              <w:keepNext/>
              <w:snapToGrid w:val="0"/>
              <w:rPr>
                <w:rFonts w:hint="eastAsia" w:ascii="仿宋" w:hAnsi="仿宋" w:eastAsia="仿宋" w:cs="仿宋"/>
                <w:i w:val="0"/>
                <w:iCs w:val="0"/>
                <w:color w:val="000000"/>
                <w:sz w:val="20"/>
                <w:szCs w:val="20"/>
                <w:u w:val="none"/>
              </w:rPr>
            </w:pPr>
          </w:p>
        </w:tc>
        <w:tc>
          <w:tcPr>
            <w:tcW w:w="288" w:type="pct"/>
            <w:tcBorders>
              <w:top w:val="nil"/>
              <w:left w:val="nil"/>
              <w:bottom w:val="nil"/>
              <w:right w:val="nil"/>
            </w:tcBorders>
            <w:noWrap w:val="0"/>
            <w:vAlign w:val="center"/>
          </w:tcPr>
          <w:p w14:paraId="16E21B7D">
            <w:pPr>
              <w:keepNext/>
              <w:snapToGrid w:val="0"/>
              <w:jc w:val="center"/>
              <w:rPr>
                <w:rFonts w:hint="eastAsia" w:ascii="仿宋" w:hAnsi="仿宋" w:eastAsia="仿宋" w:cs="仿宋"/>
                <w:i w:val="0"/>
                <w:iCs w:val="0"/>
                <w:color w:val="000000"/>
                <w:sz w:val="20"/>
                <w:szCs w:val="20"/>
                <w:u w:val="none"/>
              </w:rPr>
            </w:pPr>
          </w:p>
        </w:tc>
        <w:tc>
          <w:tcPr>
            <w:tcW w:w="621" w:type="pct"/>
            <w:tcBorders>
              <w:top w:val="nil"/>
              <w:left w:val="nil"/>
              <w:bottom w:val="nil"/>
              <w:right w:val="nil"/>
            </w:tcBorders>
            <w:noWrap w:val="0"/>
            <w:vAlign w:val="center"/>
          </w:tcPr>
          <w:p w14:paraId="0A32AD3D">
            <w:pPr>
              <w:keepNext/>
              <w:snapToGrid w:val="0"/>
              <w:rPr>
                <w:rFonts w:hint="eastAsia" w:ascii="仿宋" w:hAnsi="仿宋" w:eastAsia="仿宋" w:cs="仿宋"/>
                <w:i w:val="0"/>
                <w:iCs w:val="0"/>
                <w:color w:val="000000"/>
                <w:sz w:val="20"/>
                <w:szCs w:val="20"/>
                <w:u w:val="none"/>
              </w:rPr>
            </w:pPr>
          </w:p>
        </w:tc>
        <w:tc>
          <w:tcPr>
            <w:tcW w:w="810" w:type="pct"/>
            <w:tcBorders>
              <w:top w:val="nil"/>
              <w:left w:val="nil"/>
              <w:bottom w:val="nil"/>
              <w:right w:val="nil"/>
            </w:tcBorders>
            <w:noWrap w:val="0"/>
            <w:vAlign w:val="center"/>
          </w:tcPr>
          <w:p w14:paraId="5F62E451">
            <w:pPr>
              <w:keepNext/>
              <w:snapToGrid w:val="0"/>
              <w:rPr>
                <w:rFonts w:hint="eastAsia" w:ascii="仿宋" w:hAnsi="仿宋" w:eastAsia="仿宋" w:cs="仿宋"/>
                <w:i w:val="0"/>
                <w:iCs w:val="0"/>
                <w:color w:val="000000"/>
                <w:sz w:val="20"/>
                <w:szCs w:val="20"/>
                <w:u w:val="none"/>
              </w:rPr>
            </w:pPr>
          </w:p>
        </w:tc>
        <w:tc>
          <w:tcPr>
            <w:tcW w:w="589" w:type="pct"/>
            <w:tcBorders>
              <w:top w:val="nil"/>
              <w:left w:val="nil"/>
              <w:bottom w:val="nil"/>
              <w:right w:val="nil"/>
            </w:tcBorders>
            <w:noWrap w:val="0"/>
            <w:vAlign w:val="center"/>
          </w:tcPr>
          <w:p w14:paraId="048063FE">
            <w:pPr>
              <w:keepNext/>
              <w:snapToGrid w:val="0"/>
              <w:rPr>
                <w:rFonts w:hint="eastAsia" w:ascii="仿宋" w:hAnsi="仿宋" w:eastAsia="仿宋" w:cs="仿宋"/>
                <w:i w:val="0"/>
                <w:iCs w:val="0"/>
                <w:color w:val="000000"/>
                <w:sz w:val="20"/>
                <w:szCs w:val="20"/>
                <w:u w:val="none"/>
              </w:rPr>
            </w:pPr>
          </w:p>
        </w:tc>
        <w:tc>
          <w:tcPr>
            <w:tcW w:w="366" w:type="pct"/>
            <w:tcBorders>
              <w:top w:val="nil"/>
              <w:left w:val="nil"/>
              <w:bottom w:val="nil"/>
              <w:right w:val="nil"/>
            </w:tcBorders>
            <w:noWrap w:val="0"/>
            <w:vAlign w:val="center"/>
          </w:tcPr>
          <w:p w14:paraId="2E498C8D">
            <w:pPr>
              <w:keepNext/>
              <w:snapToGrid w:val="0"/>
              <w:rPr>
                <w:rFonts w:hint="eastAsia" w:ascii="仿宋" w:hAnsi="仿宋" w:eastAsia="仿宋" w:cs="仿宋"/>
                <w:i w:val="0"/>
                <w:iCs w:val="0"/>
                <w:color w:val="000000"/>
                <w:sz w:val="20"/>
                <w:szCs w:val="20"/>
                <w:u w:val="none"/>
              </w:rPr>
            </w:pPr>
          </w:p>
        </w:tc>
        <w:tc>
          <w:tcPr>
            <w:tcW w:w="351" w:type="pct"/>
            <w:tcBorders>
              <w:top w:val="nil"/>
              <w:left w:val="nil"/>
              <w:bottom w:val="nil"/>
              <w:right w:val="nil"/>
            </w:tcBorders>
            <w:noWrap w:val="0"/>
            <w:vAlign w:val="center"/>
          </w:tcPr>
          <w:p w14:paraId="3CB33358">
            <w:pPr>
              <w:keepNext/>
              <w:snapToGrid w:val="0"/>
              <w:jc w:val="center"/>
              <w:rPr>
                <w:rFonts w:hint="eastAsia" w:ascii="仿宋" w:hAnsi="仿宋" w:eastAsia="仿宋" w:cs="仿宋"/>
                <w:i w:val="0"/>
                <w:iCs w:val="0"/>
                <w:color w:val="000000"/>
                <w:sz w:val="20"/>
                <w:szCs w:val="20"/>
                <w:u w:val="none"/>
              </w:rPr>
            </w:pPr>
          </w:p>
        </w:tc>
        <w:tc>
          <w:tcPr>
            <w:tcW w:w="921" w:type="pct"/>
            <w:tcBorders>
              <w:top w:val="nil"/>
              <w:left w:val="nil"/>
              <w:bottom w:val="nil"/>
              <w:right w:val="nil"/>
            </w:tcBorders>
            <w:noWrap w:val="0"/>
            <w:vAlign w:val="center"/>
          </w:tcPr>
          <w:p w14:paraId="27DDD724">
            <w:pPr>
              <w:keepNext/>
              <w:snapToGrid w:val="0"/>
              <w:rPr>
                <w:rFonts w:hint="eastAsia" w:ascii="仿宋" w:hAnsi="仿宋" w:eastAsia="仿宋" w:cs="仿宋"/>
                <w:i w:val="0"/>
                <w:iCs w:val="0"/>
                <w:color w:val="000000"/>
                <w:sz w:val="20"/>
                <w:szCs w:val="20"/>
                <w:u w:val="none"/>
              </w:rPr>
            </w:pPr>
          </w:p>
        </w:tc>
        <w:tc>
          <w:tcPr>
            <w:tcW w:w="234" w:type="pct"/>
            <w:tcBorders>
              <w:top w:val="nil"/>
              <w:left w:val="nil"/>
              <w:bottom w:val="nil"/>
              <w:right w:val="nil"/>
            </w:tcBorders>
            <w:noWrap w:val="0"/>
            <w:vAlign w:val="center"/>
          </w:tcPr>
          <w:p w14:paraId="76938E18">
            <w:pPr>
              <w:keepNext/>
              <w:snapToGrid w:val="0"/>
              <w:jc w:val="center"/>
              <w:rPr>
                <w:rFonts w:hint="eastAsia" w:ascii="仿宋" w:hAnsi="仿宋" w:eastAsia="仿宋" w:cs="仿宋"/>
                <w:i w:val="0"/>
                <w:iCs w:val="0"/>
                <w:color w:val="000000"/>
                <w:sz w:val="20"/>
                <w:szCs w:val="20"/>
                <w:u w:val="none"/>
              </w:rPr>
            </w:pPr>
          </w:p>
        </w:tc>
      </w:tr>
      <w:tr w14:paraId="190A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11"/>
            <w:tcBorders>
              <w:top w:val="nil"/>
              <w:left w:val="nil"/>
              <w:bottom w:val="nil"/>
              <w:right w:val="nil"/>
            </w:tcBorders>
            <w:noWrap w:val="0"/>
            <w:vAlign w:val="center"/>
          </w:tcPr>
          <w:p w14:paraId="232BAD91">
            <w:pPr>
              <w:keepNext/>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绩效评价体系及评分汇总表</w:t>
            </w:r>
          </w:p>
        </w:tc>
      </w:tr>
      <w:tr w14:paraId="00E4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843" w:type="pct"/>
            <w:gridSpan w:val="9"/>
            <w:tcBorders>
              <w:top w:val="nil"/>
              <w:left w:val="nil"/>
              <w:bottom w:val="single" w:color="000000" w:sz="4" w:space="0"/>
              <w:right w:val="nil"/>
            </w:tcBorders>
            <w:noWrap w:val="0"/>
            <w:vAlign w:val="center"/>
          </w:tcPr>
          <w:p w14:paraId="3837B971">
            <w:pPr>
              <w:keepNext/>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项目名称：玉溪市江川区人民医院综合住院楼建设项目专项债券投资资金绩效指标</w:t>
            </w:r>
          </w:p>
        </w:tc>
        <w:tc>
          <w:tcPr>
            <w:tcW w:w="921" w:type="pct"/>
            <w:tcBorders>
              <w:top w:val="nil"/>
              <w:left w:val="nil"/>
              <w:bottom w:val="nil"/>
              <w:right w:val="nil"/>
            </w:tcBorders>
            <w:noWrap w:val="0"/>
            <w:vAlign w:val="center"/>
          </w:tcPr>
          <w:p w14:paraId="04FA6F34">
            <w:pPr>
              <w:keepNext/>
              <w:snapToGrid w:val="0"/>
              <w:rPr>
                <w:rFonts w:hint="eastAsia" w:ascii="仿宋" w:hAnsi="仿宋" w:eastAsia="仿宋" w:cs="仿宋"/>
                <w:i w:val="0"/>
                <w:iCs w:val="0"/>
                <w:color w:val="000000"/>
                <w:sz w:val="20"/>
                <w:szCs w:val="20"/>
                <w:u w:val="none"/>
              </w:rPr>
            </w:pPr>
          </w:p>
        </w:tc>
        <w:tc>
          <w:tcPr>
            <w:tcW w:w="234" w:type="pct"/>
            <w:tcBorders>
              <w:top w:val="nil"/>
              <w:left w:val="nil"/>
              <w:bottom w:val="nil"/>
              <w:right w:val="nil"/>
            </w:tcBorders>
            <w:noWrap w:val="0"/>
            <w:vAlign w:val="center"/>
          </w:tcPr>
          <w:p w14:paraId="27B8419A">
            <w:pPr>
              <w:keepNext/>
              <w:snapToGrid w:val="0"/>
              <w:jc w:val="center"/>
              <w:rPr>
                <w:rFonts w:hint="eastAsia" w:ascii="仿宋" w:hAnsi="仿宋" w:eastAsia="仿宋" w:cs="仿宋"/>
                <w:i w:val="0"/>
                <w:iCs w:val="0"/>
                <w:color w:val="000000"/>
                <w:sz w:val="20"/>
                <w:szCs w:val="20"/>
                <w:u w:val="none"/>
              </w:rPr>
            </w:pPr>
          </w:p>
        </w:tc>
      </w:tr>
      <w:tr w14:paraId="4081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tcBorders>
              <w:top w:val="single" w:color="000000" w:sz="4" w:space="0"/>
              <w:left w:val="single" w:color="000000" w:sz="4" w:space="0"/>
              <w:bottom w:val="single" w:color="000000" w:sz="4" w:space="0"/>
              <w:right w:val="single" w:color="000000" w:sz="4" w:space="0"/>
            </w:tcBorders>
            <w:noWrap w:val="0"/>
            <w:vAlign w:val="center"/>
          </w:tcPr>
          <w:p w14:paraId="47F8890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8E1F6E7">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EE42A0B">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46D2315">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指标分值</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C1A82F2">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指标解释</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04E3ACD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指标说明</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144E79B">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评分标准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9822579">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数据来源</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DE97CD1">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总评分</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CB225C4">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扣分原因</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B126591">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4EF0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2C500E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决策（15分）</w:t>
            </w: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54AD09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744EDC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立项依据充分性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82ED8D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319D36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项目立项是否符合法律法规、相关政策、发展规划以及部门职责，用以反映和考核项目立项依据情况。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6093AA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①项目立项是否符合国家法律法规、国民经济发展规划和相关政策；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②项目立项是否符合行业发展规划和政策要求；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③项目立项是否与部门职责范围相符，属于部门履职所需；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④项目是否属于公共财政支持范围，是否符合中央、地方事权支出责任划分原则；                               ⑤项目是否与相关部门同类项目或部门内部相关项目重复。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⑥项目是否符合专项债券支持领域和方向。</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275F1A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①项目立项符合国家法律法规、国民经济发展规划和相关政策，得0.5分；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②项目立项符合行业发展规划和政策要求，得0.5分；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③项目立项与部门职责范围相符，属于部门履职所需，得0.5分；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④项目属于公共财政支持范围，符合中央、地方事权支出责任划分原则，得0.5分；                                   ⑤项目不与相关部门同类项目或部门内部相关项目重复，得0.5分；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⑥项目符合专项债券支持领域和方向，得0.5分。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6437D6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中央、省委省政府、市委市政府相关文件，部门中长期规划、决策、批复、部门职能职责等相关资料。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38FAE8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412D298F">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70877EBC">
            <w:pPr>
              <w:keepNext/>
              <w:snapToGrid w:val="0"/>
              <w:jc w:val="left"/>
              <w:rPr>
                <w:rFonts w:hint="eastAsia" w:ascii="仿宋" w:hAnsi="仿宋" w:eastAsia="仿宋" w:cs="仿宋"/>
                <w:i w:val="0"/>
                <w:iCs w:val="0"/>
                <w:color w:val="000000"/>
                <w:sz w:val="20"/>
                <w:szCs w:val="20"/>
                <w:u w:val="none"/>
              </w:rPr>
            </w:pPr>
          </w:p>
        </w:tc>
      </w:tr>
      <w:tr w14:paraId="3EA2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D745A">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DFBD5">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3FF087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立项程序规范性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3DE4DE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CBBB28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项目申请、设立过程是否符合相关要求，用以反映和考核项目立项的规范情况。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0A88AF9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①项目是否按照规定的程序申请设立；                               ②审批文件、材料是否符合相关要求；                          ③事前是否已经过必要的可行性研究、专家论证、风险评估、绩效评估、集体决策。</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111A1DD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①项目按照规定的程序申请设立，得1分；                                ②审批文件、材料符合相关要求，得1分；                                   ③事前已经过必要的可行性研究、专家论证、风险评估、绩效评估、集体决策，得1分。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EE1092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可行性研究、专家论证、风险评估、绩效评估、集体决策，申请立项、批复等相关文件。</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0C1511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ign w:val="center"/>
          </w:tcPr>
          <w:p w14:paraId="4966D1FF">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EF853F9">
            <w:pPr>
              <w:keepNext/>
              <w:snapToGrid w:val="0"/>
              <w:jc w:val="left"/>
              <w:rPr>
                <w:rFonts w:hint="eastAsia" w:ascii="仿宋" w:hAnsi="仿宋" w:eastAsia="仿宋" w:cs="仿宋"/>
                <w:i w:val="0"/>
                <w:iCs w:val="0"/>
                <w:color w:val="000000"/>
                <w:sz w:val="20"/>
                <w:szCs w:val="20"/>
                <w:u w:val="none"/>
              </w:rPr>
            </w:pPr>
          </w:p>
        </w:tc>
      </w:tr>
      <w:tr w14:paraId="7152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46582F">
            <w:pPr>
              <w:keepNext/>
              <w:snapToGrid w:val="0"/>
              <w:jc w:val="center"/>
              <w:rPr>
                <w:rFonts w:hint="eastAsia" w:ascii="仿宋" w:hAnsi="仿宋" w:eastAsia="仿宋" w:cs="仿宋"/>
                <w:i w:val="0"/>
                <w:iCs w:val="0"/>
                <w:color w:val="000000"/>
                <w:sz w:val="20"/>
                <w:szCs w:val="20"/>
                <w:u w:val="none"/>
              </w:rPr>
            </w:pP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58C183E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绩效目标</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081873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绩效目标合理性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963B23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F4E45B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项目所设定的绩效目标是否依据充分、是否符合客观实际、用以反映和考核项目绩效目标与项目实施的相符情况。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562D793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①项目是否有绩效目标；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②项目绩效目标与实际工作内容是否具有相关性；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③项目预期产出效益和效果是否符合正常的业绩水平；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④是否与预算确定的项目投资额或资金量相匹配。</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31C61F0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①项目有绩效目标，得0.5分；                     ②项目绩效目标与实际工作内容具有相关性，得0.5分；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③项目预期产出效益和效果符合正常的业绩水平，得0.5分；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④目标与预算确定的项目投资额或资金量相匹配，得0.5分。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1A38D7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国家、省委省政府、部门行业相关文件、预算申报资料，实施方案等。</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4FE0EB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2DF82C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绩效目标设置较为宽泛，未对2024年度具体实施的工作内容进行充分细化、量化，未能全面体现项目的预期产出及效果情况，且在具体评价和考核层面，可衡量性和精准度还有待加强。</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589BB9E">
            <w:pPr>
              <w:keepNext/>
              <w:snapToGrid w:val="0"/>
              <w:jc w:val="left"/>
              <w:rPr>
                <w:rFonts w:hint="eastAsia" w:ascii="仿宋" w:hAnsi="仿宋" w:eastAsia="仿宋" w:cs="仿宋"/>
                <w:i w:val="0"/>
                <w:iCs w:val="0"/>
                <w:color w:val="000000"/>
                <w:sz w:val="20"/>
                <w:szCs w:val="20"/>
                <w:u w:val="none"/>
              </w:rPr>
            </w:pPr>
          </w:p>
        </w:tc>
      </w:tr>
      <w:tr w14:paraId="5B4F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4F926">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75A156">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6AC18F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绩效指标明确性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E51BF3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0EB780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依据绩效目标设定的绩效指标是否清晰、细化、可衡量等，用以反映和考核项目绩效目标的明细化情况。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68E326C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①是否将项目绩效目标细化分解为具体的绩效指标；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②是否通过清晰、可衡量的指标值予以体现；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③是否与项目目标任务数或计划数相对应。</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3341B33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①已将项目绩效目标细化分解为具体的绩效指标，得1分；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②指标已通过清晰、可衡量的指标值予以体现，得0.5分；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③指标与项目目标任务数或计划数相对应，得0.5分。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E6AD7A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国家、省委省政府、部门行业相关文件、预算申报资料，实施方案等。</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399E370">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591258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存在部分指标设置不合理的情况，如：“偿债能力&gt;=可偿债收益大于14500万元”、“项目总投资收益率&gt;=50%”未能根据项目进展情况进行设置，难以在25年进行考核，不利于后期绩效自评、监控和绩效评价。</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A36583E">
            <w:pPr>
              <w:keepNext/>
              <w:snapToGrid w:val="0"/>
              <w:jc w:val="left"/>
              <w:rPr>
                <w:rFonts w:hint="eastAsia" w:ascii="仿宋" w:hAnsi="仿宋" w:eastAsia="仿宋" w:cs="仿宋"/>
                <w:i w:val="0"/>
                <w:iCs w:val="0"/>
                <w:color w:val="000000"/>
                <w:sz w:val="20"/>
                <w:szCs w:val="20"/>
                <w:u w:val="none"/>
              </w:rPr>
            </w:pPr>
          </w:p>
        </w:tc>
      </w:tr>
      <w:tr w14:paraId="6A5E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D5585">
            <w:pPr>
              <w:keepNext/>
              <w:snapToGrid w:val="0"/>
              <w:jc w:val="center"/>
              <w:rPr>
                <w:rFonts w:hint="eastAsia" w:ascii="仿宋" w:hAnsi="仿宋" w:eastAsia="仿宋" w:cs="仿宋"/>
                <w:i w:val="0"/>
                <w:iCs w:val="0"/>
                <w:color w:val="000000"/>
                <w:sz w:val="20"/>
                <w:szCs w:val="20"/>
                <w:u w:val="none"/>
              </w:rPr>
            </w:pP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1EAD852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资金投入</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D9F524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预算编制科学性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130321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9AE26E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项目预算编制是否经过科学论证、有明确标准、资金额度与年度目标是否相适应，用以反映和考核项目预算编制的科学性、合理性情况。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31081E2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①预算编制是否经过科学论证；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②预算内容与项目内容是否匹配；                           ③预算额度测算依据是否充分、是否按照标准编制；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④预算确定的项目投资额或资金量是否与工作任务相匹配。</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95FF45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①预算编制经过科学论证，得0.5分；              ②预算内容与项目内容匹配，得0.5分；                           ③预算额度测算依据充分、按照标准编制，得0.5分；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④预算确定的项目投资额或资金量与工作任务相匹配，得0.5分。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165A90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预算申报资料，实施方案等。</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F0FB5F5">
            <w:pPr>
              <w:keepNext/>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5CA473E">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BFE4E5E">
            <w:pPr>
              <w:keepNext/>
              <w:snapToGrid w:val="0"/>
              <w:jc w:val="left"/>
              <w:rPr>
                <w:rFonts w:hint="eastAsia" w:ascii="仿宋" w:hAnsi="仿宋" w:eastAsia="仿宋" w:cs="仿宋"/>
                <w:i w:val="0"/>
                <w:iCs w:val="0"/>
                <w:color w:val="000000"/>
                <w:sz w:val="20"/>
                <w:szCs w:val="20"/>
                <w:u w:val="none"/>
              </w:rPr>
            </w:pPr>
          </w:p>
        </w:tc>
      </w:tr>
      <w:tr w14:paraId="78A2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CBBEC4">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447D7">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898F1E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资金分配合理性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6FA2C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72E36F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项目预算资金分配是否有测算依据，与补助单位或地方实际是否相适应，用于反映和考核项目预算资金分配的科学性、合理性情况。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5F85D1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①预算资金分配依据是否充分；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②资金分配额度是否合理，与项目单位或地方实际是否相适应。</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98EE2C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①预算资金分配依据是否充分，得1分；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②资金分配额度合理，与项目单位或地方实际相适应，得1分。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D1B68B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预算安排，补贴计算依据、实施方案等。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181A12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220A0E4">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33C4C22">
            <w:pPr>
              <w:keepNext/>
              <w:snapToGrid w:val="0"/>
              <w:jc w:val="left"/>
              <w:rPr>
                <w:rFonts w:hint="eastAsia" w:ascii="仿宋" w:hAnsi="仿宋" w:eastAsia="仿宋" w:cs="仿宋"/>
                <w:i w:val="0"/>
                <w:iCs w:val="0"/>
                <w:color w:val="000000"/>
                <w:sz w:val="20"/>
                <w:szCs w:val="20"/>
                <w:u w:val="none"/>
              </w:rPr>
            </w:pPr>
          </w:p>
        </w:tc>
      </w:tr>
      <w:tr w14:paraId="5F02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642B47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过程（30分）</w:t>
            </w: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26ACF2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资金管理</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D26E31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债券资金到位率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089984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4ABBE7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实际到位债券资金与应到位债券资金比率，用以反映和考核债券资金落实情况对项目实施的总体保障程度。</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89C21F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债券资金到位率=（实际到位债券资金/应到位债券资金）*100%。                          </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7A5E1A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①债券资金到位率≥100%，得2分；               ②债券资金到位率＜100%，得1分。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105BE8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资金下达文件、收入明细表、银行对账单等。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62586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16876F34">
            <w:pPr>
              <w:keepNext/>
              <w:snapToGrid w:val="0"/>
              <w:jc w:val="left"/>
              <w:rPr>
                <w:rFonts w:hint="eastAsia" w:ascii="仿宋" w:hAnsi="仿宋" w:eastAsia="仿宋" w:cs="仿宋"/>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7CE70FA1">
            <w:pPr>
              <w:keepNext/>
              <w:snapToGrid w:val="0"/>
              <w:jc w:val="left"/>
              <w:rPr>
                <w:rFonts w:hint="eastAsia" w:ascii="仿宋" w:hAnsi="仿宋" w:eastAsia="仿宋" w:cs="仿宋"/>
                <w:i w:val="0"/>
                <w:iCs w:val="0"/>
                <w:color w:val="000000"/>
                <w:sz w:val="20"/>
                <w:szCs w:val="20"/>
                <w:u w:val="none"/>
              </w:rPr>
            </w:pPr>
          </w:p>
        </w:tc>
      </w:tr>
      <w:tr w14:paraId="2C63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F28527">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4CE151">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02F8C7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债务资金举借</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76C30D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F6C49C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举债项目相关手续是否完备、资料是否合规。</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A9EF39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①项目资本金是否能够合规到位；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②举债额度是否在批复计划范围。                                </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56C52D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①项目资本金能够合规到位，得1分；                            ②举债额度在批复计划范围，得1分。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251984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资金批复，会计凭证等。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02AD4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754F32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区级资金应到位100万元，2023年到位区级财政资金100万元；医院自筹资金应到位3,557.83万元，实际到位1,022.51万元</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14EC7EC">
            <w:pPr>
              <w:keepNext/>
              <w:snapToGrid w:val="0"/>
              <w:jc w:val="left"/>
              <w:rPr>
                <w:rFonts w:hint="eastAsia" w:ascii="仿宋" w:hAnsi="仿宋" w:eastAsia="仿宋" w:cs="仿宋"/>
                <w:i w:val="0"/>
                <w:iCs w:val="0"/>
                <w:color w:val="000000"/>
                <w:sz w:val="20"/>
                <w:szCs w:val="20"/>
                <w:u w:val="none"/>
              </w:rPr>
            </w:pPr>
          </w:p>
        </w:tc>
      </w:tr>
      <w:tr w14:paraId="6598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FBEA6">
            <w:pPr>
              <w:keepNext/>
              <w:snapToGrid w:val="0"/>
              <w:jc w:val="center"/>
              <w:rPr>
                <w:rFonts w:hint="eastAsia" w:ascii="仿宋" w:hAnsi="仿宋" w:eastAsia="仿宋" w:cs="仿宋"/>
                <w:i w:val="0"/>
                <w:iCs w:val="0"/>
                <w:color w:val="000000"/>
                <w:sz w:val="20"/>
                <w:szCs w:val="20"/>
                <w:u w:val="none"/>
              </w:rPr>
            </w:pPr>
          </w:p>
        </w:tc>
        <w:tc>
          <w:tcPr>
            <w:tcW w:w="234" w:type="pct"/>
            <w:vMerge w:val="restart"/>
            <w:tcBorders>
              <w:top w:val="single" w:color="000000" w:sz="4" w:space="0"/>
              <w:left w:val="single" w:color="000000" w:sz="4" w:space="0"/>
              <w:bottom w:val="nil"/>
              <w:right w:val="single" w:color="000000" w:sz="4" w:space="0"/>
            </w:tcBorders>
            <w:noWrap w:val="0"/>
            <w:vAlign w:val="center"/>
          </w:tcPr>
          <w:p w14:paraId="1FD747D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资金管理</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F79D3D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债券资金使用率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A3D8B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1CC0E7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债券资金是否按照计划使用，用以反映或考核债券资金使用情况。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280B0D7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债券资金使用率=（实际支出资金/实际到位资金）*100%；                               实际支出资金：一定时期（本年度或项目期）内项目实际拨付的资金。</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D4F7D8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①债券资金使用率≥100%，得2分；               ②债券资金使用率＜100%，得1分。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D1B22A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资金下达文件和部门决策报表，项目资金台账。</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D11152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89D8A8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截止至绩效评价日（2025年11月20日），本项目已累计使用专项债券资金8,601.13万元，占已到位债券资金总额1亿元的86.01%，债券资金使用率86.01%。</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80D15D1">
            <w:pPr>
              <w:keepNext/>
              <w:snapToGrid w:val="0"/>
              <w:jc w:val="left"/>
              <w:rPr>
                <w:rFonts w:hint="eastAsia" w:ascii="仿宋" w:hAnsi="仿宋" w:eastAsia="仿宋" w:cs="仿宋"/>
                <w:i w:val="0"/>
                <w:iCs w:val="0"/>
                <w:color w:val="000000"/>
                <w:sz w:val="20"/>
                <w:szCs w:val="20"/>
                <w:u w:val="none"/>
              </w:rPr>
            </w:pPr>
          </w:p>
        </w:tc>
      </w:tr>
      <w:tr w14:paraId="2D03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F5D9EF">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nil"/>
              <w:right w:val="single" w:color="000000" w:sz="4" w:space="0"/>
            </w:tcBorders>
            <w:noWrap w:val="0"/>
            <w:vAlign w:val="center"/>
          </w:tcPr>
          <w:p w14:paraId="04B3438A">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C6CC3B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预算资金执行率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F67A2D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A714AB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项目预算资金是否按照计划执行，用以反映或考核项目预算执行情况。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DFC9A9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评价要点：预算执行率=（实际支出资金/实际到位资金）*100%；                               实际支出资金：一定时期（本年度或项目期）内项目实际拨付的资金。</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7FEBEB7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①预算执行率≥100%，得2分；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②预算执行率＜100%，得1分。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5ED9D5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预算执行系统统计数据、资金下达文件和部门决策报表。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17DD9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5E2B5FA6">
            <w:pPr>
              <w:keepNext/>
              <w:snapToGrid w:val="0"/>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380D090">
            <w:pPr>
              <w:keepNext/>
              <w:snapToGrid w:val="0"/>
              <w:jc w:val="left"/>
              <w:rPr>
                <w:rFonts w:hint="eastAsia" w:ascii="仿宋" w:hAnsi="仿宋" w:eastAsia="仿宋" w:cs="仿宋"/>
                <w:i w:val="0"/>
                <w:iCs w:val="0"/>
                <w:color w:val="000000"/>
                <w:sz w:val="20"/>
                <w:szCs w:val="20"/>
                <w:u w:val="none"/>
              </w:rPr>
            </w:pPr>
          </w:p>
        </w:tc>
      </w:tr>
      <w:tr w14:paraId="5F35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DC2F50">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nil"/>
              <w:right w:val="single" w:color="000000" w:sz="4" w:space="0"/>
            </w:tcBorders>
            <w:noWrap w:val="0"/>
            <w:vAlign w:val="center"/>
          </w:tcPr>
          <w:p w14:paraId="39F01AFD">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F54ED4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会计核算规范性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F89AE5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F20228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项目实施单位的项目资金会计核算是否符合《会计法》和相关会计准则、会计制度，用以反映和考核项目资金会计核算的规范情况。                                                     </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3086F3E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①会计核算是否符合国家财经法规和财务管理制度以及内部会计控制规范、相关会计准则的规定；                                                                         ②记账、报账是否符合会计基础工作规范。                         </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F7643A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①会计核算符合国家财经法规和财务管理制度以及内部会计控制规范、相关会计准则的规定，得1分；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②记账、报账符合会计基础工作规范，得1分。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73EAC7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资金拨款凭据、原始凭证等财务资料。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EA7C79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5E5E82D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支付债券利息时，未区分项目阶段统一将全部债券利息（420.04万元）资本化计入“在建工程”。根据规定，仅有建设期利息（112.20万元）可资本化，2025年4月9日达到预定可使用状态后发生的利息（307.84万元）应费用化计入当期损益。②综合住院楼已于2025年4月9日达到预定可使用状态，但截至绩效评价基准日（2025年11月20日），该资产在账面上仍列为“在建工程”科目核算，未按准则规定结转至“固定资产”科目并计提折旧，导致资产与折旧信息失真。</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7A881777">
            <w:pPr>
              <w:keepNext/>
              <w:snapToGrid w:val="0"/>
              <w:jc w:val="left"/>
              <w:rPr>
                <w:rFonts w:hint="eastAsia" w:ascii="仿宋" w:hAnsi="仿宋" w:eastAsia="仿宋" w:cs="仿宋"/>
                <w:i w:val="0"/>
                <w:iCs w:val="0"/>
                <w:color w:val="000000"/>
                <w:sz w:val="20"/>
                <w:szCs w:val="20"/>
                <w:u w:val="none"/>
              </w:rPr>
            </w:pPr>
          </w:p>
        </w:tc>
      </w:tr>
      <w:tr w14:paraId="0F4F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34DD9">
            <w:pPr>
              <w:keepNext/>
              <w:snapToGrid w:val="0"/>
              <w:jc w:val="center"/>
              <w:rPr>
                <w:rFonts w:hint="eastAsia" w:ascii="仿宋" w:hAnsi="仿宋" w:eastAsia="仿宋" w:cs="仿宋"/>
                <w:i w:val="0"/>
                <w:iCs w:val="0"/>
                <w:color w:val="000000"/>
                <w:sz w:val="20"/>
                <w:szCs w:val="20"/>
                <w:u w:val="none"/>
              </w:rPr>
            </w:pPr>
          </w:p>
        </w:tc>
        <w:tc>
          <w:tcPr>
            <w:tcW w:w="234" w:type="pct"/>
            <w:tcBorders>
              <w:top w:val="nil"/>
              <w:left w:val="single" w:color="000000" w:sz="4" w:space="0"/>
              <w:bottom w:val="single" w:color="000000" w:sz="4" w:space="0"/>
              <w:right w:val="single" w:color="000000" w:sz="4" w:space="0"/>
            </w:tcBorders>
            <w:noWrap w:val="0"/>
            <w:vAlign w:val="center"/>
          </w:tcPr>
          <w:p w14:paraId="416784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资金管理</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DFD687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资金使用合规性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6F8AA3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D244DF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使用是否符合《云南省人民政府关于印发云南省政府性债务管理办法的通知》（云政发〔2017〕60号）、《财政部关于印发地方政府专项债券项目资金绩效管理办法的通知》（财预〔2021〕61号）的规定，用以反映和考核债务资金使用的合规性。</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6A9E76F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评价要点：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①是否符合国家财经法规和财务管理制度以及有关专项资金管理办法的规定；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②资金的拨付是否有完整的审批程序和手续；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③是否符合项目预算批复或合同规定的用途；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④是否存在截留、挤占、挪用、虚列支出等情况。</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53347B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①资金使用符符合国家财经法规和财务管理制度以及有关专项资金管理办法的规定，得0.5分；                                   ②资金的拨付有完整的审批程序和手续，得0.5分；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③资金使用符合项目预算批复或合同规定的用途，得0.5分；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④未发现存在截留、挤占、挪用、虚列支出等情况，得0.5分。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3898B9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资金拨款凭据、原始凭证等财务资料。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6BAD31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F4F719D">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C2C30C9">
            <w:pPr>
              <w:keepNext/>
              <w:snapToGrid w:val="0"/>
              <w:jc w:val="left"/>
              <w:rPr>
                <w:rFonts w:hint="eastAsia" w:ascii="仿宋" w:hAnsi="仿宋" w:eastAsia="仿宋" w:cs="仿宋"/>
                <w:i w:val="0"/>
                <w:iCs w:val="0"/>
                <w:color w:val="000000"/>
                <w:sz w:val="20"/>
                <w:szCs w:val="20"/>
                <w:u w:val="none"/>
              </w:rPr>
            </w:pPr>
          </w:p>
        </w:tc>
      </w:tr>
      <w:tr w14:paraId="2296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39502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过程（30分）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426E776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项目管理</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821316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管理制度健全性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D9EBDE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C901E9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项目是否建立相应管理制度</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613193D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是否建立完善的招投标管理、合同管理、资金管理、建设管理等制度。</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D4842C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①项目建立完善的招投标管理制度、合同管理制度、专项债券资金管理制度、工程建设管理制度，得满分，少一个扣0.5分。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4844B3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项目管理制度、资金管理办法</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FE715D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4315664C">
            <w:pPr>
              <w:keepNext/>
              <w:snapToGrid w:val="0"/>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420FE46">
            <w:pPr>
              <w:keepNext/>
              <w:snapToGrid w:val="0"/>
              <w:rPr>
                <w:rFonts w:hint="eastAsia" w:ascii="仿宋" w:hAnsi="仿宋" w:eastAsia="仿宋" w:cs="仿宋"/>
                <w:i w:val="0"/>
                <w:iCs w:val="0"/>
                <w:color w:val="000000"/>
                <w:sz w:val="20"/>
                <w:szCs w:val="20"/>
                <w:u w:val="none"/>
              </w:rPr>
            </w:pPr>
          </w:p>
        </w:tc>
      </w:tr>
      <w:tr w14:paraId="47F0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9A2BCB">
            <w:pPr>
              <w:keepNext/>
              <w:snapToGrid w:val="0"/>
              <w:jc w:val="center"/>
              <w:rPr>
                <w:rFonts w:hint="eastAsia" w:ascii="仿宋" w:hAnsi="仿宋" w:eastAsia="仿宋" w:cs="仿宋"/>
                <w:i w:val="0"/>
                <w:iCs w:val="0"/>
                <w:color w:val="000000"/>
                <w:sz w:val="20"/>
                <w:szCs w:val="20"/>
                <w:u w:val="none"/>
              </w:rPr>
            </w:pP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2E8AFDA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项目管理</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E5EEA5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项目组织管理</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0EC4DD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52DA59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项目是否建立健全的组织管理机制</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32777AF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①是否建立项目实施管理组织机构；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②项目主体责任是否明确，分工是否明确。</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158E35F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①建立项目实施管理组织机构；得1分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②项目主体责任明确，分工是否明确，得1分。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D47D99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项目实施方案、现场勘察情况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2502E7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1FB30AF6">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27E7A6D2">
            <w:pPr>
              <w:keepNext/>
              <w:snapToGrid w:val="0"/>
              <w:jc w:val="left"/>
              <w:rPr>
                <w:rFonts w:hint="eastAsia" w:ascii="仿宋" w:hAnsi="仿宋" w:eastAsia="仿宋" w:cs="仿宋"/>
                <w:i w:val="0"/>
                <w:iCs w:val="0"/>
                <w:color w:val="000000"/>
                <w:sz w:val="20"/>
                <w:szCs w:val="20"/>
                <w:u w:val="none"/>
              </w:rPr>
            </w:pPr>
          </w:p>
        </w:tc>
      </w:tr>
      <w:tr w14:paraId="6F96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7FF65">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74C17">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39187A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实施程序规范性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75DC9F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03E86F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项目实施过程是否规范</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4060114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①项目是否严格执行项目法人、招标投标、工程监理、信息公开、合同管理等五项制度；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②项目发生变更是否经五方（建设单位、施工单位、监理单位、设计单位、勘察单位）核查并出具相应文件，发生重大变更是否报原审批机关批准；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③项目合同书、验收报告、现场签证料是否齐全并及时；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④项目实施过程中是否有检查、督查等相关记录。</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3FA937A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①项目严格执行项目法人、招标投标、工程监理、信息公开、合同管理等五项制度，得3分；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②项目发生变更经五方（建设单位、施工单位、监理单位、设计单位、勘察单位）核查并出具相应文件，发生重大变更报原审批机关批准，得3分；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③项目合同书、验收报告、现场签证料齐全并，得2分；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④项目实施过程中有检查、督查等相关记录，得2分。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A715C6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项目招投标相关文件、项目合同、验收资料、现场签证等资料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E04301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5C7823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公开与合同管理制度执行情况基本合规，相关信息依法在指定平台公开，合同签订及时且主要条款与招投标文件一致，但存在部分款项未能按照合同约定的期限及时付款的情况。此外，项目存在未竣工即提前使用的情形（相应科室于2025年3月22日提前搬迁至综合住院楼），此程序合规性方面存在瑕疵。</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942EFE9">
            <w:pPr>
              <w:keepNext/>
              <w:snapToGrid w:val="0"/>
              <w:jc w:val="left"/>
              <w:rPr>
                <w:rFonts w:hint="eastAsia" w:ascii="仿宋" w:hAnsi="仿宋" w:eastAsia="仿宋" w:cs="仿宋"/>
                <w:i w:val="0"/>
                <w:iCs w:val="0"/>
                <w:color w:val="000000"/>
                <w:sz w:val="20"/>
                <w:szCs w:val="20"/>
                <w:u w:val="none"/>
              </w:rPr>
            </w:pPr>
          </w:p>
        </w:tc>
      </w:tr>
      <w:tr w14:paraId="7C19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B45AAD">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70D506">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61189F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绩效管理规范性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0D0F13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102A33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考察项目实施单位是否按照绩效管理要求开展事前绩效评估、绩效监控和绩效自评工作</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051E78C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                                                                                                                                                                                         ①是否开展事前绩效评估工作、绩效监控工作和自评工作并有效提交事前绩效评估报告，绩效运行监控表和绩效运行监控报告，自评表和绩效自评报告；                                                                                                               ②事前绩效评估报告、绩效运行监控表和绩效运行监控报告、自评表和绩效自评报告是否填报完整、客观。</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2B398A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①开展事前绩效评估、绩效监控工作和自评工作，并有效提交事前绩效评估报告、绩效运行监控表和绩效运行监控报告，自评表和绩效自评报告，得1分                                                                                                               ②事前绩效评估报告、绩效运行监控表和绩效运行监控报告、自评表和绩效自评报告填报完整、客观，得1分。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3572BD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事前绩效评估报告、自评表、自评报告等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2F2CBF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1FE8869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存在部门自评绩效指标完成值与实际完成值不一致的情况。</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D273278">
            <w:pPr>
              <w:keepNext/>
              <w:snapToGrid w:val="0"/>
              <w:jc w:val="left"/>
              <w:rPr>
                <w:rFonts w:hint="eastAsia" w:ascii="仿宋" w:hAnsi="仿宋" w:eastAsia="仿宋" w:cs="仿宋"/>
                <w:i w:val="0"/>
                <w:iCs w:val="0"/>
                <w:color w:val="000000"/>
                <w:sz w:val="20"/>
                <w:szCs w:val="20"/>
                <w:u w:val="none"/>
              </w:rPr>
            </w:pPr>
          </w:p>
        </w:tc>
      </w:tr>
      <w:tr w14:paraId="39BE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79AB5">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76EC16">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900CE6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信息公开</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CD8741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1A904C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用以反映和考核政府债务信息披露等情况。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199F70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是否对债券资金发行、存续、重大事项、调整用途等进行信息披露。</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17E298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对债券资金发行、存续、重大事项、调整用途等进行信息披露，得2分；未批露，不得分。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287E63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通过网站进行信息公开等相关资料。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6A293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5FE3AD59">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FB03DA5">
            <w:pPr>
              <w:keepNext/>
              <w:snapToGrid w:val="0"/>
              <w:jc w:val="left"/>
              <w:rPr>
                <w:rFonts w:hint="eastAsia" w:ascii="仿宋" w:hAnsi="仿宋" w:eastAsia="仿宋" w:cs="仿宋"/>
                <w:i w:val="0"/>
                <w:iCs w:val="0"/>
                <w:color w:val="000000"/>
                <w:sz w:val="20"/>
                <w:szCs w:val="20"/>
                <w:u w:val="none"/>
              </w:rPr>
            </w:pPr>
          </w:p>
        </w:tc>
      </w:tr>
      <w:tr w14:paraId="5CE4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12B99D0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产出（30分）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55CC6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产出数量</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A3E516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建设任务完成率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6E307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1852F4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项目实际完成与批复、计划或合同内容相比，实际产出内容是否达到批复、计划或合同内容。</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4377A4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项目是否完成初步设计概算批复、施工图预算批复的建设内容，是否完成对应的建设范围和建设数量。</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64242D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①建设任务完成率=100%，得8分；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②建设任务完成率＜100%，得6分。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3AF0AE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台账、相关统计表、总结、批复、竣工验收资料等。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7D541C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5E7EBE41">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F3A32FC">
            <w:pPr>
              <w:keepNext/>
              <w:snapToGrid w:val="0"/>
              <w:jc w:val="left"/>
              <w:rPr>
                <w:rFonts w:hint="eastAsia" w:ascii="仿宋" w:hAnsi="仿宋" w:eastAsia="仿宋" w:cs="仿宋"/>
                <w:i w:val="0"/>
                <w:iCs w:val="0"/>
                <w:color w:val="000000"/>
                <w:sz w:val="20"/>
                <w:szCs w:val="20"/>
                <w:u w:val="none"/>
              </w:rPr>
            </w:pPr>
          </w:p>
        </w:tc>
      </w:tr>
      <w:tr w14:paraId="4488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76C63">
            <w:pPr>
              <w:keepNext/>
              <w:snapToGrid w:val="0"/>
              <w:jc w:val="center"/>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31CA81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产出数量</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727D66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规划床位</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557AF5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0C4EA2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反映项目建设内容的完成情况。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43B3B4C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项目是否完成初步设计批复的规划床位150张。</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6AEE1BF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床位差异=|项目竣工验收后床位数-初步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设计批复的规划床位数|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①床位差异=0，得3分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②0≤床位差异＜5%，得2分；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③5%≤床位差异＜10%，得1分；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④床位差异≥10%，不得分。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D08F83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台账、相关统计表、总结、批复、竣工验收资料等。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B83515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79D9AE79">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2A770E0">
            <w:pPr>
              <w:keepNext/>
              <w:snapToGrid w:val="0"/>
              <w:jc w:val="left"/>
              <w:rPr>
                <w:rFonts w:hint="eastAsia" w:ascii="仿宋" w:hAnsi="仿宋" w:eastAsia="仿宋" w:cs="仿宋"/>
                <w:i w:val="0"/>
                <w:iCs w:val="0"/>
                <w:color w:val="000000"/>
                <w:sz w:val="20"/>
                <w:szCs w:val="20"/>
                <w:u w:val="none"/>
              </w:rPr>
            </w:pPr>
          </w:p>
        </w:tc>
      </w:tr>
      <w:tr w14:paraId="46B1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14:paraId="3851D79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产出（30分）</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A52F37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产出质量</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88EF09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项目验收合格率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7ECC1E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8ECCC2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通过查看等工程验收资料或实地调研，评价完工项目工程质量是否合格。</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60C2542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查看等工程验收资料或实地调研，评价已完工项目工程质量是否合格。</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D2E95E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①验收合格率=100%，得6分；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②100%＞验收合格率≥90%，得4分；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③验收合格率＜90%，不得分。  </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DCEE4D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竣工验收资料、考核资料、相关统计表。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73149F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F3118CE">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4B6D6AF8">
            <w:pPr>
              <w:keepNext/>
              <w:snapToGrid w:val="0"/>
              <w:jc w:val="left"/>
              <w:rPr>
                <w:rFonts w:hint="eastAsia" w:ascii="仿宋" w:hAnsi="仿宋" w:eastAsia="仿宋" w:cs="仿宋"/>
                <w:i w:val="0"/>
                <w:iCs w:val="0"/>
                <w:color w:val="000000"/>
                <w:sz w:val="20"/>
                <w:szCs w:val="20"/>
                <w:u w:val="none"/>
              </w:rPr>
            </w:pPr>
          </w:p>
        </w:tc>
      </w:tr>
      <w:tr w14:paraId="66C1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8572B">
            <w:pPr>
              <w:keepNext/>
              <w:snapToGrid w:val="0"/>
              <w:jc w:val="center"/>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2CCBDA6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产出时效</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D16B0B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开工及时性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91C8C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49A13E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查看可行性研究批复、合同、开工令等，评价项目是否按计划及时开工。</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2C38EB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评价要点：实际开工时间是否不晚于计划开工时间，反映项目按照批复计划及时开工。</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87BECF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①项目按计划开工，得3分；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②延期开工或进度滞后6个月内，得1分；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③延期开工或进度滞后6个月以上，不得分。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54E538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可行性研究报告、批复、合同、开工令等。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FE6EE9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26508B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该项目计划工期为2023年2月-2024年12月，项目实际于2023年9月25日取得施工许可证，于2023年10月8日依据开工令正式开工，开工迟延222天。</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07AB360">
            <w:pPr>
              <w:keepNext/>
              <w:snapToGrid w:val="0"/>
              <w:jc w:val="left"/>
              <w:rPr>
                <w:rFonts w:hint="eastAsia" w:ascii="仿宋" w:hAnsi="仿宋" w:eastAsia="仿宋" w:cs="仿宋"/>
                <w:i w:val="0"/>
                <w:iCs w:val="0"/>
                <w:color w:val="000000"/>
                <w:sz w:val="20"/>
                <w:szCs w:val="20"/>
                <w:u w:val="none"/>
              </w:rPr>
            </w:pPr>
          </w:p>
        </w:tc>
      </w:tr>
      <w:tr w14:paraId="0D61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2E02B1">
            <w:pPr>
              <w:keepNext/>
              <w:snapToGrid w:val="0"/>
              <w:jc w:val="center"/>
              <w:rPr>
                <w:rFonts w:hint="eastAsia" w:ascii="仿宋" w:hAnsi="仿宋" w:eastAsia="仿宋" w:cs="仿宋"/>
                <w:i w:val="0"/>
                <w:iCs w:val="0"/>
                <w:color w:val="000000"/>
                <w:sz w:val="20"/>
                <w:szCs w:val="20"/>
                <w:u w:val="none"/>
              </w:rPr>
            </w:pP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3F147EF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产出时效</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676782F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项目完成及时性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A3D88C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AE8E93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查看各建设类项目进度表或工程验收资料，评价项目是否按计划完工或按进度施工。</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5546939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评价要点：查看项目进度表或工程验收资料，评价项目是否按计划完工或按进度施工。</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303FCE0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①项目按计划完工或按进度施工，得3分；                       ②延期完工或施工进度滞后6个月内，得1分；                                  ③延期完工或施工进度滞后6个月以上，不得分。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8B3F70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进度资料、完工资料等。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4ED7DA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73BEA4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该项目计划工期为2023年2月-2024年12月，项目实际于2025年6月5日完成最终竣工验收，实际完工时间比计划迟延156天。</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8F6D7FC">
            <w:pPr>
              <w:keepNext/>
              <w:snapToGrid w:val="0"/>
              <w:jc w:val="left"/>
              <w:rPr>
                <w:rFonts w:hint="eastAsia" w:ascii="仿宋" w:hAnsi="仿宋" w:eastAsia="仿宋" w:cs="仿宋"/>
                <w:i w:val="0"/>
                <w:iCs w:val="0"/>
                <w:color w:val="000000"/>
                <w:sz w:val="20"/>
                <w:szCs w:val="20"/>
                <w:u w:val="none"/>
              </w:rPr>
            </w:pPr>
          </w:p>
        </w:tc>
      </w:tr>
      <w:tr w14:paraId="3193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B660B5">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D3A1F">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1A82F1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工程拨款及时性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34FE0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5739EC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反映项目建设过程中资金支付情况。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8DC693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评价要点：实际付款是否按照施工合同、代建合同、监理合同等约定及时拨付。</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63070BF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①按照合同约定及时付款，得3分；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②延期或滞后3个月内付款，得2分；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③延期或滞后3个月以上付款，不得分。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FBC71A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付款申请、会计凭证、施工合同、监理合同、代建合同。</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891B6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54E814E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截至绩效评价基准日（2025年11月20日），还存在部分款项未能按照合同约定的期限及时付款。</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443AA9E">
            <w:pPr>
              <w:keepNext/>
              <w:snapToGrid w:val="0"/>
              <w:jc w:val="left"/>
              <w:rPr>
                <w:rFonts w:hint="eastAsia" w:ascii="仿宋" w:hAnsi="仿宋" w:eastAsia="仿宋" w:cs="仿宋"/>
                <w:i w:val="0"/>
                <w:iCs w:val="0"/>
                <w:color w:val="000000"/>
                <w:sz w:val="20"/>
                <w:szCs w:val="20"/>
                <w:u w:val="none"/>
              </w:rPr>
            </w:pPr>
          </w:p>
        </w:tc>
      </w:tr>
      <w:tr w14:paraId="4389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EAEEFC">
            <w:pPr>
              <w:keepNext/>
              <w:snapToGrid w:val="0"/>
              <w:jc w:val="center"/>
              <w:rPr>
                <w:rFonts w:hint="eastAsia" w:ascii="仿宋" w:hAnsi="仿宋" w:eastAsia="仿宋" w:cs="仿宋"/>
                <w:i w:val="0"/>
                <w:iCs w:val="0"/>
                <w:color w:val="000000"/>
                <w:sz w:val="20"/>
                <w:szCs w:val="20"/>
                <w:u w:val="none"/>
              </w:rPr>
            </w:pP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4EE4F66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产出成本</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A1883C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项目建设成本控制情况</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CE7446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C1D006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项目实施单位是否按照相关规定合理控制项目建设成本。</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44E8172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评价要点：项目建设成本控制率=（项目实际成本/计划成本）*100%。</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9A4A34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①控制成本率≤100%，得2分；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②100%＞控制成本率≥120%，得1分；                        ③控制成本率＞120%，不得分。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6EE044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工程施工合同，竣工结算报表等资料。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5D7F92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3D488223">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98D3698">
            <w:pPr>
              <w:keepNext/>
              <w:snapToGrid w:val="0"/>
              <w:jc w:val="left"/>
              <w:rPr>
                <w:rFonts w:hint="eastAsia" w:ascii="仿宋" w:hAnsi="仿宋" w:eastAsia="仿宋" w:cs="仿宋"/>
                <w:i w:val="0"/>
                <w:iCs w:val="0"/>
                <w:color w:val="000000"/>
                <w:sz w:val="20"/>
                <w:szCs w:val="20"/>
                <w:u w:val="none"/>
              </w:rPr>
            </w:pPr>
          </w:p>
        </w:tc>
      </w:tr>
      <w:tr w14:paraId="32A4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74885D">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3462A5">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867453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项目融资成本控制有效性</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0E88AA0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F498A6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项目实施单位是否按照相关规定合理控制项目融资成本。</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02F76C8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评价要点：项目融资成本控制率=（专项债券实际利率/计划利率）*100%。</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799F9C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①项目融资成本控制率≤100%，得2分；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②100%＞项目融资成本控制率≥120%，得1分；                        ③项目融资成本控制率＞120%，不得分。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334795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专项债券实施方案，债券公开发行信息，会计凭证等资料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474791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334B0583">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6B7955F3">
            <w:pPr>
              <w:keepNext/>
              <w:snapToGrid w:val="0"/>
              <w:jc w:val="left"/>
              <w:rPr>
                <w:rFonts w:hint="eastAsia" w:ascii="仿宋" w:hAnsi="仿宋" w:eastAsia="仿宋" w:cs="仿宋"/>
                <w:i w:val="0"/>
                <w:iCs w:val="0"/>
                <w:color w:val="000000"/>
                <w:sz w:val="20"/>
                <w:szCs w:val="20"/>
                <w:u w:val="none"/>
              </w:rPr>
            </w:pPr>
          </w:p>
        </w:tc>
      </w:tr>
      <w:tr w14:paraId="2501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restart"/>
            <w:tcBorders>
              <w:top w:val="single" w:color="000000" w:sz="4" w:space="0"/>
              <w:left w:val="single" w:color="000000" w:sz="4" w:space="0"/>
              <w:bottom w:val="nil"/>
              <w:right w:val="single" w:color="000000" w:sz="4" w:space="0"/>
            </w:tcBorders>
            <w:noWrap w:val="0"/>
            <w:vAlign w:val="center"/>
          </w:tcPr>
          <w:p w14:paraId="0075912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效益（25分）</w:t>
            </w:r>
          </w:p>
        </w:tc>
        <w:tc>
          <w:tcPr>
            <w:tcW w:w="234" w:type="pct"/>
            <w:tcBorders>
              <w:top w:val="single" w:color="000000" w:sz="4" w:space="0"/>
              <w:left w:val="single" w:color="000000" w:sz="4" w:space="0"/>
              <w:bottom w:val="nil"/>
              <w:right w:val="single" w:color="000000" w:sz="4" w:space="0"/>
            </w:tcBorders>
            <w:noWrap w:val="0"/>
            <w:vAlign w:val="center"/>
          </w:tcPr>
          <w:p w14:paraId="0E80447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5481C3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收益成本预测偏差率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62F5E9D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B81F7E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反映项目建成投入使用后，项目运营收入、运营成本与《项目收益与融资自求平衡方案》中的预测值的偏离程度。</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06562FE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①项目实际收入与预测收入偏离程度。项目收入偏差率=[(运营收入-预测收入)/预测收入]x100%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②项目实际成本与预测成本偏离程度。项目成本偏差率=[(预测成本-运营成本)/预测成本]x100%</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BD8F0C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①项目收入偏差率在10%以内，得满分；偏差率大于10%，根据偏差情况相应扣分。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②项目成本偏差率在10%以内，得满分；偏差率大于10%，根据偏差情况相应扣分。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91F065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医院运营收入资料、运营成本资料、项目收益与融资自求平衡方案</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80483B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13237C2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截至2025年10月31日，江川区人民医院综合住院楼项目的实际运营与财务预测出现显著偏差。运营收入实现正向偏差（+20.29%），运营成本出现负向偏差（-31.10%）。</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78ACB729">
            <w:pPr>
              <w:keepNext/>
              <w:snapToGrid w:val="0"/>
              <w:jc w:val="left"/>
              <w:rPr>
                <w:rFonts w:hint="eastAsia" w:ascii="仿宋" w:hAnsi="仿宋" w:eastAsia="仿宋" w:cs="仿宋"/>
                <w:i w:val="0"/>
                <w:iCs w:val="0"/>
                <w:color w:val="000000"/>
                <w:sz w:val="20"/>
                <w:szCs w:val="20"/>
                <w:u w:val="none"/>
              </w:rPr>
            </w:pPr>
          </w:p>
        </w:tc>
      </w:tr>
      <w:tr w14:paraId="147E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single" w:color="000000" w:sz="4" w:space="0"/>
              <w:left w:val="single" w:color="000000" w:sz="4" w:space="0"/>
              <w:bottom w:val="nil"/>
              <w:right w:val="single" w:color="000000" w:sz="4" w:space="0"/>
            </w:tcBorders>
            <w:noWrap w:val="0"/>
            <w:vAlign w:val="center"/>
          </w:tcPr>
          <w:p w14:paraId="3621F5B4">
            <w:pPr>
              <w:keepNext/>
              <w:snapToGrid w:val="0"/>
              <w:jc w:val="center"/>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nil"/>
              <w:right w:val="single" w:color="000000" w:sz="4" w:space="0"/>
            </w:tcBorders>
            <w:noWrap w:val="0"/>
            <w:vAlign w:val="center"/>
          </w:tcPr>
          <w:p w14:paraId="3426C12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508617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偿债备付倍数</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23E522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C1F211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反映项目建成投入使用后，日常经营产生的收益偿还到期债务本金加利息的能力。</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49BFD62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偿债备付倍数=（年度可用于还本付息的收益/年度还本付息额），该倍数必须大于1.12。</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C2FB32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①偿债备付倍数≥1.12，得满分；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②偿债备付倍数＜1.12，根据偏差情况相应扣分。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0C6255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医院运营收入、运营成本资料，付息单据。</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77C6F1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1407BA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截至2025年10月31日，项目偿债备付倍数为0.13，显著低于1.0的常规安全水平，表明当期偿债能力不足。</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B78951F">
            <w:pPr>
              <w:keepNext/>
              <w:snapToGrid w:val="0"/>
              <w:jc w:val="left"/>
              <w:rPr>
                <w:rFonts w:hint="eastAsia" w:ascii="仿宋" w:hAnsi="仿宋" w:eastAsia="仿宋" w:cs="仿宋"/>
                <w:i w:val="0"/>
                <w:iCs w:val="0"/>
                <w:color w:val="000000"/>
                <w:sz w:val="20"/>
                <w:szCs w:val="20"/>
                <w:u w:val="none"/>
              </w:rPr>
            </w:pPr>
          </w:p>
        </w:tc>
      </w:tr>
      <w:tr w14:paraId="7281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restart"/>
            <w:tcBorders>
              <w:top w:val="nil"/>
              <w:left w:val="single" w:color="000000" w:sz="4" w:space="0"/>
              <w:bottom w:val="single" w:color="000000" w:sz="4" w:space="0"/>
              <w:right w:val="single" w:color="000000" w:sz="4" w:space="0"/>
            </w:tcBorders>
            <w:noWrap w:val="0"/>
            <w:vAlign w:val="center"/>
          </w:tcPr>
          <w:p w14:paraId="1FC855A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效益（25分）</w:t>
            </w: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3E7CF7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5E300CA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新增病床使用率</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7CBA7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C66D42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反映项目建成投入使用后，新增的医疗资源是否得到了充分、合理的运用，缓解了“住院难”问题。</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5474C2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新增病床使用率=（实际占用总床数×日数）/ (实际开放床位数×日数)×100%）</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02F351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①新增病床使用率≥80%，得满分。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②新增病床使用率＜80%，根据偏差情况相应扣分。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0575D2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医院信息系统数据。</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0DB1C2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23A11A41">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8DCDD14">
            <w:pPr>
              <w:keepNext/>
              <w:snapToGrid w:val="0"/>
              <w:jc w:val="left"/>
              <w:rPr>
                <w:rFonts w:hint="eastAsia" w:ascii="仿宋" w:hAnsi="仿宋" w:eastAsia="仿宋" w:cs="仿宋"/>
                <w:i w:val="0"/>
                <w:iCs w:val="0"/>
                <w:color w:val="000000"/>
                <w:sz w:val="20"/>
                <w:szCs w:val="20"/>
                <w:u w:val="none"/>
              </w:rPr>
            </w:pPr>
          </w:p>
        </w:tc>
      </w:tr>
      <w:tr w14:paraId="0EE2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nil"/>
              <w:left w:val="single" w:color="000000" w:sz="4" w:space="0"/>
              <w:bottom w:val="single" w:color="000000" w:sz="4" w:space="0"/>
              <w:right w:val="single" w:color="000000" w:sz="4" w:space="0"/>
            </w:tcBorders>
            <w:noWrap w:val="0"/>
            <w:vAlign w:val="center"/>
          </w:tcPr>
          <w:p w14:paraId="08C77545">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B5F4E">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04794EF">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安全文明施工</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45AD0A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0C2FE4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反映项目实施中重大安全事故发生情况。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6AB991B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安全施工率，项目施工阶段是否发生重大（或以上）、较大、一般安全事故。</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99D523A">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项目施工阶段未发生重大（或以上）、较大、一般安全事故，得3分；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发生重大（或以上）、较大、一般安全事故不得分。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17ACB6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重大安全事故、或新闻媒体曝光情况、访谈等。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3E0EFE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D4C48A2">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AEE4272">
            <w:pPr>
              <w:keepNext/>
              <w:snapToGrid w:val="0"/>
              <w:jc w:val="left"/>
              <w:rPr>
                <w:rFonts w:hint="eastAsia" w:ascii="仿宋" w:hAnsi="仿宋" w:eastAsia="仿宋" w:cs="仿宋"/>
                <w:i w:val="0"/>
                <w:iCs w:val="0"/>
                <w:color w:val="000000"/>
                <w:sz w:val="20"/>
                <w:szCs w:val="20"/>
                <w:u w:val="none"/>
              </w:rPr>
            </w:pPr>
          </w:p>
        </w:tc>
      </w:tr>
      <w:tr w14:paraId="5360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nil"/>
              <w:left w:val="single" w:color="000000" w:sz="4" w:space="0"/>
              <w:bottom w:val="single" w:color="000000" w:sz="4" w:space="0"/>
              <w:right w:val="single" w:color="000000" w:sz="4" w:space="0"/>
            </w:tcBorders>
            <w:noWrap w:val="0"/>
            <w:vAlign w:val="center"/>
          </w:tcPr>
          <w:p w14:paraId="7ECBA476">
            <w:pPr>
              <w:keepNext/>
              <w:snapToGrid w:val="0"/>
              <w:jc w:val="center"/>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08802C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EC74FAD">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就医环境改善</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427D630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B96B5C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反映项目建成投入使用后，就医环境的改善情况。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A60FFB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①空间布局是否合理；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②使用公共设施是否便利；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③病房拥挤度是否减小；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④就医舒适度是否提高；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⑤医疗过程中医务人员的服务态度是否良好。</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EE4A4B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①改善程度≥90%，得2分；                                   ②90%＞改善程度≥80%，得1.5分；                             ③80%＞改善程度≥60%，得1分；                           ④改善程度＜60%，不得分。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CC8113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问卷调查</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981BB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692D5CC6">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807E79B">
            <w:pPr>
              <w:keepNext/>
              <w:snapToGrid w:val="0"/>
              <w:jc w:val="left"/>
              <w:rPr>
                <w:rFonts w:hint="eastAsia" w:ascii="仿宋" w:hAnsi="仿宋" w:eastAsia="仿宋" w:cs="仿宋"/>
                <w:i w:val="0"/>
                <w:iCs w:val="0"/>
                <w:color w:val="000000"/>
                <w:sz w:val="20"/>
                <w:szCs w:val="20"/>
                <w:u w:val="none"/>
              </w:rPr>
            </w:pPr>
          </w:p>
        </w:tc>
      </w:tr>
      <w:tr w14:paraId="0E0F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nil"/>
              <w:left w:val="single" w:color="000000" w:sz="4" w:space="0"/>
              <w:bottom w:val="single" w:color="000000" w:sz="4" w:space="0"/>
              <w:right w:val="single" w:color="000000" w:sz="4" w:space="0"/>
            </w:tcBorders>
            <w:noWrap w:val="0"/>
            <w:vAlign w:val="center"/>
          </w:tcPr>
          <w:p w14:paraId="56653496">
            <w:pPr>
              <w:keepNext/>
              <w:snapToGrid w:val="0"/>
              <w:jc w:val="center"/>
              <w:rPr>
                <w:rFonts w:hint="eastAsia" w:ascii="仿宋" w:hAnsi="仿宋" w:eastAsia="仿宋" w:cs="仿宋"/>
                <w:i w:val="0"/>
                <w:iCs w:val="0"/>
                <w:color w:val="000000"/>
                <w:sz w:val="20"/>
                <w:szCs w:val="20"/>
                <w:u w:val="none"/>
              </w:rPr>
            </w:pPr>
          </w:p>
        </w:tc>
        <w:tc>
          <w:tcPr>
            <w:tcW w:w="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5A14BD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01B6CC9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项目建筑设计可持续年限</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903F54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276DFB9">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项目在符合国家重大区域发展战略情况下，项目建筑设计可持续使用年限。</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1118905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建筑主体结构在正常维护下不需大修即可满足预定功能的目标年限。</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E46ED1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≥50年得满分，否则不得分。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9766742">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施工图及设计说明、施工材料证明文件、专项检测报告。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3B9DDB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322A0B03">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28F0E480">
            <w:pPr>
              <w:keepNext/>
              <w:snapToGrid w:val="0"/>
              <w:jc w:val="left"/>
              <w:rPr>
                <w:rFonts w:hint="eastAsia" w:ascii="仿宋" w:hAnsi="仿宋" w:eastAsia="仿宋" w:cs="仿宋"/>
                <w:i w:val="0"/>
                <w:iCs w:val="0"/>
                <w:color w:val="000000"/>
                <w:sz w:val="20"/>
                <w:szCs w:val="20"/>
                <w:u w:val="none"/>
              </w:rPr>
            </w:pPr>
          </w:p>
        </w:tc>
      </w:tr>
      <w:tr w14:paraId="3656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nil"/>
              <w:left w:val="single" w:color="000000" w:sz="4" w:space="0"/>
              <w:bottom w:val="single" w:color="000000" w:sz="4" w:space="0"/>
              <w:right w:val="single" w:color="000000" w:sz="4" w:space="0"/>
            </w:tcBorders>
            <w:noWrap w:val="0"/>
            <w:vAlign w:val="center"/>
          </w:tcPr>
          <w:p w14:paraId="049D36AA">
            <w:pPr>
              <w:keepNext/>
              <w:snapToGrid w:val="0"/>
              <w:jc w:val="center"/>
              <w:rPr>
                <w:rFonts w:hint="eastAsia" w:ascii="仿宋" w:hAnsi="仿宋" w:eastAsia="仿宋" w:cs="仿宋"/>
                <w:i w:val="0"/>
                <w:iCs w:val="0"/>
                <w:color w:val="000000"/>
                <w:sz w:val="20"/>
                <w:szCs w:val="20"/>
                <w:u w:val="none"/>
              </w:rPr>
            </w:pPr>
          </w:p>
        </w:tc>
        <w:tc>
          <w:tcPr>
            <w:tcW w:w="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BAB3A8">
            <w:pPr>
              <w:keepNext/>
              <w:snapToGrid w:val="0"/>
              <w:jc w:val="center"/>
              <w:rPr>
                <w:rFonts w:hint="eastAsia" w:ascii="仿宋" w:hAnsi="仿宋" w:eastAsia="仿宋" w:cs="仿宋"/>
                <w:i w:val="0"/>
                <w:iCs w:val="0"/>
                <w:color w:val="000000"/>
                <w:sz w:val="20"/>
                <w:szCs w:val="20"/>
                <w:u w:val="none"/>
              </w:rPr>
            </w:pP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F9D07B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运营维护机制</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4D35E6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AD3603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江川区人民医院对住院楼运营维护长效机制的建设情况。</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28639D7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江川区人民医院是否建立了高效的住院楼运营维护长效机制。</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A18D1FB">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①建立住院楼运营维护长效机制，得2分；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②未建立住院楼运营维护长效机制，不得分。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B889410">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住院楼运营维护长效机制资料。</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3FE516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2B64E03D">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3CFD9236">
            <w:pPr>
              <w:keepNext/>
              <w:snapToGrid w:val="0"/>
              <w:jc w:val="left"/>
              <w:rPr>
                <w:rFonts w:hint="eastAsia" w:ascii="仿宋" w:hAnsi="仿宋" w:eastAsia="仿宋" w:cs="仿宋"/>
                <w:i w:val="0"/>
                <w:iCs w:val="0"/>
                <w:color w:val="000000"/>
                <w:sz w:val="20"/>
                <w:szCs w:val="20"/>
                <w:u w:val="none"/>
              </w:rPr>
            </w:pPr>
          </w:p>
        </w:tc>
      </w:tr>
      <w:tr w14:paraId="39CD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nil"/>
              <w:left w:val="single" w:color="000000" w:sz="4" w:space="0"/>
              <w:bottom w:val="single" w:color="000000" w:sz="4" w:space="0"/>
              <w:right w:val="single" w:color="000000" w:sz="4" w:space="0"/>
            </w:tcBorders>
            <w:noWrap w:val="0"/>
            <w:vAlign w:val="center"/>
          </w:tcPr>
          <w:p w14:paraId="257B67AE">
            <w:pPr>
              <w:keepNext/>
              <w:snapToGrid w:val="0"/>
              <w:jc w:val="center"/>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nil"/>
              <w:right w:val="single" w:color="000000" w:sz="4" w:space="0"/>
            </w:tcBorders>
            <w:noWrap w:val="0"/>
            <w:vAlign w:val="center"/>
          </w:tcPr>
          <w:p w14:paraId="5ED338B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DA0F98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住院患者满意度</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15AE413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96E304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住院患者对项目实施效果的满意程度。</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F62EA43">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通过问卷调查方式考核了解项目实施的满意度情况。</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6B5BB81C">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①满意度≥90%，得3分；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②90%＞满意度≥80%，得2分；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③80%＞满意度≥60%，得1分；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④满意度＜60%，不得分。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49401EE">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问卷调查</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19D3BF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A555AB6">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462836E2">
            <w:pPr>
              <w:keepNext/>
              <w:snapToGrid w:val="0"/>
              <w:jc w:val="left"/>
              <w:rPr>
                <w:rFonts w:hint="eastAsia" w:ascii="仿宋" w:hAnsi="仿宋" w:eastAsia="仿宋" w:cs="仿宋"/>
                <w:i w:val="0"/>
                <w:iCs w:val="0"/>
                <w:color w:val="000000"/>
                <w:sz w:val="20"/>
                <w:szCs w:val="20"/>
                <w:u w:val="none"/>
              </w:rPr>
            </w:pPr>
          </w:p>
        </w:tc>
      </w:tr>
      <w:tr w14:paraId="4498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4" w:type="pct"/>
            <w:vMerge w:val="continue"/>
            <w:tcBorders>
              <w:top w:val="nil"/>
              <w:left w:val="single" w:color="000000" w:sz="4" w:space="0"/>
              <w:bottom w:val="single" w:color="000000" w:sz="4" w:space="0"/>
              <w:right w:val="single" w:color="000000" w:sz="4" w:space="0"/>
            </w:tcBorders>
            <w:noWrap w:val="0"/>
            <w:vAlign w:val="center"/>
          </w:tcPr>
          <w:p w14:paraId="3ECC72BB">
            <w:pPr>
              <w:keepNext/>
              <w:snapToGrid w:val="0"/>
              <w:jc w:val="center"/>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nil"/>
              <w:right w:val="single" w:color="000000" w:sz="4" w:space="0"/>
            </w:tcBorders>
            <w:noWrap w:val="0"/>
            <w:vAlign w:val="center"/>
          </w:tcPr>
          <w:p w14:paraId="2F7F219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CDACC77">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医务人员满意度</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ABFAF5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97042F5">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医务人员对项目实施效果的满意程度。</w:t>
            </w: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231E1966">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通过问卷调查方式考核了解项目实施的满意度情况。</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036B364">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①满意度≥90%，得3分；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②90%＞满意度≥80%，得2分；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③80%＞满意度≥60%，得1分；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④满意度＜60%，不得分。</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AB115C8">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问卷调查</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AAFBAE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114F34A6">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7B109F3">
            <w:pPr>
              <w:keepNext/>
              <w:snapToGrid w:val="0"/>
              <w:jc w:val="left"/>
              <w:rPr>
                <w:rFonts w:hint="eastAsia" w:ascii="仿宋" w:hAnsi="仿宋" w:eastAsia="仿宋" w:cs="仿宋"/>
                <w:i w:val="0"/>
                <w:iCs w:val="0"/>
                <w:color w:val="000000"/>
                <w:sz w:val="20"/>
                <w:szCs w:val="20"/>
                <w:u w:val="none"/>
              </w:rPr>
            </w:pPr>
          </w:p>
        </w:tc>
      </w:tr>
      <w:tr w14:paraId="58CD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17" w:type="pct"/>
            <w:gridSpan w:val="3"/>
            <w:tcBorders>
              <w:top w:val="single" w:color="000000" w:sz="4" w:space="0"/>
              <w:left w:val="single" w:color="000000" w:sz="4" w:space="0"/>
              <w:bottom w:val="single" w:color="000000" w:sz="4" w:space="0"/>
              <w:right w:val="single" w:color="000000" w:sz="4" w:space="0"/>
            </w:tcBorders>
            <w:noWrap w:val="0"/>
            <w:vAlign w:val="center"/>
          </w:tcPr>
          <w:p w14:paraId="09AD5051">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3DDCE65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3A649DA">
            <w:pPr>
              <w:keepNext/>
              <w:snapToGrid w:val="0"/>
              <w:jc w:val="left"/>
              <w:rPr>
                <w:rFonts w:hint="eastAsia" w:ascii="仿宋" w:hAnsi="仿宋" w:eastAsia="仿宋" w:cs="仿宋"/>
                <w:i w:val="0"/>
                <w:iCs w:val="0"/>
                <w:color w:val="000000"/>
                <w:sz w:val="20"/>
                <w:szCs w:val="20"/>
                <w:u w:val="none"/>
              </w:rPr>
            </w:pPr>
          </w:p>
        </w:tc>
        <w:tc>
          <w:tcPr>
            <w:tcW w:w="810" w:type="pct"/>
            <w:tcBorders>
              <w:top w:val="single" w:color="000000" w:sz="4" w:space="0"/>
              <w:left w:val="single" w:color="000000" w:sz="4" w:space="0"/>
              <w:bottom w:val="single" w:color="000000" w:sz="4" w:space="0"/>
              <w:right w:val="single" w:color="000000" w:sz="4" w:space="0"/>
            </w:tcBorders>
            <w:noWrap w:val="0"/>
            <w:vAlign w:val="center"/>
          </w:tcPr>
          <w:p w14:paraId="7499237C">
            <w:pPr>
              <w:keepNext/>
              <w:snapToGrid w:val="0"/>
              <w:jc w:val="left"/>
              <w:rPr>
                <w:rFonts w:hint="eastAsia" w:ascii="仿宋" w:hAnsi="仿宋" w:eastAsia="仿宋" w:cs="仿宋"/>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727663AA">
            <w:pPr>
              <w:keepNext/>
              <w:snapToGrid w:val="0"/>
              <w:jc w:val="left"/>
              <w:rPr>
                <w:rFonts w:hint="eastAsia" w:ascii="仿宋" w:hAnsi="仿宋" w:eastAsia="仿宋" w:cs="仿宋"/>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D309EDD">
            <w:pPr>
              <w:keepNext/>
              <w:snapToGrid w:val="0"/>
              <w:jc w:val="left"/>
              <w:rPr>
                <w:rFonts w:hint="eastAsia" w:ascii="仿宋" w:hAnsi="仿宋" w:eastAsia="仿宋" w:cs="仿宋"/>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84068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81.5</w:t>
            </w:r>
          </w:p>
        </w:tc>
        <w:tc>
          <w:tcPr>
            <w:tcW w:w="921" w:type="pct"/>
            <w:tcBorders>
              <w:top w:val="single" w:color="000000" w:sz="4" w:space="0"/>
              <w:left w:val="single" w:color="000000" w:sz="4" w:space="0"/>
              <w:bottom w:val="single" w:color="000000" w:sz="4" w:space="0"/>
              <w:right w:val="single" w:color="000000" w:sz="4" w:space="0"/>
            </w:tcBorders>
            <w:noWrap w:val="0"/>
            <w:vAlign w:val="center"/>
          </w:tcPr>
          <w:p w14:paraId="04B70981">
            <w:pPr>
              <w:keepNext/>
              <w:snapToGrid w:val="0"/>
              <w:jc w:val="left"/>
              <w:rPr>
                <w:rFonts w:hint="eastAsia" w:ascii="仿宋" w:hAnsi="仿宋" w:eastAsia="仿宋" w:cs="仿宋"/>
                <w:i w:val="0"/>
                <w:iCs w:val="0"/>
                <w:color w:val="000000"/>
                <w:sz w:val="20"/>
                <w:szCs w:val="20"/>
                <w:u w:val="none"/>
              </w:rPr>
            </w:pP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DB5AA36">
            <w:pPr>
              <w:keepNext/>
              <w:snapToGrid w:val="0"/>
              <w:jc w:val="left"/>
              <w:rPr>
                <w:rFonts w:hint="eastAsia" w:ascii="仿宋" w:hAnsi="仿宋" w:eastAsia="仿宋" w:cs="仿宋"/>
                <w:i w:val="0"/>
                <w:iCs w:val="0"/>
                <w:color w:val="000000"/>
                <w:sz w:val="20"/>
                <w:szCs w:val="20"/>
                <w:u w:val="none"/>
              </w:rPr>
            </w:pPr>
          </w:p>
        </w:tc>
      </w:tr>
    </w:tbl>
    <w:p w14:paraId="65D0F4D4">
      <w:pPr>
        <w:pStyle w:val="2"/>
        <w:rPr>
          <w:rFonts w:hint="eastAsia" w:ascii="仿宋" w:hAnsi="仿宋" w:eastAsia="仿宋" w:cs="仿宋"/>
          <w:b w:val="0"/>
          <w:bCs w:val="0"/>
          <w:color w:val="000000"/>
          <w:kern w:val="0"/>
          <w:sz w:val="30"/>
          <w:szCs w:val="30"/>
          <w:highlight w:val="none"/>
          <w:lang w:val="en-US" w:eastAsia="zh-CN" w:bidi="ar"/>
        </w:rPr>
      </w:pPr>
    </w:p>
    <w:p w14:paraId="1F58DBCA">
      <w:pPr>
        <w:pStyle w:val="2"/>
        <w:rPr>
          <w:rFonts w:hint="eastAsia" w:ascii="仿宋" w:hAnsi="仿宋" w:eastAsia="仿宋" w:cs="仿宋"/>
          <w:b w:val="0"/>
          <w:bCs w:val="0"/>
          <w:color w:val="000000"/>
          <w:kern w:val="0"/>
          <w:sz w:val="30"/>
          <w:szCs w:val="30"/>
          <w:highlight w:val="none"/>
          <w:lang w:val="en-US" w:eastAsia="zh-CN" w:bidi="ar"/>
        </w:rPr>
      </w:pPr>
    </w:p>
    <w:p w14:paraId="319BDF8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97A03"/>
    <w:rsid w:val="07C12B31"/>
    <w:rsid w:val="54FC09CC"/>
    <w:rsid w:val="55403610"/>
    <w:rsid w:val="69297A03"/>
    <w:rsid w:val="7FF7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lang w:val="en-US" w:eastAsia="zh-CN" w:bidi="ar-SA"/>
    </w:rPr>
  </w:style>
  <w:style w:type="paragraph" w:styleId="3">
    <w:name w:val="Plain Text"/>
    <w:basedOn w:val="1"/>
    <w:next w:val="1"/>
    <w:unhideWhenUsed/>
    <w:qFormat/>
    <w:uiPriority w:val="99"/>
    <w:rPr>
      <w:rFonts w:hAnsi="Courier New"/>
      <w:kern w:val="0"/>
      <w:sz w:val="20"/>
      <w:szCs w:val="21"/>
      <w:lang w:val="zh-CN"/>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HHH</Company>
  <Pages>12</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2019-05-23T12:18:00Z</dcterms:created>
  <dc:creator>v_qliang</dc:creator>
  <cp:lastModifiedBy>kylin</cp:lastModifiedBy>
  <dcterms:modified xsi:type="dcterms:W3CDTF">2026-01-04T15:09:33Z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04D557112B71609E2D125A699727658F_43</vt:lpwstr>
  </property>
</Properties>
</file>