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安化彝族乡人民政府2025年政府信息公开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安化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彝族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政府坚持以习近平新时代中国特色社会主义思想为指导，高度重视政府信息工作，围绕区委、区政府中心工作和人民群众关注热点，坚持以公开为常态、不公开为例外，进一步深化政务公开，现发布《玉溪市江川区安化彝族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年政府信息公开工作年度报告》。本报告由总体情况、主动公开政府信息情况、收到和处理政府信息公开申请情况、政府信息公开行政复议行政诉讼情况、存在的主要问题及改进情况、其他需要报告的事项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部分组成。现将开展工作有关情况汇报如下：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安化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彝族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全面贯彻落实《中华人民共和国政府信息公开条例》，紧紧围绕国务院、省、市相关要求和文件精神，完善公开机制，扩宽公开渠道，注重公开实效，回应群众关切，提高政务公开工作水平，着力构建程序规范、公开透明、便捷高效的政务公开长效机制，取得了较好成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（一）主动公开工作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安化彝族乡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高度重视政府信息公开工作。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强化组织领导。成立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安化彝族乡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政府信息公开工作领导小组，明确了具体负责的分管领导，由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党政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综合办公室安排专人负责政务信息公开工作相关事宜，紧紧围绕经济社会发展和民生事业保障，通过本级政府门户网站主动公开信息，内容涵盖政务动态、经济运行、乡村振兴、社会民生、政策解读、生态文明建设等方方面面，在实现信息发布、依申请公开受理、信息咨询等工作的一体化方面按要求开展工作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强化平台建设。进一步优化政府门户网站栏目设置，关停部分内容重复、质量不高的栏目，聚焦服务推动惠民利企政策落地，聚焦基础优化政务公开平台功能，聚焦落实健全工作体系机制建设，合理设置栏目。每周更新政府信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1-2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次，充分发挥政务公开网站信息宣传、发布、引导的作用。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年，我乡通过政府网站管理平台、微信公众号“醉美彝乡”等平台发布共政府信息</w:t>
      </w: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条，其中政府信息网站公开信息共计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包括政策文件和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政策解读栏目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条，机构职能栏目1条，领导信息栏目1条，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政府信息公开制度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1条，通知公告栏目9条，重点工作及重大建设项目8条，财政管理预决算公开栏目3条，政府信息公开指南栏目1条，政府信息公开目录1条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强化组织保障。乡领导班子每年听取至少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次工作汇报，给予具体的工作指导。定期对乡、村、组干部开展政府信息公开业务培训，进一步推进政务公开标准化、规范化工作向村（社区）延伸。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（二）依申请公开工作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始终坚持公开为常态、不公开为例外的原则，多措并举做好依申请公开工作。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主动公开依申请公开办理流程以及通信地址和联系电话，确保政府信息依申请公开互联网、线下受理渠道畅通。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进一步规范依申请公开答复，做到程序合法、主体合法、内容合法，依法保障公众合理的信息需求。本年度未收到政府信息公开申请。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（三）政府信息管理工作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始终抓好政务门户网站和政府系统政务新媒体的建设、监督和管理，明确政府信息公开流程，健全政府信息公开审查机制，坚持“谁主管谁负责，谁公开谁审查”的原则，做好信息公开栏目内容日常管理和维护。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持续加强政府网站功能设置，进一步优化“政府信息公开平台”，推进政府网站集约化建设等工作。二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严格审核发布内容。严格落实政务信息发布审核和纠错机制，认真阅读和校对信息稿件，坚持分级审核、先审后发，重点对拟发布内容的涉密性、准确性、时效性等进行审核，防止引发负面社会舆论，确保无重大信息涉密事故发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政府信息公开平台建设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，安化彝族乡政府的信息公开工作在乡党委、政府的有力领导下，深入贯彻落实《中华人民共和国政府信息公开条例》及省、市、县相关文件精神。结合机构改革与职能调整情况，我乡持续强化对政府门户网站和政务信息公开平台的管理，积极推进平台优化建设，落实专人负责机制，明确责任分工。同时，及时更新并调整政府网站栏目设置与信息内容，使各级目录更加清晰明了，网站整体规范性进一步提升，服务功能也得到持续增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监督保障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确保政务公开工作扎实有效推进，我乡高度重视政府信息公开，建立并落实“主要领导牵头、分管领导负责、职能科室落实”的分工机制，明确政务公开工作的分管领导和具体责任部门。定期组织对政务公开网站开展自查，督促相关人员认真履行政府网站与信息公开平台运维管理职责，及时更新完善内容。对上级部门指出的纠错问题第一时间整改落实，积极吸收群众在日常工作中提出的合理建议，全力保障发布信息准确规范，推动政务信息公开工作平稳有序运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textAlignment w:val="auto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textAlignment w:val="auto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textAlignment w:val="auto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当前我乡政务公开工作仍存在一些不足：重点领域信息公开的全面性、及时性有待提升，公开内容形式较为单一；基层政务公开标准化规范化落实需进一步加强；信息平台宣传力度不足，部分信息发布存在间隔较长或集中发布现象；对工作人员的常态化培训也有待增强，业务能力需持续提升。下一步，我乡将坚持问题导向，重点采取以下措施改进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加强统筹管理，严格落实平台运维制度，健全常态化监督检查机制，以查促改、压实责任；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深化重点领域信息公开，围绕群众关切拓展公开范围、丰富公开形式，提升政府透明度与公信力；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强化人员培训与宣传引导，开展针对性业务指导，提升工作人员专业能力，同时加大平台宣传推广力度；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完善日常运维机制，确保信息及时更新，积极吸纳群众合理建议，持续优化政务公开工作质效，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助力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法治政府、廉洁政府和服务型政府建设。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无其他需要报告的事项。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5136"/>
    <w:multiLevelType w:val="singleLevel"/>
    <w:tmpl w:val="2A8A513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A4DB8"/>
    <w:rsid w:val="095D5A3E"/>
    <w:rsid w:val="26A37296"/>
    <w:rsid w:val="2A626634"/>
    <w:rsid w:val="2DCB34EC"/>
    <w:rsid w:val="2DDA0FD5"/>
    <w:rsid w:val="31504016"/>
    <w:rsid w:val="36285F75"/>
    <w:rsid w:val="3C4E7008"/>
    <w:rsid w:val="3E606AB3"/>
    <w:rsid w:val="44FE7B06"/>
    <w:rsid w:val="483A4DB8"/>
    <w:rsid w:val="4BBE1EAA"/>
    <w:rsid w:val="55FA5A5A"/>
    <w:rsid w:val="70D2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7</Pages>
  <Words>3066</Words>
  <Characters>3103</Characters>
  <Lines>0</Lines>
  <Paragraphs>0</Paragraphs>
  <TotalTime>5</TotalTime>
  <ScaleCrop>false</ScaleCrop>
  <LinksUpToDate>false</LinksUpToDate>
  <CharactersWithSpaces>3291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2024-01-09T03:21:00Z</dcterms:created>
  <dc:creator>李琴仙</dc:creator>
  <cp:lastModifiedBy>Administrator</cp:lastModifiedBy>
  <cp:lastPrinted>2026-01-21T01:56:00Z</cp:lastPrinted>
  <dcterms:modified xsi:type="dcterms:W3CDTF">2026-01-26T01:32:10Z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eyJoZGlkIjoiYTNlNjFhNWI2ZDg0ZDE4NTkxNjU4NmQ1M2JmMjY5MDUiLCJ1c2VySWQiOiIxNTMyNjM2Njg5In0=</vt:lpwstr>
  </property>
  <property fmtid="{D5CDD505-2E9C-101B-9397-08002B2CF9AE}" pid="4" name="ICV">
    <vt:lpwstr>E3E7EEB254BD4270952E51B82811BC50_13</vt:lpwstr>
  </property>
</Properties>
</file>